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32"/>
        </w:rPr>
        <w:t>Siva Kumar</w:t>
      </w:r>
    </w:p>
    <w:p>
      <w:pPr>
        <w:spacing w:after="200"/>
      </w:pPr>
      <w:r>
        <w:rPr>
          <w:b w:val="0"/>
          <w:sz w:val="20"/>
        </w:rPr>
        <w:t>Hyderabad, India  |  +91 7799044392  |  vshivakumar967@gmail.com  |  linkedin.com/in/sivakumarvakiti  |  github.com/sivavakitigit</w:t>
      </w:r>
    </w:p>
    <w:p>
      <w:pPr>
        <w:spacing w:after="200"/>
      </w:pPr>
      <w:r>
        <w:rPr>
          <w:b w:val="0"/>
          <w:sz w:val="22"/>
        </w:rPr>
        <w:t>Your Staff Engineer, Platform Frontend posting describes almost exactly the kind of work I did at GlobalLogic — building and running a micro-frontend platform on Webpack Module Federation, dealing with host/remote boundaries, shared dependency versioning, and what happens when one remote breaks. That's not a line item on my resume, it's two years of the actual job.</w:t>
      </w:r>
    </w:p>
    <w:p>
      <w:pPr>
        <w:spacing w:after="200"/>
      </w:pPr>
      <w:r>
        <w:rPr>
          <w:b w:val="0"/>
          <w:sz w:val="22"/>
        </w:rPr>
        <w:t>Since then I've moved into full stack/platform ownership at CloudAngles, where I own TokenSight — an AI gateway — end to end, including its React/Next.js frontend, with no one else to hand architecture decisions off to. That ownership habit (define the target state, sequence the migration, ship without freezing feature work) is the same muscle your posting is asking for, just applied to a different layer of the stack.</w:t>
      </w:r>
    </w:p>
    <w:p>
      <w:pPr>
        <w:spacing w:after="200"/>
      </w:pPr>
      <w:r>
        <w:rPr>
          <w:b w:val="0"/>
          <w:sz w:val="22"/>
        </w:rPr>
        <w:t>The one gap I want to name directly: your stack is primarily Vue 3, and my production depth is React. I don't have shipped Vue experience. What transfers directly is the architecture — module federation, build tooling at scale, performance budgets, accessibility as an engineering discipline — and I'd rather say that plainly than pad a Vue line I can't back up in an interview.</w:t>
      </w:r>
    </w:p>
    <w:p>
      <w:pPr>
        <w:spacing w:after="200"/>
      </w:pPr>
      <w:r>
        <w:rPr>
          <w:b w:val="0"/>
          <w:sz w:val="22"/>
        </w:rPr>
        <w:t>I'm in Hyderabad on IST hours, comfortable with a remote-first, async, RFC-driven way of working, and on immediate notice. Happy to walk through the specific host/remote setup I built at GlobalLogic, numbers included.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