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Senior Lead Agentic AI Engineer — Full Stack &amp; LLM Infrastructure</w:t>
      </w:r>
    </w:p>
    <w:p>
      <w:pPr>
        <w:spacing w:after="40"/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80"/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Open to relocating to the UK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Personal Statement</w:t>
      </w:r>
    </w:p>
    <w:p>
      <w:pPr>
        <w:spacing w:after="120"/>
      </w:pPr>
      <w:r>
        <w:rPr>
          <w:sz w:val="20"/>
          <w:szCs w:val="20"/>
        </w:rPr>
        <w:t xml:space="preserve">Full stack engineer with 9 years of experience (React/TypeScript and Python) and just over a year owning a production AI system end to end. I run TokenSight at CloudAngles, an enterprise AI gateway for LLM token observability, cost optimisation and usage analytics — architected on FastAPI, ClickHouse and Redis, instrumented with OpenTelemetry, and privacy-hardened with Presidio for PII redaction before anything is logged. That is the same shape of role this posting describes: writing production code, setting the technical bar, and owning agentic and LLM-backed features from design through to running them in production, rather than handing off after the architecture is agreed. I have not built a formal RAG pipeline yet — my LLM work has been at the gateway and observability layer rather than retrieval-augmented generation specifically — and my stakeholder experience so far has been with internal engineering teams rather than forward-deployed on customer sites. What transfers directly is the underlying discipline: production ownership, cost and latency accountability, and mentoring a team on architecture, which is exactly what I have been doing day to day and the direction I want to keep growing in.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Generative &amp; Agentic AI: </w:t>
      </w:r>
      <w:r>
        <w:rPr>
          <w:sz w:val="20"/>
          <w:szCs w:val="20"/>
        </w:rPr>
        <w:t xml:space="preserve">prompt engineering, LLM API integration, AI gateway architecture, token cost &amp; latency optimisation, OpenTelemetry-based observability of AI behaviour, Presidio PII redaction &amp; responsible-AI data handling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Full stack: </w:t>
      </w:r>
      <w:r>
        <w:rPr>
          <w:sz w:val="20"/>
          <w:szCs w:val="20"/>
        </w:rPr>
        <w:t xml:space="preserve">Python, FastAPI, Node.js, Express.js, REST APIs, GraphQL, Microservices, WebSockets, React 18, TypeScript, Next.js, Redux Toolkit, Redux Saga, Webpack Module Federation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ClickHouse, Redis, PostgreSQL, MongoDB, MySQL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delivery: </w:t>
      </w:r>
      <w:r>
        <w:rPr>
          <w:sz w:val="20"/>
          <w:szCs w:val="20"/>
        </w:rPr>
        <w:t xml:space="preserve">AWS, Docker, Docker Compose, Kubernetes, CI/CD, GitHub Actions, Jenkins, Git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Security &amp; compliance: </w:t>
      </w:r>
      <w:r>
        <w:rPr>
          <w:sz w:val="20"/>
          <w:szCs w:val="20"/>
        </w:rPr>
        <w:t xml:space="preserve">PII redaction (Presidio), PCI-DSS payment systems, access-control-aware integration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Quality: </w:t>
      </w:r>
      <w:r>
        <w:rPr>
          <w:sz w:val="20"/>
          <w:szCs w:val="20"/>
        </w:rPr>
        <w:t xml:space="preserve">Jest, React Testing Library, Cypress (80%+ coverage)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Took complete end-to-end ownership of TokenSight, an enterprise AI gateway for LLM token observability, cost optimisation and usage analytics — designing, building, testing, deploying and running it in production, and setting the technical direction for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the backend on FastAPI and ClickHouse for high-volume token-level event storage, with Redis for caching and rate limiting; instrumented every LLM request with OpenTelemetry so behaviour, latency and failures are traceable end to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Presidio to automatically redact PII from prompts and completions before anything is logged — a responsible-AI/data-handling pattern directly relevant to running agentic and LLM-backed features under governance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a 60-70% reduction in production LLM token costs by exposing per-model, per-team cost breakdowns and flagging inefficient prompt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the React/Next.js frontend for TokenSight's dashboards end to end — usage trends, cost breakdowns and anomaly views — and mentored teammates on the gateway's architecture and prompt-cost tooling.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 pieces.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fintech applications under PCI-DSS constraints, integrating payment gateways including Razorpay, Stripe and PayU — production experience with secure API integrations and access controls in a regulated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Earlier roles</w:t>
      </w:r>
      <w:r>
        <w:rPr>
          <w:sz w:val="20"/>
          <w:szCs w:val="20"/>
        </w:rPr>
        <w:t xml:space="preserve">   2018 –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2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120"/>
      </w:pPr>
      <w:r>
        <w:rPr>
          <w:sz w:val="20"/>
          <w:szCs w:val="20"/>
        </w:rPr>
        <w:t xml:space="preserve">2011 – 2015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sz w:val="20"/>
          <w:szCs w:val="20"/>
        </w:rPr>
        <w:t xml:space="preserve">Current CTC: Open to discussion  |  Expected CTC: Open  |  Notice period: Immediate</w:t>
      </w:r>
    </w:p>
    <w:p>
      <w:pPr>
        <w:spacing w:after="0"/>
      </w:pPr>
      <w:r>
        <w:rPr>
          <w:sz w:val="20"/>
          <w:szCs w:val="20"/>
        </w:rPr>
        <w:t xml:space="preserve">Based in Hyderabad, India — open to relocating to the Staines-upon-Thames/London area for this role; UK Skilled Worker visa sponsorship would be required.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2026-09-16T02:28:40.394Z</dcterms:created>
  <dcterms:modified xsi:type="dcterms:W3CDTF">2026-09-16T02:28:40.394Z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