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sz w:val="20"/>
        </w:rPr>
        <w:t>Hi,</w:t>
      </w:r>
    </w:p>
    <w:p>
      <w:pPr/>
      <w:r>
        <w:rPr>
          <w:b w:val="0"/>
          <w:sz w:val="20"/>
        </w:rPr>
        <w:t>I'm applying for the Lead Engineer – Agentic AI role at QualMinds. Building orchestrated teams of agents for a dealership — voice/chat agents handling inventory, payments, and scheduling, backed by internal agents running campaigns and reporting — is a bigger orchestration problem than what I've built, but the guardrails and observability backbone underneath it is exactly what I own today.</w:t>
      </w:r>
    </w:p>
    <w:p>
      <w:pPr/>
      <w:r>
        <w:rPr>
          <w:b w:val="0"/>
          <w:sz w:val="20"/>
        </w:rPr>
        <w:t>At CloudAngles I run TokenSight, an AI gateway other teams route their LLM traffic through in production: FastAPI and ClickHouse for high-volume event storage, OpenTelemetry tracing every call end to end, and Presidio redacting PII before anything is logged. That cut production LLM token costs 60-70% by giving teams per-model cost visibility — the same kind of guardrail-and-observability layer you'd want sitting under agents that touch pricing, trade-in valuations, and customer PII. I also built the React/Next.js dashboards on top, and my Altimetrik years were spent on PCI-DSS payment-gateway integrations (Razorpay, Stripe, PayU), so I'm not new to handling money-adjacent data carefully.</w:t>
      </w:r>
    </w:p>
    <w:p>
      <w:pPr/>
      <w:r>
        <w:rPr>
          <w:b w:val="0"/>
          <w:sz w:val="20"/>
        </w:rPr>
        <w:t>Honest gap: I haven't shipped multi-agent orchestration with LangGraph, the OpenAI/Claude Agents SDKs, or realtime voice pipelines specifically — my agentic exposure has been at the gateway/observability layer, not the orchestration layer itself. I'd want to be upfront about that rather than overstate it; the tool-calling, structured-output, and PII-guardrail patterns I've shipped should transfer quickly.</w:t>
      </w:r>
    </w:p>
    <w:p>
      <w:pPr/>
      <w:r>
        <w:rPr>
          <w:b w:val="0"/>
          <w:sz w:val="20"/>
        </w:rPr>
        <w:t>I'm Hyderabad-based on immediate notice, so no relocation or visa question here — happy to walk through the TokenSight architecture in more detail.</w:t>
      </w:r>
    </w:p>
    <w:p>
      <w:pPr/>
      <w:r>
        <w:rPr>
          <w:b w:val="0"/>
          <w:sz w:val="20"/>
        </w:rPr>
        <w:t>Thanks for considering my application.</w:t>
      </w:r>
    </w:p>
    <w:p>
      <w:pPr/>
      <w:r>
        <w:rPr>
          <w:b w:val="0"/>
          <w:sz w:val="20"/>
        </w:rPr>
        <w:t>Siva Kumar</w:t>
      </w:r>
    </w:p>
    <w:p>
      <w:pPr/>
      <w:r>
        <w:rPr>
          <w:b w:val="0"/>
          <w:sz w:val="20"/>
        </w:rPr>
        <w:t>+91 7799044392  |  vshivakumar967@gmail.com  | 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