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Siva Kumar</w:t>
      </w:r>
    </w:p>
    <w:p>
      <w:pPr>
        <w:spacing w:after="240"/>
      </w:pPr>
      <w:r>
        <w:rPr>
          <w:sz w:val="20"/>
          <w:szCs w:val="20"/>
        </w:rPr>
        <w:t xml:space="preserve">Hyderabad, India  |  +91 7799044392  |  vshivakumar967@gmail.com  |  linkedin.com/in/sivakumarvakiti</w:t>
      </w:r>
    </w:p>
    <w:p>
      <w:pPr>
        <w:spacing w:after="180"/>
      </w:pPr>
      <w:r>
        <w:rPr>
          <w:sz w:val="21"/>
          <w:szCs w:val="21"/>
        </w:rPr>
        <w:t xml:space="preserve">Your fintech stack — React/TypeScript, Node.js, PostgreSQL, AWS — and the ACH/reconciliation/idempotency problem space is territory I know from Altimetrik, where I spent two-plus years building payment applications under PCI-DSS constraints, integrating Razorpay, Stripe, and PayU, and building the real-time WebSocket dashboards that let a team watch transactions as they happened. Getting reconciliation and idempotency right under a compliance regime isn't new to me.</w:t>
      </w:r>
    </w:p>
    <w:p>
      <w:pPr>
        <w:spacing w:after="180"/>
      </w:pPr>
      <w:r>
        <w:rPr>
          <w:sz w:val="21"/>
          <w:szCs w:val="21"/>
        </w:rPr>
        <w:t xml:space="preserve">More recently at CloudAngles, I have been doing the full-stack version of the same kind of work on TokenSight — a FastAPI/PostgreSQL/ClickHouse backend I own end to end, paired with the React/TypeScript frontend on top, deployed on AWS with Docker. I also use Claude as part of my regular development workflow, so the "comfortable explaining your technical decisions when using AI coding tools" part of your posting is how I already work.</w:t>
      </w:r>
    </w:p>
    <w:p>
      <w:pPr>
        <w:spacing w:after="180"/>
      </w:pPr>
      <w:r>
        <w:rPr>
          <w:sz w:val="21"/>
          <w:szCs w:val="21"/>
        </w:rPr>
        <w:t xml:space="preserve">One thing I want to raise directly rather than skip past: your posting lists "Strong English and Russian communication skills" as a requirement, and I don't speak Russian. If that's a hard requirement for working with the team, I'd rather know that now than after we've both spent time on this — happy to talk through it if there's flexibility.</w:t>
      </w:r>
    </w:p>
    <w:p>
      <w:pPr>
        <w:spacing w:after="180"/>
      </w:pPr>
      <w:r>
        <w:rPr>
          <w:sz w:val="21"/>
          <w:szCs w:val="21"/>
        </w:rPr>
        <w:t xml:space="preserve">I'm on immediate notice and open to a fully remote role working EST hours.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2026-09-18T02:11:23.267Z</dcterms:created>
  <dcterms:modified xsi:type="dcterms:W3CDTF">2026-09-18T02:11:23.267Z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