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40"/>
        <w:jc w:val="center"/>
      </w:pPr>
      <w:r>
        <w:rPr>
          <w:b/>
          <w:bCs/>
          <w:color w:val="333333"/>
          <w:sz w:val="22"/>
          <w:szCs w:val="22"/>
        </w:rPr>
        <w:t xml:space="preserve">Lead Full Stack Engineer — Generative AI &amp; Cloud Platforms</w:t>
      </w:r>
    </w:p>
    <w:p>
      <w:pPr>
        <w:spacing w:after="20"/>
        <w:jc w:val="center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Notice period: Immediate  |  9 years of engineering experience</w:t>
      </w:r>
    </w:p>
    <w:p>
      <w:pPr>
        <w:pStyle w:val="Heading2"/>
        <w:pBdr>
          <w:bottom w:val="single" w:color="444444" w:sz="6" w:space="1"/>
        </w:pBdr>
        <w:spacing w:after="80" w:before="240"/>
      </w:pPr>
      <w:r>
        <w:t xml:space="preserve">Summary</w:t>
      </w:r>
    </w:p>
    <w:p>
      <w:pPr>
        <w:spacing w:after="100"/>
      </w:pPr>
      <w:r>
        <w:t xml:space="preserve">Full stack engineer with 9 years across React/TypeScript frontends and Python backends, currently leading end-to-end delivery of TokenSight, an enterprise Generative AI gateway that gives engineering teams visibility into LLM token usage, cost, and quality. Built the system from a blank repo to production — FastAPI + ClickHouse + Redis on the backend, OpenTelemetry for tracing, Presidio for PII redaction, and a React/Next.js dashboard on top — and cut client LLM spend 60-70% along the way. Comfortable owning a feature from cloud architecture through to the UI, working in agile teams, and mentoring engineers newer to the stack.</w:t>
      </w:r>
    </w:p>
    <w:p>
      <w:pPr>
        <w:pStyle w:val="Heading2"/>
        <w:pBdr>
          <w:bottom w:val="single" w:color="444444" w:sz="6" w:space="1"/>
        </w:pBdr>
        <w:spacing w:after="80" w:before="240"/>
      </w:pPr>
      <w: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Generative AI / LLM: LLM token observability, cost optimization &amp; analytics, OpenTelemetry tracing, Presidio PII redaction, prompt engineering, LLM API integration, AI gateway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React 18, TypeScript, JavaScript (ES6+), Next.js, Redux Toolkit, Redux Saga, React Query, Webpack Module Federation, Single-SPA, Angular, Vue.js, HTML5, CSS3/SCSS, Tailwind CSS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Python, FastAPI, Node.js, Express.js, REST APIs, GraphQL, Microservices, WebSockets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Data: ClickHouse, Redis, PostgreSQL, MongoDB, MySQL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&amp; DevOps: AWS, Docker, Docker Compose, Kubernetes, CI/CD, GitHub Actions, Jenkins, 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Quality: Jest, React Testing Library, Cypress (80%+ coverage), WCAG 2.1 accessibility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Other: Payment gateway integration (Razorpay, Stripe, PayU), PCI-DSS, Agile/Scrum</w:t>
      </w:r>
    </w:p>
    <w:p>
      <w:pPr>
        <w:pStyle w:val="Heading2"/>
        <w:pBdr>
          <w:bottom w:val="single" w:color="444444" w:sz="6" w:space="1"/>
        </w:pBdr>
        <w:spacing w:after="80" w:before="240"/>
      </w:pPr>
      <w:r>
        <w:t xml:space="preserve">Experience</w:t>
      </w:r>
    </w:p>
    <w:p>
      <w:pPr>
        <w:spacing w:after="20" w:before="160"/>
      </w:pPr>
      <w:r>
        <w:rPr>
          <w:b/>
          <w:bCs/>
        </w:rPr>
        <w:t xml:space="preserve">Lead Full Stack Engineer</w:t>
      </w:r>
      <w:r>
        <w:rPr>
          <w:b/>
          <w:bCs/>
        </w:rPr>
        <w:t xml:space="preserve">  —  CloudAngles</w:t>
      </w:r>
      <w:r>
        <w:rPr>
          <w:i/>
          <w:iCs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Took complete end-to-end ownership of TokenSight, an enterprise AI gateway for LLM token observability, cost optimization, and usage analytics — from architecture through production rollout.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backend on FastAPI and ClickHouse for high-volume token-level event storage, with Redis for caching and rate limiting; instrumented request flows with OpenTelemetry.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Presidio for automatic PII redaction on prompts and completions before they're logged, so usage analytics stay privacy-safe.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60-70% reduction in production LLM token costs by exposing per-model, per-team cost breakdowns and flagging inefficient prompt patterns.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React/Next.js frontend for TokenSight's dashboards — usage trends, cost breakdowns, and anomaly views — end to end, including data-heavy visualizations.</w:t>
      </w:r>
    </w:p>
    <w:p>
      <w:pPr>
        <w:spacing w:after="20" w:before="160"/>
      </w:pPr>
      <w:r>
        <w:rPr>
          <w:b/>
          <w:bCs/>
        </w:rPr>
        <w:t xml:space="preserve">Senior Software Engineer — React &amp; Frontend</w:t>
      </w:r>
      <w:r>
        <w:rPr>
          <w:b/>
          <w:bCs/>
        </w:rPr>
        <w:t xml:space="preserve">  —  GlobalLogic</w:t>
      </w:r>
      <w:r>
        <w:rPr>
          <w:i/>
          <w:iCs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Worked on microfrontend architecture using Webpack Module Federation, splitting a large application into independently deployable pieces.</w:t>
      </w:r>
    </w:p>
    <w:p>
      <w:pPr>
        <w:spacing w:after="20" w:before="160"/>
      </w:pPr>
      <w:r>
        <w:rPr>
          <w:b/>
          <w:bCs/>
        </w:rPr>
        <w:t xml:space="preserve">MERN Stack Developer</w:t>
      </w:r>
      <w:r>
        <w:rPr>
          <w:b/>
          <w:bCs/>
        </w:rPr>
        <w:t xml:space="preserve">  —  Altimetrik</w:t>
      </w:r>
      <w:r>
        <w:rPr>
          <w:i/>
          <w:iCs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WebSocket-based real-time dashboards for transaction monitoring.</w:t>
      </w:r>
    </w:p>
    <w:p>
      <w:pPr>
        <w:spacing w:after="20" w:before="160"/>
      </w:pPr>
      <w:r>
        <w:rPr>
          <w:b/>
          <w:bCs/>
        </w:rPr>
        <w:t xml:space="preserve">React Developer</w:t>
      </w:r>
      <w:r>
        <w:rPr>
          <w:b/>
          <w:bCs/>
        </w:rPr>
        <w:t xml:space="preserve">  —  Infinite Computer Solutions</w:t>
      </w:r>
      <w:r>
        <w:rPr>
          <w:i/>
          <w:iCs/>
        </w:rPr>
        <w:t xml:space="preserve">    Oct 2020 – Dec 2021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React-based frontend features as part of a product engineering team.</w:t>
      </w:r>
    </w:p>
    <w:p>
      <w:pPr>
        <w:spacing w:after="20" w:before="160"/>
      </w:pPr>
      <w:r>
        <w:rPr>
          <w:b/>
          <w:bCs/>
        </w:rPr>
        <w:t xml:space="preserve">Senior React Developer</w:t>
      </w:r>
      <w:r>
        <w:rPr>
          <w:b/>
          <w:bCs/>
        </w:rPr>
        <w:t xml:space="preserve">  —  i2Nexus Technologies</w:t>
      </w:r>
      <w:r>
        <w:rPr>
          <w:i/>
          <w:iCs/>
        </w:rPr>
        <w:t xml:space="preserve">    Mar 2020 – Oct 2020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frontend development on React applications for enterprise clients.</w:t>
      </w:r>
    </w:p>
    <w:p>
      <w:pPr>
        <w:spacing w:after="20" w:before="160"/>
      </w:pPr>
      <w:r>
        <w:rPr>
          <w:b/>
          <w:bCs/>
        </w:rPr>
        <w:t xml:space="preserve">MERN Stack Developer</w:t>
      </w:r>
      <w:r>
        <w:rPr>
          <w:b/>
          <w:bCs/>
        </w:rPr>
        <w:t xml:space="preserve">  —  Pegasystems</w:t>
      </w:r>
      <w:r>
        <w:rPr>
          <w:i/>
          <w:iCs/>
        </w:rPr>
        <w:t xml:space="preserve">    Jun 2019 – Feb 2020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full stack features across the MERN stack for enterprise workflow products.</w:t>
      </w:r>
    </w:p>
    <w:p>
      <w:pPr>
        <w:spacing w:after="20" w:before="160"/>
      </w:pPr>
      <w:r>
        <w:rPr>
          <w:b/>
          <w:bCs/>
        </w:rPr>
        <w:t xml:space="preserve">Frontend Developer — React &amp; Angular</w:t>
      </w:r>
      <w:r>
        <w:rPr>
          <w:b/>
          <w:bCs/>
        </w:rPr>
        <w:t xml:space="preserve">  —  Knowledge Lens</w:t>
      </w:r>
      <w:r>
        <w:rPr>
          <w:i/>
          <w:iCs/>
        </w:rPr>
        <w:t xml:space="preserve">    Aug 2018 – Jun 2019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frontend applications using both React and Angular depending on project needs.</w:t>
      </w:r>
    </w:p>
    <w:p>
      <w:pPr>
        <w:pStyle w:val="Heading2"/>
        <w:pBdr>
          <w:bottom w:val="single" w:color="444444" w:sz="6" w:space="1"/>
        </w:pBdr>
        <w:spacing w:after="80" w:before="240"/>
      </w:pPr>
      <w:r>
        <w:t xml:space="preserve">Education</w:t>
      </w:r>
    </w:p>
    <w:p>
      <w:pPr>
        <w:spacing w:after="40"/>
      </w:pPr>
      <w:r>
        <w:rPr>
          <w:b/>
          <w:bCs/>
        </w:rPr>
        <w:t xml:space="preserve">B.Tech, Computer Science &amp; Engineering — Sree Krishnadevaraya University</w:t>
      </w:r>
    </w:p>
    <w:p>
      <w:pPr>
        <w:spacing w:after="100"/>
      </w:pPr>
      <w:r>
        <w:t xml:space="preserve">2011 – 2015</w:t>
      </w:r>
    </w:p>
    <w:p>
      <w:pPr>
        <w:pStyle w:val="Heading2"/>
        <w:pBdr>
          <w:bottom w:val="single" w:color="444444" w:sz="6" w:space="1"/>
        </w:pBdr>
        <w:spacing w:after="80" w:before="240"/>
      </w:pPr>
      <w: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CTC: Open to discussion  |  Expected CTC: Open  |  Notice period: Immediate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Location: Hyderabad, India — open to relocation within India and abroad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2026-09-02T02:08:42.622Z</dcterms:created>
  <dcterms:modified xsi:type="dcterms:W3CDTF">2026-09-02T02:08:42.622Z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