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Backend Engineer — Python / FastAPI / LLM — Interactly.ai</w:t>
      </w:r>
    </w:p>
    <w:p/>
    <w:p>
      <w:r>
        <w:t>TokenSight's ingestion layer runs on FastAPI with ClickHouse and Redis behind it, processing live LLM request traffic where latency actually matters — which is close to what I'd expect building real-time microservices for a voice AI platform to look like, even though the domain (tokens/cost vs. voice) is different.</w:t>
      </w:r>
    </w:p>
    <w:p>
      <w:r>
        <w:t>I don't have direct experience with real-time voice/streaming-audio systems specifically, so I want to be upfront about that rather than imply otherwise — but the FastAPI, async, and low-latency-service experience should transfer.</w:t>
      </w:r>
    </w:p>
    <w:p>
      <w:r>
        <w:t>I'm in Hyderabad already, so this would be a straightforward in-person or hybrid fit. Notice period is immediate.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