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Founding AI Engineer</w:t>
      </w:r>
    </w:p>
    <w:p>
      <w:r>
        <w:rPr>
          <w:b/>
          <w:sz w:val="24"/>
        </w:rPr>
        <w:t>SUMMARY</w:t>
      </w:r>
    </w:p>
    <w:p>
      <w:r>
        <w:t>Full-stack engineer, 9 years in, with a year of hands-on production LLM infrastructure work — built TokenSight's FastAPI backend and its cost/reliability tooling from scratch as a solo owner, which is close to what a founding engineer role expects: build it, ship it, own the tradeoffs.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