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sz w:val="21"/>
        </w:rPr>
        <w:t>Hi,</w:t>
      </w:r>
    </w:p>
    <w:p>
      <w:r>
        <w:rPr>
          <w:b w:val="0"/>
          <w:sz w:val="21"/>
        </w:rPr>
        <w:t>I'm applying for the Principal Forward Deployed Engineer role at Cornerstone OnDemand. Owning a technical engagement end to end — architecture, implementation, and long-term adoption — rather than handing pieces of it off, is exactly how I've worked at CloudAngles for the last year.</w:t>
      </w:r>
    </w:p>
    <w:p>
      <w:r>
        <w:rPr>
          <w:b w:val="0"/>
          <w:sz w:val="21"/>
        </w:rPr>
        <w:t>I own TokenSight there, an AI gateway other engineering teams route their production LLM and agent traffic through for observability, cost control, and usage analytics. I architected the FastAPI/ClickHouse/Redis backend, instrumented every call with OpenTelemetry so behavior is traceable end to end, and used Presidio to keep PII out of logs — the kind of production AI governance your "certified AI guardrails" line is pointing at. Before that, three years integrating payment gateways (Razorpay, Stripe, PayU) under PCI-DSS at Altimetrik gave me real experience wiring complex systems into enterprise constraints, which is the closest analog I have to your HRIS/HCM integration patterns.</w:t>
      </w:r>
    </w:p>
    <w:p>
      <w:r>
        <w:rPr>
          <w:b w:val="0"/>
          <w:sz w:val="21"/>
        </w:rPr>
        <w:t>Honest gap: my deployment experience has been owning production systems for internal engineering stakeholders, not sitting across the table from enterprise CHROs and CTOs in formal pre-sales or customer-embedded discovery — that customer-facing FDE motion would be genuinely new ground for me, and I don't have hands-on time with Workday or SAP SuccessFactors specifically. What I'd bring immediately is the production AI/Agentic depth, the API and integration design instincts, and the discipline of being the one person accountable when something I built breaks in production.</w:t>
      </w:r>
    </w:p>
    <w:p>
      <w:r>
        <w:rPr>
          <w:b w:val="0"/>
          <w:sz w:val="21"/>
        </w:rPr>
        <w:t>I'm Hyderabad-based on immediate notice, so the office-based location is a straightforward fit — happy to walk through TokenSight's architecture in more detail.</w:t>
      </w:r>
    </w:p>
    <w:p>
      <w:r>
        <w:rPr>
          <w:b w:val="0"/>
          <w:sz w:val="21"/>
        </w:rPr>
        <w:t>Thanks for considering my application.</w:t>
      </w:r>
    </w:p>
    <w:p>
      <w:r>
        <w:rPr>
          <w:b w:val="0"/>
          <w:sz w:val="21"/>
        </w:rPr>
        <w:t>Siva Kumar</w:t>
      </w:r>
    </w:p>
    <w:p>
      <w:r>
        <w:rPr>
          <w:b w:val="0"/>
          <w:sz w:val="21"/>
        </w:rPr>
        <w:t>+91 7799044392 | vshivakumar967@gmail.com | linkedin.com/in/sivakumarvakiti</w:t>
      </w:r>
    </w:p>
    <w:sectPr w:rsidR="00FC693F" w:rsidRPr="0006063C" w:rsidSect="00034616">
      <w:pgSz w:w="12240" w:h="15840"/>
      <w:pgMar w:top="720" w:right="900" w:bottom="72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