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</w:pPr>
      <w:r>
        <w:rPr>
          <w:sz w:val="22"/>
        </w:rPr>
        <w:t>Hi,</w:t>
      </w:r>
    </w:p>
    <w:p>
      <w:pPr>
        <w:spacing w:after="200"/>
      </w:pPr>
      <w:r>
        <w:rPr>
          <w:sz w:val="22"/>
        </w:rPr>
        <w:t>I'm applying for the Senior Software Engineer Lead – React, Python, Cloud, Gen AI role at Optum. The role's core ask — build React/TypeScript/Python applications and wire LLMs, GenAI services, and intelligent automation into them — is what I've spent the last year doing full time.</w:t>
      </w:r>
    </w:p>
    <w:p>
      <w:pPr>
        <w:spacing w:after="200"/>
      </w:pPr>
      <w:r>
        <w:rPr>
          <w:sz w:val="22"/>
        </w:rPr>
        <w:t>I own TokenSight at CloudAngles, an AI gateway that integrates LLM and agent traffic for production observability, cost control, and usage analytics. The frontend is React/Next.js/TypeScript, the backend is Python/FastAPI, and every call is traced end to end with OpenTelemetry so failures and latency are debuggable in production — the same operational discipline your 'support production applications while meeting reliability and service-level objectives' line is asking for. I also built the prompt-engineering and cost layer that cut production LLM token spend 60-70%, and wired Presidio in to redact PII before anything is logged, which is the kind of Responsible-AI guardrail a healthcare-adjacent employer like Optum would care about.</w:t>
      </w:r>
    </w:p>
    <w:p>
      <w:pPr>
        <w:spacing w:after="200"/>
      </w:pPr>
      <w:r>
        <w:rPr>
          <w:sz w:val="22"/>
        </w:rPr>
        <w:t>Honest gap: my cloud experience is on AWS, not Azure, so I haven't used Azure OpenAI, Azure AI Search, or Azure Functions specifically, and I don't have hands-on Terraform or agent-orchestration frameworks like Semantic Kernel or LangChain — I'd rather flag that than oversell it. What transfers directly is the React/TypeScript/Python stack, Docker/Kubernetes/CI-CD, and the actual production LLM-integration and prompt-engineering work, which maps onto Azure's AI stack conceptually even if the vendor APIs are new to me.</w:t>
      </w:r>
    </w:p>
    <w:p>
      <w:pPr>
        <w:spacing w:after="200"/>
      </w:pPr>
      <w:r>
        <w:rPr>
          <w:sz w:val="22"/>
        </w:rPr>
        <w:t>I'm Hyderabad-based on immediate notice, so there's no relocation to work out — happy to walk through TokenSight's architecture in more detail.</w:t>
      </w:r>
    </w:p>
    <w:p>
      <w:pPr>
        <w:spacing w:after="200"/>
      </w:pPr>
      <w:r>
        <w:rPr>
          <w:sz w:val="22"/>
        </w:rPr>
        <w:t>Thanks for considering my application.</w:t>
      </w:r>
    </w:p>
    <w:p>
      <w:pPr>
        <w:spacing w:after="200"/>
      </w:pPr>
      <w:r>
        <w:rPr>
          <w:sz w:val="22"/>
        </w:rPr>
        <w:t>Siva Kumar</w:t>
      </w:r>
    </w:p>
    <w:p>
      <w:pPr>
        <w:spacing w:after="200"/>
      </w:pPr>
      <w:r>
        <w:rPr>
          <w:sz w:val="22"/>
        </w:rPr>
        <w:t>+91 7799044392 | vshivakumar967@gmail.com | linkedin.com/in/sivakumarvakiti</w:t>
      </w:r>
    </w:p>
    <w:sectPr w:rsidR="00FC693F" w:rsidRPr="0006063C" w:rsidSect="00034616">
      <w:pgSz w:w="12240" w:h="15840"/>
      <w:pgMar w:top="900" w:right="1080" w:bottom="90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