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2"/>
          <w:szCs w:val="22"/>
        </w:rPr>
        <w:t xml:space="preserve">Hi,</w:t>
      </w:r>
    </w:p>
    <w:p>
      <w:pPr>
        <w:spacing w:after="200"/>
      </w:pPr>
      <w:r>
        <w:rPr>
          <w:sz w:val="22"/>
          <w:szCs w:val="22"/>
        </w:rPr>
        <w:t xml:space="preserve">I'm applying for the Forward Deployed Engineer role at Prudentia Sciences. Your 'measured, not assumed' bar for AI output quality is exactly the discipline I've built into TokenSight, the AI gateway I own end to end at CloudAngles.</w:t>
      </w:r>
    </w:p>
    <w:p>
      <w:pPr>
        <w:spacing w:after="200"/>
      </w:pPr>
      <w:r>
        <w:rPr>
          <w:sz w:val="22"/>
          <w:szCs w:val="22"/>
        </w:rPr>
        <w:t xml:space="preserve">TokenSight runs on Python, FastAPI, Redis, and ClickHouse on AWS infrastructure. I built evaluation and guardrails directly into the platform -- Presidio-based PII redaction before anything is logged, and OpenTelemetry tracing across every LLM and agent call so behavior is debuggable rather than assumed -- and used that same evaluation layer to cut production LLM token costs 60-70%. That's the muscle your ask to evaluate whether AI outputs are accurate and defensible requires, just applied to cost and usage data rather than clinical or deal data.</w:t>
      </w:r>
    </w:p>
    <w:p>
      <w:pPr>
        <w:spacing w:after="200"/>
      </w:pPr>
      <w:r>
        <w:rPr>
          <w:sz w:val="22"/>
          <w:szCs w:val="22"/>
        </w:rPr>
        <w:t xml:space="preserve">Honest gap: I have no direct life-sciences, biopharma, or deal-data domain experience. Three years integrating payment gateways (Razorpay, Stripe, PayU) under PCI-DSS at Altimetrik is the closest regulated, high-stakes-data parallel I can point to, and I'd rather name that gap than pretend otherwise.</w:t>
      </w:r>
    </w:p>
    <w:p>
      <w:pPr>
        <w:spacing w:after="200"/>
      </w:pPr>
      <w:r>
        <w:rPr>
          <w:sz w:val="22"/>
          <w:szCs w:val="22"/>
        </w:rPr>
        <w:t xml:space="preserve">One more thing worth raising directly: I'm Hyderabad-based, and your posting prioritizes London, Dublin, or Basel, with a US-ET remote exception for exceptional candidates. I don't see an India-based path listed, so I want to ask about that upfront rather than assume it away before investing more of your time or mine.</w:t>
      </w:r>
    </w:p>
    <w:p>
      <w:pPr>
        <w:spacing w:after="200"/>
      </w:pPr>
      <w:r>
        <w:rPr>
          <w:sz w:val="22"/>
          <w:szCs w:val="22"/>
        </w:rPr>
        <w:t xml:space="preserve">Thanks for considering my application.</w:t>
      </w:r>
    </w:p>
    <w:p>
      <w:pPr>
        <w:spacing w:after="40"/>
      </w:pPr>
      <w:r>
        <w:rPr>
          <w:sz w:val="22"/>
          <w:szCs w:val="22"/>
        </w:rPr>
        <w:t xml:space="preserve">Siva Kumar</w:t>
      </w:r>
    </w:p>
    <w:p>
      <w:r>
        <w:rPr>
          <w:sz w:val="20"/>
          <w:szCs w:val="20"/>
        </w:rPr>
        <w:t xml:space="preserve">+91 7799044392 | vshivakumar967@gmail.com | linkedin.com/in/sivakumarvakiti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2026-10-17T02:22:04.619Z</dcterms:created>
  <dcterms:modified xsi:type="dcterms:W3CDTF">2026-10-17T02:22:04.619Z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