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Lead Full Stack Engineer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Lead full stack engineer with 9 years of experience designing, building, and deploying production enterprise applications — including a year and a half owning an AI gateway end to end and two-plus years building fintech applications under PCI-DSS, real production experience working under regulatory and security constraints. I've architected and shipped backend systems (FastAPI, ClickHouse, Redis) and led React/TypeScript front ends, including microfrontend architecture at scale. I haven't worked in a public-sector or national-security environment before, and I don't hold a security clearance, so I'd want to confirm citizenship/clearance requirements for a role like this given I'm currently based in India.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Full stack: React 18, TypeScript, JavaScript ES6+, Next.js, Redux Toolkit, Redux Saga, Webpack Module Federation, Python, FastAPI, Node.js, Express.js, REST APIs, GraphQL, Microservices, WebSockets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Data: ClickHouse, Redis, PostgreSQL, 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&amp; compliance: PCI-DSS payment systems, Presidio PII redaction, access-control-aware integration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Platform &amp; delivery: Docker, Docker Compose, Kubernetes, CI/CD, GitHub Actions, Jenkins, AWS,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Quality: Jest, React Testing Library, Cypress (80%+ coverage), WCAG 2.1 Accessibility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Took complete end-to-end ownership of TokenSight, an enterprise AI gateway for LLM token observability, cost optimization, and usage analytics — architecting, building, testing, and running it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backend on FastAPI and ClickHouse for high-volume, token-level event storage, with Redis for caching and rate limiting; instrumented every LLM request with OpenTelemetry for full traceability.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Presidio to automatically redact PII from prompts and completions before anything is logged — a security- and governance-aware data-handling pattern.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60-70% reduction in production LLM token costs through per-model, per-team cost breakdowns and inefficient-prompt-pattern flagging.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React/Next.js frontend for TokenSight's dashboards end to end, and mentored teammates on the gateway's architecture.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large-scale, secure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microfrontend architecture using Webpack Module Federation, splitting a large enterprise application into independently deployable services.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production experience with secure API integrations and access controls in a regulated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80"/>
      </w:pPr>
      <w:r>
        <w:rPr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80"/>
      </w:pPr>
      <w:r>
        <w:rPr>
          <w:sz w:val="20"/>
          <w:szCs w:val="20"/>
        </w:rPr>
        <w:t xml:space="preserve">2011 – 2015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80"/>
      </w:pPr>
      <w:r>
        <w:rPr>
          <w:sz w:val="20"/>
          <w:szCs w:val="20"/>
        </w:rPr>
        <w:t xml:space="preserve">Based in Hyderabad, India — open to relocating to Bethesda, MD; citizenship/clearance eligibility for this public-sector role to be confirmed.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2026-09-16T02:29:09.362Z</dcterms:created>
  <dcterms:modified xsi:type="dcterms:W3CDTF">2026-09-16T02:29:09.362Z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