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1"/>
          <w:szCs w:val="21"/>
        </w:rPr>
        <w:t xml:space="preserve">Hi,</w:t>
      </w:r>
    </w:p>
    <w:p>
      <w:pPr>
        <w:spacing w:after="160"/>
      </w:pPr>
      <w:r>
        <w:rPr>
          <w:sz w:val="21"/>
          <w:szCs w:val="21"/>
        </w:rPr>
        <w:t xml:space="preserve">I'm applying for the Staff Software Engineer, Data Platform role at Beacon Biosignals. Owning a production data platform — from schema design through query performance to the people who build on it — is what I've spent the last year and a half doing at CloudAngles.</w:t>
      </w:r>
    </w:p>
    <w:p>
      <w:pPr>
        <w:spacing w:after="160"/>
      </w:pPr>
      <w:r>
        <w:rPr>
          <w:sz w:val="21"/>
          <w:szCs w:val="21"/>
        </w:rPr>
        <w:t xml:space="preserve">I designed and built TokenSight's backend: FastAPI and ClickHouse for high-volume, token-level event storage, with Redis for caching and rate-limiting. I write and tune the SQL-style queries against that data myself as volume scales, and OpenTelemetry gives me the observability to catch a misbehaving query or pipeline before it becomes a production issue. That work cut LLM token costs 60-70% by building cost-breakdown queries directly against the stored event data, and I mentor teammates on the gateway's data architecture.</w:t>
      </w:r>
    </w:p>
    <w:p>
      <w:pPr>
        <w:spacing w:after="160"/>
      </w:pPr>
      <w:r>
        <w:rPr>
          <w:sz w:val="21"/>
          <w:szCs w:val="21"/>
        </w:rPr>
        <w:t xml:space="preserve">Two honest gaps against your JD: I haven't worked with Kafka — my event-pipeline experience is WebSocket-based real-time streaming, not a Kafka-driven architecture, so I'd be learning that piece. And health-tech/biosignals data is a new domain for me; my regulated-data experience is fintech (PCI-DSS) rather than health data specifically.</w:t>
      </w:r>
    </w:p>
    <w:p>
      <w:pPr>
        <w:spacing w:after="160"/>
      </w:pPr>
      <w:r>
        <w:rPr>
          <w:sz w:val="21"/>
          <w:szCs w:val="21"/>
        </w:rPr>
        <w:t xml:space="preserve">I'm based in Hyderabad, India, on immediate notice. The role is listed as fully remote within the US, and I'd want to confirm upfront whether remote-from-India is workable before going further — I don't want to assume either way. If it is, I can start immediately.</w:t>
      </w:r>
    </w:p>
    <w:p>
      <w:pPr>
        <w:spacing w:after="160"/>
      </w:pPr>
      <w:r>
        <w:rPr>
          <w:sz w:val="21"/>
          <w:szCs w:val="21"/>
        </w:rPr>
        <w:t xml:space="preserve">Thanks for considering my application.</w:t>
      </w:r>
    </w:p>
    <w:p>
      <w:pPr>
        <w:spacing w:after="20"/>
      </w:pPr>
      <w:r>
        <w:rPr>
          <w:sz w:val="21"/>
          <w:szCs w:val="21"/>
        </w:rPr>
        <w:t xml:space="preserve">Siva Kumar</w:t>
      </w:r>
    </w:p>
    <w:p>
      <w:r>
        <w:rPr>
          <w:sz w:val="21"/>
          <w:szCs w:val="21"/>
        </w:rPr>
        <w:t xml:space="preserve">+91 7799044392  |  vshivakumar967@gmail.com  |  linkedin.com/in/sivakumarvakiti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2026-09-16T02:29:09.336Z</dcterms:created>
  <dcterms:modified xsi:type="dcterms:W3CDTF">2026-09-16T02:29:09.336Z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