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1"/>
          <w:szCs w:val="21"/>
        </w:rPr>
        <w:t xml:space="preserve">Hi,</w:t>
      </w:r>
    </w:p>
    <w:p>
      <w:r>
        <w:rPr>
          <w:sz w:val="21"/>
          <w:szCs w:val="21"/>
        </w:rPr>
        <w:t xml:space="preserve">I came across the Lead Full Stack Engineer opening at GeneralMind through your team's LinkedIn presence rather than a full job posting, so I'm working from the title and what I can see of your engineering org — AI Platform Engineers and Staff Frontend Engineers — which suggests you need someone comfortable owning both layers of an AI product end to end.</w:t>
      </w:r>
    </w:p>
    <w:p>
      <w:r>
        <w:rPr>
          <w:sz w:val="21"/>
          <w:szCs w:val="21"/>
        </w:rPr>
        <w:t xml:space="preserve">That's the shape of what I do at CloudAngles. I own TokenSight, an enterprise AI gateway, start to finish: FastAPI and ClickHouse for the backend, Redis for caching, OpenTelemetry tracing every LLM call, and Presidio redacting PII before anything is logged. I also built the React/Next.js dashboards on top myself, so the same person shipped the pipeline and the interface people use to read it. That work cut production LLM token costs 60-70% by giving teams per-model, per-team cost visibility.</w:t>
      </w:r>
    </w:p>
    <w:p>
      <w:r>
        <w:rPr>
          <w:sz w:val="21"/>
          <w:szCs w:val="21"/>
        </w:rPr>
        <w:t xml:space="preserve">Before that: two years of React/TypeScript at GlobalLogic (Redux Toolkit, Redux Saga, microfrontends via Webpack Module Federation) and two-plus years building fintech products under PCI-DSS at Altimetrik. Nine years total, always full stack, always with real production ownership.</w:t>
      </w:r>
    </w:p>
    <w:p>
      <w:r>
        <w:rPr>
          <w:sz w:val="21"/>
          <w:szCs w:val="21"/>
        </w:rPr>
        <w:t xml:space="preserve">I'm on immediate notice and open to relocating to Berlin. One open question on my end: as an Indian national I'd need visa sponsorship, and the EU Blue Card looks like the standard route for a role at this level — I'd want to confirm that's workable before we go further. If there's a fuller JD you can share, I'm happy to respond to it directly.</w:t>
      </w:r>
    </w:p>
    <w:p>
      <w:r>
        <w:rPr>
          <w:sz w:val="21"/>
          <w:szCs w:val="21"/>
        </w:rPr>
        <w:t xml:space="preserve">Thanks for considering my application.</w:t>
      </w:r>
    </w:p>
    <w:p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2026-09-16T02:27:59.074Z</dcterms:created>
  <dcterms:modified xsi:type="dcterms:W3CDTF">2026-09-16T02:27:59.074Z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