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Lead Full Stack Engineer — AI Infrastructure &amp; LLM Platforms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Nationality: Indian  |  Open to relocating to Berlin, Germany</w:t>
      </w:r>
    </w:p>
    <w:p>
      <w:r>
        <w:rPr>
          <w:b/>
          <w:bCs/>
          <w:sz w:val="22"/>
          <w:szCs w:val="22"/>
        </w:rPr>
        <w:t xml:space="preserve">Summary</w:t>
      </w:r>
    </w:p>
    <w:p>
      <w:r>
        <w:rPr>
          <w:b w:val="false"/>
          <w:bCs w:val="false"/>
          <w:sz w:val="20"/>
          <w:szCs w:val="20"/>
        </w:rPr>
        <w:t xml:space="preserve">Full stack engineer with 9 years of experience across React/TypeScript and Python, and the last year-plus spent owning TokenSight end to end — an AI gateway at CloudAngles that gives engineering teams visibility into LLM token usage, cost, and quality. I built both sides of it: the FastAPI/ClickHouse/Redis backend with OpenTelemetry instrumentation and Presidio-based PII redaction, and the React/Next.js dashboards on top. I didn't have a detailed job description for this specific role — I'm applying on the strength of the title match and what GeneralMind's engineering org looks like from the outside — so this résumé focuses on what I can verify: real, lead-level ownership of both the platform and the frontend of an AI product, not just one layer of it.</w:t>
      </w:r>
    </w:p>
    <w:p>
      <w:r>
        <w:rPr>
          <w:b/>
          <w:bCs/>
          <w:sz w:val="22"/>
          <w:szCs w:val="22"/>
        </w:rPr>
        <w:t xml:space="preserve">Technical Skills</w:t>
      </w:r>
    </w:p>
    <w:p>
      <w:r>
        <w:rPr>
          <w:b w:val="false"/>
          <w:bCs w:val="false"/>
          <w:sz w:val="20"/>
          <w:szCs w:val="20"/>
        </w:rPr>
        <w:t xml:space="preserve">Full stack: React 18, TypeScript, JavaScript ES6+, Next.js, Redux Toolkit, Redux Saga, React Query, Webpack Module Federation, Single-SPA, Monorepo/Nx, Angular, Vue.js, HTML5, CSS3/SCSS, Tailwind CSS</w:t>
      </w:r>
    </w:p>
    <w:p>
      <w:r>
        <w:rPr>
          <w:b w:val="false"/>
          <w:bCs w:val="false"/>
          <w:sz w:val="20"/>
          <w:szCs w:val="20"/>
        </w:rPr>
        <w:t xml:space="preserve">AI Platform &amp; Backend: Python, FastAPI, Node.js, Express.js, REST APIs, GraphQL, Microservices, WebSockets, LLM Token Observability, Cost Optimization &amp; Analytics, OpenTelemetry, Presidio (PII Redaction), Prompt Engineering, LLM API Integration</w:t>
      </w:r>
    </w:p>
    <w:p>
      <w:r>
        <w:rPr>
          <w:b w:val="false"/>
          <w:bCs w:val="false"/>
          <w:sz w:val="20"/>
          <w:szCs w:val="20"/>
        </w:rPr>
        <w:t xml:space="preserve">Data: ClickHouse, Redis, PostgreSQL, MongoDB, MySQL</w:t>
      </w:r>
    </w:p>
    <w:p>
      <w:r>
        <w:rPr>
          <w:b w:val="false"/>
          <w:bCs w:val="false"/>
          <w:sz w:val="20"/>
          <w:szCs w:val="20"/>
        </w:rPr>
        <w:t xml:space="preserve">Cloud &amp; delivery: Docker, Docker Compose, Kubernetes, CI/CD, GitHub Actions, Jenkins, AWS, Git</w:t>
      </w:r>
    </w:p>
    <w:p>
      <w:r>
        <w:rPr>
          <w:b w:val="false"/>
          <w:bCs w:val="false"/>
          <w:sz w:val="20"/>
          <w:szCs w:val="20"/>
        </w:rPr>
        <w:t xml:space="preserve">Quality &amp; accessibility: Jest, React Testing Library, Cypress (80%+ coverage), WCAG 2.1 Accessibility</w:t>
      </w:r>
    </w:p>
    <w:p>
      <w:r>
        <w:rPr>
          <w:b w:val="false"/>
          <w:bCs w:val="false"/>
          <w:sz w:val="20"/>
          <w:szCs w:val="20"/>
        </w:rPr>
        <w:t xml:space="preserve">Other: Payment Gateways, Agile/Scrum</w:t>
      </w:r>
    </w:p>
    <w:p>
      <w:r>
        <w:rPr>
          <w:b/>
          <w:bCs/>
          <w:sz w:val="22"/>
          <w:szCs w:val="22"/>
        </w:rPr>
        <w:t xml:space="preserve">Experience</w:t>
      </w:r>
    </w:p>
    <w:p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 TokenSight end to end, an enterprise AI gateway for LLM token observability, cost optimization, and usage analytics — architecting, building, and running it in production, including monitoring and iterating on its behavior post-launch.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the backend on FastAPI and ClickHouse for high-volume token-level event storage, with Redis for caching and rate limiting; instrumented every LLM request with OpenTelemetry so behavior, latency, and failures are traceable end to end.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Integrated Presidio to automatically redact PII from prompts and completions before anything is logged — a responsible-AI / data-handling pattern for running generative AI under governance constraints.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Delivered a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the React/Next.js frontend for TokenSight's dashboards end to end, including usage trends, cost breakdowns, and anomaly views, and mentored teammates on the gateway's architecture and prompt-cost tooling.</w:t>
      </w:r>
    </w:p>
    <w:p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pieces.</w:t>
      </w:r>
    </w:p>
    <w:p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production experience with secure API integrations and access controls in a regulated environment.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WebSocket-based real-time dashboards for transaction monitoring.</w:t>
      </w:r>
    </w:p>
    <w:p>
      <w:r>
        <w:rPr>
          <w:b/>
          <w:bCs/>
          <w:sz w:val="21"/>
          <w:szCs w:val="21"/>
        </w:rPr>
        <w:t xml:space="preserve">Earlier roles</w:t>
      </w:r>
      <w:r>
        <w:rPr>
          <w:sz w:val="20"/>
          <w:szCs w:val="20"/>
        </w:rPr>
        <w:t xml:space="preserve">   2018 – 2021</w:t>
      </w:r>
    </w:p>
    <w:p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r>
        <w:rPr>
          <w:sz w:val="20"/>
          <w:szCs w:val="20"/>
        </w:rPr>
        <w:t xml:space="preserve">Frontend Developer — React &amp; Angular, Knowledge Lens (Aug 2018 – Jun 2019).</w:t>
      </w:r>
    </w:p>
    <w:p>
      <w:r>
        <w:rPr>
          <w:b/>
          <w:bCs/>
          <w:sz w:val="22"/>
          <w:szCs w:val="22"/>
        </w:rPr>
        <w:t xml:space="preserve">Education</w:t>
      </w:r>
    </w:p>
    <w:p>
      <w:r>
        <w:rPr>
          <w:b w:val="false"/>
          <w:bCs w:val="false"/>
          <w:sz w:val="20"/>
          <w:szCs w:val="20"/>
        </w:rPr>
        <w:t xml:space="preserve">B.Tech, Computer Science &amp; Engineering — Sree Krishnadevaraya University</w:t>
      </w:r>
    </w:p>
    <w:p>
      <w:r>
        <w:rPr>
          <w:b w:val="false"/>
          <w:bCs w:val="false"/>
          <w:sz w:val="20"/>
          <w:szCs w:val="20"/>
        </w:rPr>
        <w:t xml:space="preserve">2011 – 2015</w:t>
      </w:r>
    </w:p>
    <w:p>
      <w:r>
        <w:rPr>
          <w:b/>
          <w:bCs/>
          <w:sz w:val="22"/>
          <w:szCs w:val="22"/>
        </w:rPr>
        <w:t xml:space="preserve">Languages</w:t>
      </w:r>
    </w:p>
    <w:p>
      <w:r>
        <w:rPr>
          <w:b w:val="false"/>
          <w:bCs w:val="false"/>
          <w:sz w:val="20"/>
          <w:szCs w:val="20"/>
        </w:rPr>
        <w:t xml:space="preserve">English — Fluent, working language.</w:t>
      </w:r>
    </w:p>
    <w:p>
      <w:r>
        <w:rPr>
          <w:b w:val="false"/>
          <w:bCs w:val="false"/>
          <w:sz w:val="20"/>
          <w:szCs w:val="20"/>
        </w:rPr>
        <w:t xml:space="preserve">German — None currently.</w:t>
      </w:r>
    </w:p>
    <w:p>
      <w:r>
        <w:rPr>
          <w:b/>
          <w:bCs/>
          <w:sz w:val="22"/>
          <w:szCs w:val="22"/>
        </w:rPr>
        <w:t xml:space="preserve">Additional Information</w:t>
      </w:r>
    </w:p>
    <w:p>
      <w:r>
        <w:rPr>
          <w:b w:val="false"/>
          <w:bCs w:val="false"/>
          <w:sz w:val="20"/>
          <w:szCs w:val="20"/>
        </w:rPr>
        <w:t xml:space="preserve">Nationality: Indian.</w:t>
      </w:r>
    </w:p>
    <w:p>
      <w:r>
        <w:rPr>
          <w:b w:val="false"/>
          <w:bCs w:val="false"/>
          <w:sz w:val="20"/>
          <w:szCs w:val="20"/>
        </w:rPr>
        <w:t xml:space="preserve">Visa: Would require sponsorship as a non-EU national for a Germany-based role — the EU Blue Card is the standard route for a role at this level.</w:t>
      </w:r>
    </w:p>
    <w:p>
      <w:r>
        <w:rPr>
          <w:b w:val="false"/>
          <w:bCs w:val="false"/>
          <w:sz w:val="20"/>
          <w:szCs w:val="20"/>
        </w:rPr>
        <w:t xml:space="preserve">Notice period: Immediate — open to relocating to Berlin, Germany.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2026-09-16T02:27:59.067Z</dcterms:created>
  <dcterms:modified xsi:type="dcterms:W3CDTF">2026-09-16T02:27:59.067Z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