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</w:t>
      </w:r>
    </w:p>
    <w:p>
      <w:pPr>
        <w:spacing w:after="160"/>
      </w:pPr>
      <w:r>
        <w:rPr>
          <w:sz w:val="21"/>
          <w:szCs w:val="21"/>
        </w:rPr>
        <w:t xml:space="preserve">I'm applying for the AI Engineer role at LawPro.ai. Building an evaluation layer that turns raw LLM output into something a team can act on is what I've been doing at CloudAngles for the past year and a half, and it's clearly close to the core of what you're building for legal-record review.</w:t>
      </w:r>
    </w:p>
    <w:p>
      <w:pPr>
        <w:spacing w:after="160"/>
      </w:pPr>
      <w:r>
        <w:rPr>
          <w:sz w:val="21"/>
          <w:szCs w:val="21"/>
        </w:rPr>
        <w:t xml:space="preserve">I own TokenSight, an AI gateway that evaluates LLM behavior at the prompt level — cost, latency, and quality, per model and per team — instrumented end to end with OpenTelemetry and backed by a FastAPI/ClickHouse pipeline that stores and aggregates that evaluation data at scale. We flag inefficient or risky prompt patterns automatically, which cut production LLM token costs 60-70%. That's evaluation-framework work applied to cost and efficiency rather than legal accuracy, but the pattern — building pipelines that score and analyze LLM output systematically — is the same muscle.</w:t>
      </w:r>
    </w:p>
    <w:p>
      <w:pPr>
        <w:spacing w:after="160"/>
      </w:pPr>
      <w:r>
        <w:rPr>
          <w:sz w:val="21"/>
          <w:szCs w:val="21"/>
        </w:rPr>
        <w:t xml:space="preserve">Two honest notes: I don't have legal-domain background, so medical-record review and treatment-chronology data would be new context for me to learn. And I noticed the posting is titled "AI Engineer" while my current role has broader architecture ownership — I'm applying because the evaluation-pipeline work itself is a strong match for what I've built, not because I'm looking to step down in scope.</w:t>
      </w:r>
    </w:p>
    <w:p>
      <w:pPr>
        <w:spacing w:after="160"/>
      </w:pPr>
      <w:r>
        <w:rPr>
          <w:sz w:val="21"/>
          <w:szCs w:val="21"/>
        </w:rPr>
        <w:t xml:space="preserve">I'm based in Hyderabad, India, on immediate notice. The posting mentions working from home anywhere in the US — I'd want to confirm early whether remote-from-India is workable for this role, since the language suggests a US-based expectation.</w:t>
      </w:r>
    </w:p>
    <w:p>
      <w:pPr>
        <w:spacing w:after="160"/>
      </w:pPr>
      <w:r>
        <w:rPr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2026-09-16T02:29:09.353Z</dcterms:created>
  <dcterms:modified xsi:type="dcterms:W3CDTF">2026-09-16T02:29:09.353Z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