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A7BB" w14:textId="77777777" w:rsidR="007A6134" w:rsidRPr="00CD0CFF" w:rsidRDefault="007A6134" w:rsidP="004A5983"/>
    <w:p w14:paraId="4424A1BA" w14:textId="77777777" w:rsidR="007A6134" w:rsidRPr="00CD0CFF" w:rsidRDefault="007A6134" w:rsidP="004A5983">
      <w:pPr>
        <w:rPr>
          <w:lang w:val="es-ES"/>
        </w:rPr>
      </w:pPr>
      <w:r w:rsidRPr="00CD0CFF">
        <w:rPr>
          <w:lang w:val="es-ES"/>
        </w:rPr>
        <w:t>Estimado/a colega:</w:t>
      </w:r>
    </w:p>
    <w:p w14:paraId="5C4E68E0" w14:textId="77777777" w:rsidR="007476D8" w:rsidRDefault="007476D8" w:rsidP="007476D8">
      <w:pPr>
        <w:rPr>
          <w:lang w:val="es-ES"/>
        </w:rPr>
      </w:pPr>
    </w:p>
    <w:p w14:paraId="471A3DEE" w14:textId="1794F3D6" w:rsidR="007476D8" w:rsidRPr="005E5378" w:rsidRDefault="007476D8" w:rsidP="007476D8">
      <w:pPr>
        <w:rPr>
          <w:lang w:val="es-ES"/>
        </w:rPr>
      </w:pPr>
      <w:r w:rsidRPr="00A94654">
        <w:rPr>
          <w:b/>
          <w:bCs/>
          <w:sz w:val="20"/>
          <w:szCs w:val="20"/>
        </w:rPr>
        <w:t>Art0</w:t>
      </w:r>
      <w:r w:rsidR="00327AB7">
        <w:rPr>
          <w:b/>
          <w:bCs/>
          <w:sz w:val="20"/>
          <w:szCs w:val="20"/>
        </w:rPr>
        <w:t>7</w:t>
      </w:r>
      <w:r>
        <w:rPr>
          <w:b/>
          <w:bCs/>
          <w:sz w:val="20"/>
          <w:szCs w:val="20"/>
        </w:rPr>
        <w:t>:</w:t>
      </w:r>
    </w:p>
    <w:p w14:paraId="2EFD2BD1" w14:textId="61529E01" w:rsidR="007A6134" w:rsidRPr="00CD0CFF" w:rsidRDefault="007A6134" w:rsidP="004A5983">
      <w:pPr>
        <w:rPr>
          <w:lang w:val="es-ES"/>
        </w:rPr>
      </w:pPr>
    </w:p>
    <w:p w14:paraId="465E4888" w14:textId="507D613B" w:rsidR="009440D1" w:rsidRPr="003C7EC7" w:rsidRDefault="009440D1" w:rsidP="00EE3426">
      <w:pPr>
        <w:ind w:firstLine="360"/>
        <w:jc w:val="both"/>
        <w:rPr>
          <w:b/>
          <w:bCs/>
          <w:lang w:val="es-ES"/>
        </w:rPr>
      </w:pPr>
      <w:r w:rsidRPr="00CD0CFF">
        <w:rPr>
          <w:lang w:val="es-ES"/>
        </w:rPr>
        <w:t>En s</w:t>
      </w:r>
      <w:r w:rsidR="004A5983" w:rsidRPr="00CD0CFF">
        <w:rPr>
          <w:lang w:val="es-ES"/>
        </w:rPr>
        <w:t xml:space="preserve">u trabajo titulado </w:t>
      </w:r>
      <w:r w:rsidR="00B42063" w:rsidRPr="00CD0CFF">
        <w:rPr>
          <w:lang w:val="es-ES"/>
        </w:rPr>
        <w:t>“</w:t>
      </w:r>
      <w:r w:rsidR="00327AB7" w:rsidRPr="00327AB7">
        <w:rPr>
          <w:b/>
          <w:bCs/>
        </w:rPr>
        <w:t xml:space="preserve">Prevención, Intervención y </w:t>
      </w:r>
      <w:proofErr w:type="spellStart"/>
      <w:r w:rsidR="00327AB7" w:rsidRPr="00327AB7">
        <w:rPr>
          <w:b/>
          <w:bCs/>
        </w:rPr>
        <w:t>Posvención</w:t>
      </w:r>
      <w:proofErr w:type="spellEnd"/>
      <w:r w:rsidR="00327AB7" w:rsidRPr="00327AB7">
        <w:rPr>
          <w:b/>
          <w:bCs/>
        </w:rPr>
        <w:t xml:space="preserve"> del Suicidio en el Contexto Universitario: Retos y Propuestas para una Respuesta Integral</w:t>
      </w:r>
      <w:r w:rsidR="00B42063" w:rsidRPr="00CD0CFF">
        <w:rPr>
          <w:i/>
          <w:iCs/>
          <w:lang w:val="es-ES"/>
        </w:rPr>
        <w:t>”</w:t>
      </w:r>
      <w:r w:rsidRPr="00CD0CFF">
        <w:rPr>
          <w:lang w:val="es-ES"/>
        </w:rPr>
        <w:t xml:space="preserve"> se han evidenciado las siguientes incongruencias</w:t>
      </w:r>
      <w:r w:rsidR="00B417D0" w:rsidRPr="00CD0CFF">
        <w:rPr>
          <w:lang w:val="es-ES"/>
        </w:rPr>
        <w:t xml:space="preserve"> que han de subsanarse antes de la publicación del artículo</w:t>
      </w:r>
      <w:r w:rsidRPr="00CD0CFF">
        <w:rPr>
          <w:lang w:val="es-ES"/>
        </w:rPr>
        <w:t xml:space="preserve">: </w:t>
      </w:r>
    </w:p>
    <w:p w14:paraId="70FD3BD2" w14:textId="77777777" w:rsidR="002A0154" w:rsidRPr="008D024A" w:rsidRDefault="002A0154" w:rsidP="00DD0D17">
      <w:pPr>
        <w:ind w:firstLine="360"/>
        <w:jc w:val="both"/>
        <w:rPr>
          <w:b/>
          <w:bCs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7"/>
      </w:tblGrid>
      <w:tr w:rsidR="004B2841" w:rsidRPr="00CD0CFF" w14:paraId="155D7427" w14:textId="77777777" w:rsidTr="006F3C82">
        <w:tc>
          <w:tcPr>
            <w:tcW w:w="2777" w:type="dxa"/>
            <w:shd w:val="clear" w:color="auto" w:fill="DBE5F1" w:themeFill="accent1" w:themeFillTint="33"/>
          </w:tcPr>
          <w:p w14:paraId="5975C041" w14:textId="147A3636" w:rsidR="004B2841" w:rsidRPr="00CD0CFF" w:rsidRDefault="00FE0E5C" w:rsidP="002A015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  <w:r w:rsidR="00BB65B5" w:rsidRPr="00CD0CFF">
              <w:rPr>
                <w:b/>
                <w:bCs/>
                <w:lang w:val="es-ES"/>
              </w:rPr>
              <w:t xml:space="preserve">. </w:t>
            </w:r>
            <w:r w:rsidR="002A0154">
              <w:rPr>
                <w:b/>
                <w:bCs/>
                <w:lang w:val="es-ES"/>
              </w:rPr>
              <w:t xml:space="preserve">En </w:t>
            </w:r>
            <w:r w:rsidR="008E77F8">
              <w:rPr>
                <w:b/>
                <w:bCs/>
                <w:lang w:val="es-ES"/>
              </w:rPr>
              <w:t>el texto</w:t>
            </w:r>
          </w:p>
        </w:tc>
      </w:tr>
    </w:tbl>
    <w:commentRangeStart w:id="0"/>
    <w:p w14:paraId="65C0B7BB" w14:textId="4BE1731B" w:rsidR="009A04D4" w:rsidRDefault="007C69B1" w:rsidP="008B4C14">
      <w:pPr>
        <w:pStyle w:val="Prrafodelista"/>
        <w:numPr>
          <w:ilvl w:val="0"/>
          <w:numId w:val="11"/>
        </w:numPr>
        <w:rPr>
          <w:lang w:val="es-ES"/>
        </w:rPr>
      </w:pPr>
      <w:r w:rsidRPr="007C69B1">
        <w:rPr>
          <w:lang w:val="es-ES"/>
        </w:rPr>
        <w:fldChar w:fldCharType="begin"/>
      </w:r>
      <w:r w:rsidRPr="007C69B1">
        <w:rPr>
          <w:lang w:val="es-ES"/>
        </w:rPr>
        <w:instrText xml:space="preserve"> HYPERLINK "#mkp_ref_048" </w:instrText>
      </w:r>
      <w:r w:rsidRPr="007C69B1">
        <w:rPr>
          <w:lang w:val="es-ES"/>
        </w:rPr>
        <w:fldChar w:fldCharType="separate"/>
      </w:r>
      <w:proofErr w:type="spellStart"/>
      <w:r w:rsidRPr="007C69B1">
        <w:rPr>
          <w:rStyle w:val="Hipervnculo"/>
          <w:lang w:val="es-ES"/>
        </w:rPr>
        <w:t>Selltiz</w:t>
      </w:r>
      <w:proofErr w:type="spellEnd"/>
      <w:r w:rsidRPr="007C69B1">
        <w:rPr>
          <w:rStyle w:val="Hipervnculo"/>
          <w:lang w:val="es-ES"/>
        </w:rPr>
        <w:t xml:space="preserve"> (1980</w:t>
      </w:r>
      <w:r w:rsidRPr="007C69B1">
        <w:rPr>
          <w:lang w:val="es-ES"/>
        </w:rPr>
        <w:fldChar w:fldCharType="end"/>
      </w:r>
      <w:r w:rsidRPr="007C69B1">
        <w:rPr>
          <w:lang w:val="es-ES"/>
        </w:rPr>
        <w:t>)</w:t>
      </w:r>
      <w:commentRangeEnd w:id="0"/>
      <w:r>
        <w:rPr>
          <w:rStyle w:val="Refdecomentario"/>
        </w:rPr>
        <w:commentReference w:id="0"/>
      </w:r>
    </w:p>
    <w:p w14:paraId="2309B4E4" w14:textId="0FC5DF9A" w:rsidR="00DB3AF1" w:rsidRPr="00B10B38" w:rsidRDefault="00DB3AF1" w:rsidP="008B4C14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La figura 1 no está citada en el texto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E0E5C" w:rsidRPr="00CD0CFF" w14:paraId="3C7720A0" w14:textId="77777777" w:rsidTr="00FD0264">
        <w:tc>
          <w:tcPr>
            <w:tcW w:w="8488" w:type="dxa"/>
            <w:shd w:val="clear" w:color="auto" w:fill="DBE5F1" w:themeFill="accent1" w:themeFillTint="33"/>
          </w:tcPr>
          <w:p w14:paraId="0ED27FA2" w14:textId="77777777" w:rsidR="00FE0E5C" w:rsidRPr="00CD0CFF" w:rsidRDefault="00FE0E5C" w:rsidP="00FD026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Pr="00CD0CFF">
              <w:rPr>
                <w:b/>
                <w:bCs/>
                <w:lang w:val="es-ES"/>
              </w:rPr>
              <w:t xml:space="preserve">. </w:t>
            </w:r>
            <w:r>
              <w:rPr>
                <w:b/>
                <w:bCs/>
                <w:lang w:val="es-ES"/>
              </w:rPr>
              <w:t>En las referencias</w:t>
            </w:r>
          </w:p>
        </w:tc>
      </w:tr>
    </w:tbl>
    <w:p w14:paraId="2D18A00C" w14:textId="1FD41387" w:rsidR="00690C7D" w:rsidRDefault="00690C7D" w:rsidP="00690C7D">
      <w:pPr>
        <w:pStyle w:val="Prrafodelista"/>
        <w:numPr>
          <w:ilvl w:val="0"/>
          <w:numId w:val="11"/>
        </w:numPr>
        <w:rPr>
          <w:iCs/>
          <w:lang w:val="en-US"/>
        </w:rPr>
      </w:pPr>
      <w:proofErr w:type="spellStart"/>
      <w:r w:rsidRPr="00690C7D">
        <w:rPr>
          <w:iCs/>
          <w:lang w:val="es-ES"/>
        </w:rPr>
        <w:t>Algner</w:t>
      </w:r>
      <w:proofErr w:type="spellEnd"/>
      <w:r w:rsidRPr="00690C7D">
        <w:rPr>
          <w:iCs/>
          <w:lang w:val="es-ES"/>
        </w:rPr>
        <w:t xml:space="preserve">, M., y Lorenz, T. (2022). </w:t>
      </w:r>
      <w:r w:rsidRPr="00690C7D">
        <w:rPr>
          <w:iCs/>
          <w:lang w:val="en-US"/>
        </w:rPr>
        <w:t>You’re prettier when you smile: Construction and validation of a questionnaire to assess microaggressions against women in the workplace.</w:t>
      </w:r>
      <w:r w:rsidRPr="00690C7D">
        <w:rPr>
          <w:i/>
          <w:iCs/>
          <w:lang w:val="en-US"/>
        </w:rPr>
        <w:t xml:space="preserve"> Frontiers in Psychology, 13, </w:t>
      </w:r>
      <w:r w:rsidRPr="00690C7D">
        <w:rPr>
          <w:iCs/>
          <w:lang w:val="en-US"/>
        </w:rPr>
        <w:t xml:space="preserve">Article </w:t>
      </w:r>
      <w:commentRangeStart w:id="1"/>
      <w:r w:rsidRPr="00690C7D">
        <w:rPr>
          <w:iCs/>
          <w:lang w:val="en-US"/>
        </w:rPr>
        <w:t>834357</w:t>
      </w:r>
      <w:commentRangeEnd w:id="1"/>
      <w:r>
        <w:rPr>
          <w:rStyle w:val="Refdecomentario"/>
        </w:rPr>
        <w:commentReference w:id="1"/>
      </w:r>
      <w:r w:rsidRPr="00690C7D">
        <w:rPr>
          <w:iCs/>
          <w:lang w:val="en-US"/>
        </w:rPr>
        <w:t xml:space="preserve">. </w:t>
      </w:r>
      <w:r w:rsidR="00976EF6">
        <w:rPr>
          <w:iCs/>
          <w:lang w:val="en-US"/>
        </w:rPr>
        <w:fldChar w:fldCharType="begin"/>
      </w:r>
      <w:r w:rsidR="00976EF6">
        <w:rPr>
          <w:iCs/>
          <w:lang w:val="en-US"/>
        </w:rPr>
        <w:instrText xml:space="preserve"> HYPERLINK "</w:instrText>
      </w:r>
      <w:commentRangeStart w:id="2"/>
      <w:r w:rsidR="00976EF6" w:rsidRPr="00690C7D">
        <w:rPr>
          <w:iCs/>
          <w:lang w:val="en-US"/>
        </w:rPr>
        <w:instrText>https://doi.org/10.3389/fpsyg.2022.834357</w:instrText>
      </w:r>
      <w:commentRangeEnd w:id="2"/>
      <w:r w:rsidR="00976EF6">
        <w:rPr>
          <w:iCs/>
          <w:lang w:val="en-US"/>
        </w:rPr>
        <w:instrText xml:space="preserve">" </w:instrText>
      </w:r>
      <w:r w:rsidR="00976EF6">
        <w:rPr>
          <w:iCs/>
          <w:lang w:val="en-US"/>
        </w:rPr>
        <w:fldChar w:fldCharType="separate"/>
      </w:r>
      <w:r w:rsidR="00976EF6" w:rsidRPr="007B11A3">
        <w:rPr>
          <w:rStyle w:val="Hipervnculo"/>
          <w:iCs/>
          <w:lang w:val="en-US"/>
        </w:rPr>
        <w:t>https://doi.org/10.3389/fpsyg.2022.834357</w:t>
      </w:r>
      <w:r w:rsidR="00976EF6">
        <w:rPr>
          <w:iCs/>
          <w:lang w:val="en-US"/>
        </w:rPr>
        <w:fldChar w:fldCharType="end"/>
      </w:r>
      <w:r>
        <w:rPr>
          <w:rStyle w:val="Refdecomentario"/>
        </w:rPr>
        <w:commentReference w:id="2"/>
      </w:r>
    </w:p>
    <w:p w14:paraId="42D80981" w14:textId="364048B2" w:rsidR="00976EF6" w:rsidRPr="00976EF6" w:rsidRDefault="00976EF6" w:rsidP="00976EF6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3"/>
      <w:r w:rsidRPr="00976EF6">
        <w:rPr>
          <w:iCs/>
          <w:lang w:val="en-US"/>
        </w:rPr>
        <w:t xml:space="preserve">Barreto, M., y </w:t>
      </w:r>
      <w:proofErr w:type="spellStart"/>
      <w:r w:rsidRPr="00976EF6">
        <w:rPr>
          <w:iCs/>
          <w:lang w:val="en-US"/>
        </w:rPr>
        <w:t>Ellemers</w:t>
      </w:r>
      <w:proofErr w:type="spellEnd"/>
      <w:r w:rsidRPr="00976EF6">
        <w:rPr>
          <w:iCs/>
          <w:lang w:val="en-US"/>
        </w:rPr>
        <w:t xml:space="preserve">, N. (2005). The perils of political correctness: Men's and women's responses to old-fashioned and modern sexist views. </w:t>
      </w:r>
      <w:r w:rsidRPr="00976EF6">
        <w:rPr>
          <w:i/>
          <w:iCs/>
          <w:lang w:val="en-US"/>
        </w:rPr>
        <w:t>Social Psychology Quarterly, 68</w:t>
      </w:r>
      <w:r w:rsidRPr="00976EF6">
        <w:rPr>
          <w:iCs/>
          <w:lang w:val="en-US"/>
        </w:rPr>
        <w:t>(1), 75-88. https://doi.org/10.1177/019027250506800106</w:t>
      </w:r>
      <w:commentRangeEnd w:id="3"/>
      <w:r>
        <w:rPr>
          <w:rStyle w:val="Refdecomentario"/>
        </w:rPr>
        <w:commentReference w:id="3"/>
      </w:r>
    </w:p>
    <w:p w14:paraId="5DDCB2D5" w14:textId="0A7EEF07" w:rsidR="00693862" w:rsidRDefault="00693862" w:rsidP="00693862">
      <w:pPr>
        <w:pStyle w:val="Prrafodelista"/>
        <w:numPr>
          <w:ilvl w:val="0"/>
          <w:numId w:val="11"/>
        </w:numPr>
        <w:rPr>
          <w:iCs/>
          <w:lang w:val="en-US"/>
        </w:rPr>
      </w:pPr>
      <w:proofErr w:type="spellStart"/>
      <w:r w:rsidRPr="00693862">
        <w:rPr>
          <w:iCs/>
          <w:lang w:val="en-US"/>
        </w:rPr>
        <w:t>Brescoll</w:t>
      </w:r>
      <w:proofErr w:type="spellEnd"/>
      <w:r w:rsidRPr="00693862">
        <w:rPr>
          <w:iCs/>
          <w:lang w:val="en-US"/>
        </w:rPr>
        <w:t xml:space="preserve">, V. L. (2016). Leading with limited power: The effects of stereotype threat on women’s executive presence and leadership evaluations. </w:t>
      </w:r>
      <w:r w:rsidRPr="00693862">
        <w:rPr>
          <w:i/>
          <w:iCs/>
          <w:lang w:val="en-US"/>
        </w:rPr>
        <w:t>Academy of Management Journal, 59</w:t>
      </w:r>
      <w:r w:rsidRPr="00693862">
        <w:rPr>
          <w:iCs/>
          <w:lang w:val="en-US"/>
        </w:rPr>
        <w:t xml:space="preserve">(3), 1015-1030. </w:t>
      </w:r>
      <w:r w:rsidR="0090131C">
        <w:rPr>
          <w:iCs/>
          <w:lang w:val="en-US"/>
        </w:rPr>
        <w:fldChar w:fldCharType="begin"/>
      </w:r>
      <w:r w:rsidR="0090131C">
        <w:rPr>
          <w:iCs/>
          <w:lang w:val="en-US"/>
        </w:rPr>
        <w:instrText xml:space="preserve"> HYPERLINK "</w:instrText>
      </w:r>
      <w:commentRangeStart w:id="4"/>
      <w:r w:rsidR="0090131C" w:rsidRPr="00693862">
        <w:rPr>
          <w:iCs/>
          <w:lang w:val="en-US"/>
        </w:rPr>
        <w:instrText>https://doi.org/10.5465/amj.2013.0813</w:instrText>
      </w:r>
      <w:commentRangeEnd w:id="4"/>
      <w:r w:rsidR="0090131C">
        <w:rPr>
          <w:iCs/>
          <w:lang w:val="en-US"/>
        </w:rPr>
        <w:instrText xml:space="preserve">" </w:instrText>
      </w:r>
      <w:r w:rsidR="0090131C">
        <w:rPr>
          <w:iCs/>
          <w:lang w:val="en-US"/>
        </w:rPr>
        <w:fldChar w:fldCharType="separate"/>
      </w:r>
      <w:r w:rsidR="0090131C" w:rsidRPr="00F85666">
        <w:rPr>
          <w:rStyle w:val="Hipervnculo"/>
          <w:iCs/>
          <w:lang w:val="en-US"/>
        </w:rPr>
        <w:t>https://doi.org/10.5465/amj.2013.0813</w:t>
      </w:r>
      <w:r w:rsidR="0090131C">
        <w:rPr>
          <w:iCs/>
          <w:lang w:val="en-US"/>
        </w:rPr>
        <w:fldChar w:fldCharType="end"/>
      </w:r>
      <w:r>
        <w:rPr>
          <w:rStyle w:val="Refdecomentario"/>
        </w:rPr>
        <w:commentReference w:id="4"/>
      </w:r>
    </w:p>
    <w:p w14:paraId="686DA8F9" w14:textId="070F93CA" w:rsidR="0090131C" w:rsidRDefault="0090131C" w:rsidP="0090131C">
      <w:pPr>
        <w:pStyle w:val="Prrafodelista"/>
        <w:numPr>
          <w:ilvl w:val="0"/>
          <w:numId w:val="11"/>
        </w:numPr>
        <w:rPr>
          <w:iCs/>
          <w:lang w:val="es-ES"/>
        </w:rPr>
      </w:pPr>
      <w:commentRangeStart w:id="5"/>
      <w:r w:rsidRPr="0090131C">
        <w:rPr>
          <w:iCs/>
          <w:lang w:val="en-US"/>
        </w:rPr>
        <w:t xml:space="preserve">Chang, C.-H. D., Ferris, D. L., Johnson, R. E., Rosen, C. C., y Tan, J. A. (2012). Core self-evaluations: A review and evaluation of the literature. </w:t>
      </w:r>
      <w:proofErr w:type="spellStart"/>
      <w:r w:rsidRPr="0090131C">
        <w:rPr>
          <w:i/>
          <w:iCs/>
          <w:lang w:val="es-ES"/>
        </w:rPr>
        <w:t>Journal</w:t>
      </w:r>
      <w:proofErr w:type="spellEnd"/>
      <w:r w:rsidRPr="0090131C">
        <w:rPr>
          <w:i/>
          <w:iCs/>
          <w:lang w:val="es-ES"/>
        </w:rPr>
        <w:t xml:space="preserve"> </w:t>
      </w:r>
      <w:proofErr w:type="spellStart"/>
      <w:r w:rsidRPr="0090131C">
        <w:rPr>
          <w:i/>
          <w:iCs/>
          <w:lang w:val="es-ES"/>
        </w:rPr>
        <w:t>of</w:t>
      </w:r>
      <w:proofErr w:type="spellEnd"/>
      <w:r w:rsidRPr="0090131C">
        <w:rPr>
          <w:i/>
          <w:iCs/>
          <w:lang w:val="es-ES"/>
        </w:rPr>
        <w:t xml:space="preserve"> Management, 38</w:t>
      </w:r>
      <w:r w:rsidRPr="0090131C">
        <w:rPr>
          <w:iCs/>
          <w:lang w:val="es-ES"/>
        </w:rPr>
        <w:t xml:space="preserve">(1), 81-128. </w:t>
      </w:r>
      <w:hyperlink r:id="rId11" w:history="1">
        <w:r w:rsidR="00850875" w:rsidRPr="0090131C">
          <w:rPr>
            <w:rStyle w:val="Hipervnculo"/>
            <w:iCs/>
            <w:lang w:val="es-ES"/>
          </w:rPr>
          <w:t>https://doi.org/10.1177/0149206311419661</w:t>
        </w:r>
      </w:hyperlink>
      <w:commentRangeEnd w:id="5"/>
      <w:r>
        <w:rPr>
          <w:rStyle w:val="Refdecomentario"/>
        </w:rPr>
        <w:commentReference w:id="5"/>
      </w:r>
    </w:p>
    <w:p w14:paraId="23AD11D7" w14:textId="16DB65B5" w:rsidR="00850875" w:rsidRPr="00850875" w:rsidRDefault="00850875" w:rsidP="00850875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6"/>
      <w:r w:rsidRPr="00850875">
        <w:rPr>
          <w:iCs/>
          <w:lang w:val="en-US"/>
        </w:rPr>
        <w:t xml:space="preserve">Creswell, J. W., y Plano Clark, V. L. (2018). </w:t>
      </w:r>
      <w:r w:rsidRPr="00850875">
        <w:rPr>
          <w:i/>
          <w:iCs/>
          <w:lang w:val="es-ES"/>
        </w:rPr>
        <w:t>Diseño de investigación: Enfoques cualitativo, cuantitativo y mixto</w:t>
      </w:r>
      <w:r w:rsidRPr="00850875">
        <w:rPr>
          <w:iCs/>
          <w:lang w:val="es-ES"/>
        </w:rPr>
        <w:t xml:space="preserve"> (3.ª ed., J. P. Torres, Trad.). </w:t>
      </w:r>
      <w:r w:rsidRPr="00850875">
        <w:rPr>
          <w:iCs/>
          <w:lang w:val="en-US"/>
        </w:rPr>
        <w:t>Pearson Education.</w:t>
      </w:r>
      <w:commentRangeEnd w:id="6"/>
      <w:r>
        <w:rPr>
          <w:rStyle w:val="Refdecomentario"/>
        </w:rPr>
        <w:commentReference w:id="6"/>
      </w:r>
    </w:p>
    <w:p w14:paraId="56E456DF" w14:textId="5A943BCD" w:rsidR="00A931A4" w:rsidRDefault="00A931A4" w:rsidP="00A931A4">
      <w:pPr>
        <w:pStyle w:val="Prrafodelista"/>
        <w:numPr>
          <w:ilvl w:val="0"/>
          <w:numId w:val="11"/>
        </w:numPr>
        <w:rPr>
          <w:iCs/>
          <w:lang w:val="es-ES"/>
        </w:rPr>
      </w:pPr>
      <w:r w:rsidRPr="00A931A4">
        <w:rPr>
          <w:iCs/>
          <w:lang w:val="es-ES"/>
        </w:rPr>
        <w:t xml:space="preserve">Dueñas Fernández, D., y Moreno Mínguez, A. (2017). Mujeres, madres y trabajadoras: Incidencia laboral de la maternidad durante el ciclo económico 2005-2016. </w:t>
      </w:r>
      <w:r w:rsidRPr="00A931A4">
        <w:rPr>
          <w:i/>
          <w:iCs/>
          <w:lang w:val="es-ES"/>
        </w:rPr>
        <w:t>Revista de Economía Laboral, 14</w:t>
      </w:r>
      <w:r w:rsidRPr="00A931A4">
        <w:rPr>
          <w:iCs/>
          <w:lang w:val="es-ES"/>
        </w:rPr>
        <w:t xml:space="preserve">(2), 66-103. </w:t>
      </w:r>
      <w:r w:rsidR="00D571C3">
        <w:rPr>
          <w:iCs/>
          <w:lang w:val="es-ES"/>
        </w:rPr>
        <w:fldChar w:fldCharType="begin"/>
      </w:r>
      <w:r w:rsidR="00D571C3">
        <w:rPr>
          <w:iCs/>
          <w:lang w:val="es-ES"/>
        </w:rPr>
        <w:instrText xml:space="preserve"> HYPERLINK "</w:instrText>
      </w:r>
      <w:commentRangeStart w:id="7"/>
      <w:r w:rsidR="00D571C3" w:rsidRPr="00A931A4">
        <w:rPr>
          <w:iCs/>
          <w:lang w:val="es-ES"/>
        </w:rPr>
        <w:instrText>http://www.aeet-rel.es/index.php/rel/article/view/114</w:instrText>
      </w:r>
      <w:commentRangeEnd w:id="7"/>
      <w:r w:rsidR="00D571C3">
        <w:rPr>
          <w:iCs/>
          <w:lang w:val="es-ES"/>
        </w:rPr>
        <w:instrText xml:space="preserve">" </w:instrText>
      </w:r>
      <w:r w:rsidR="00D571C3">
        <w:rPr>
          <w:iCs/>
          <w:lang w:val="es-ES"/>
        </w:rPr>
        <w:fldChar w:fldCharType="separate"/>
      </w:r>
      <w:r w:rsidR="00D571C3" w:rsidRPr="00F85666">
        <w:rPr>
          <w:rStyle w:val="Hipervnculo"/>
          <w:iCs/>
          <w:lang w:val="es-ES"/>
        </w:rPr>
        <w:t>http://www.aeet-rel.es/index.php/rel/article/view/114</w:t>
      </w:r>
      <w:r w:rsidR="00D571C3">
        <w:rPr>
          <w:iCs/>
          <w:lang w:val="es-ES"/>
        </w:rPr>
        <w:fldChar w:fldCharType="end"/>
      </w:r>
      <w:r>
        <w:rPr>
          <w:rStyle w:val="Refdecomentario"/>
        </w:rPr>
        <w:commentReference w:id="7"/>
      </w:r>
    </w:p>
    <w:p w14:paraId="03C71938" w14:textId="77777777" w:rsidR="00D571C3" w:rsidRPr="00D571C3" w:rsidRDefault="00D571C3" w:rsidP="00D571C3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8"/>
      <w:r w:rsidRPr="00D571C3">
        <w:rPr>
          <w:iCs/>
          <w:lang w:val="en-US"/>
        </w:rPr>
        <w:t xml:space="preserve">Glick, P., y Fiske, S. T. (1996). The ambivalent sexism inventory: Differentiating hostile and benevolent sexism. </w:t>
      </w:r>
      <w:r w:rsidRPr="00D571C3">
        <w:rPr>
          <w:i/>
          <w:iCs/>
          <w:lang w:val="en-US"/>
        </w:rPr>
        <w:t>Journal of Personality and Social Psychology, 70</w:t>
      </w:r>
      <w:r w:rsidRPr="00D571C3">
        <w:rPr>
          <w:iCs/>
          <w:lang w:val="en-US"/>
        </w:rPr>
        <w:t>(3), 491-512. https://doi.org/10.1037/0022-3514.70.3.491</w:t>
      </w:r>
    </w:p>
    <w:p w14:paraId="38926AE1" w14:textId="5818E355" w:rsidR="00D571C3" w:rsidRPr="004854C0" w:rsidRDefault="00D571C3" w:rsidP="00D571C3">
      <w:pPr>
        <w:pStyle w:val="Prrafodelista"/>
        <w:numPr>
          <w:ilvl w:val="0"/>
          <w:numId w:val="11"/>
        </w:numPr>
        <w:rPr>
          <w:iCs/>
          <w:lang w:val="pt-PT"/>
        </w:rPr>
      </w:pPr>
      <w:r w:rsidRPr="00D571C3">
        <w:rPr>
          <w:iCs/>
          <w:lang w:val="en-US"/>
        </w:rPr>
        <w:t xml:space="preserve">Glick, P., y Fiske, S. T. (2001). </w:t>
      </w:r>
      <w:r w:rsidRPr="00D571C3">
        <w:rPr>
          <w:iCs/>
          <w:lang w:val="pt-PT"/>
        </w:rPr>
        <w:t xml:space="preserve">An ambivalent alliance: Hostile and benevolent sexism as complementary justifications for gender inequality. </w:t>
      </w:r>
      <w:r w:rsidRPr="00D571C3">
        <w:rPr>
          <w:i/>
          <w:iCs/>
          <w:lang w:val="pt-PT"/>
        </w:rPr>
        <w:t>American Psychologist, 56</w:t>
      </w:r>
      <w:r w:rsidRPr="00D571C3">
        <w:rPr>
          <w:iCs/>
          <w:lang w:val="pt-PT"/>
        </w:rPr>
        <w:t>(2), 109-118.</w:t>
      </w:r>
      <w:r w:rsidRPr="00D571C3">
        <w:rPr>
          <w:iCs/>
          <w:lang w:val="en-US"/>
        </w:rPr>
        <w:t xml:space="preserve"> </w:t>
      </w:r>
      <w:hyperlink r:id="rId12" w:history="1">
        <w:r w:rsidR="004854C0" w:rsidRPr="00D571C3">
          <w:rPr>
            <w:rStyle w:val="Hipervnculo"/>
            <w:iCs/>
            <w:lang w:val="en-US"/>
          </w:rPr>
          <w:t>https://doi.org/10.1037/0003-066X.56.2.109</w:t>
        </w:r>
      </w:hyperlink>
      <w:commentRangeEnd w:id="8"/>
      <w:r>
        <w:rPr>
          <w:rStyle w:val="Refdecomentario"/>
        </w:rPr>
        <w:commentReference w:id="8"/>
      </w:r>
    </w:p>
    <w:p w14:paraId="4F772ADA" w14:textId="1F945080" w:rsidR="004854C0" w:rsidRPr="00D511F8" w:rsidRDefault="004854C0" w:rsidP="004854C0">
      <w:pPr>
        <w:pStyle w:val="Prrafodelista"/>
        <w:numPr>
          <w:ilvl w:val="0"/>
          <w:numId w:val="11"/>
        </w:numPr>
        <w:rPr>
          <w:iCs/>
          <w:lang w:val="es-ES"/>
        </w:rPr>
      </w:pPr>
      <w:commentRangeStart w:id="9"/>
      <w:r w:rsidRPr="004854C0">
        <w:rPr>
          <w:iCs/>
          <w:lang w:val="pt-PT"/>
        </w:rPr>
        <w:t xml:space="preserve">Hebl, M., Foster, J., Mannix, L., y Dovidio, J. (2002). Formal and interpersonal discrimination: A field study of bias toward gay applicants. </w:t>
      </w:r>
      <w:proofErr w:type="spellStart"/>
      <w:r w:rsidRPr="004854C0">
        <w:rPr>
          <w:i/>
          <w:iCs/>
          <w:lang w:val="es-ES"/>
        </w:rPr>
        <w:t>Personality</w:t>
      </w:r>
      <w:proofErr w:type="spellEnd"/>
      <w:r w:rsidRPr="004854C0">
        <w:rPr>
          <w:i/>
          <w:iCs/>
          <w:lang w:val="es-ES"/>
        </w:rPr>
        <w:t xml:space="preserve"> and Social </w:t>
      </w:r>
      <w:proofErr w:type="spellStart"/>
      <w:r w:rsidRPr="004854C0">
        <w:rPr>
          <w:i/>
          <w:iCs/>
          <w:lang w:val="es-ES"/>
        </w:rPr>
        <w:t>Psychology</w:t>
      </w:r>
      <w:proofErr w:type="spellEnd"/>
      <w:r w:rsidRPr="004854C0">
        <w:rPr>
          <w:i/>
          <w:iCs/>
          <w:lang w:val="es-ES"/>
        </w:rPr>
        <w:t xml:space="preserve"> </w:t>
      </w:r>
      <w:proofErr w:type="spellStart"/>
      <w:r w:rsidRPr="004854C0">
        <w:rPr>
          <w:i/>
          <w:iCs/>
          <w:lang w:val="es-ES"/>
        </w:rPr>
        <w:t>Bulletin</w:t>
      </w:r>
      <w:proofErr w:type="spellEnd"/>
      <w:r w:rsidRPr="004854C0">
        <w:rPr>
          <w:i/>
          <w:iCs/>
          <w:lang w:val="es-ES"/>
        </w:rPr>
        <w:t>, 28</w:t>
      </w:r>
      <w:r w:rsidRPr="004854C0">
        <w:rPr>
          <w:iCs/>
          <w:lang w:val="es-ES"/>
        </w:rPr>
        <w:t xml:space="preserve">(6), 815-825. </w:t>
      </w:r>
      <w:hyperlink r:id="rId13" w:history="1">
        <w:r w:rsidRPr="004854C0">
          <w:rPr>
            <w:rStyle w:val="Hipervnculo"/>
            <w:iCs/>
            <w:lang w:val="es-ES"/>
          </w:rPr>
          <w:t>https://doi.org/10.1177/0146167202289010</w:t>
        </w:r>
      </w:hyperlink>
      <w:commentRangeEnd w:id="9"/>
      <w:r>
        <w:rPr>
          <w:rStyle w:val="Refdecomentario"/>
        </w:rPr>
        <w:commentReference w:id="9"/>
      </w:r>
    </w:p>
    <w:p w14:paraId="17E0FB6B" w14:textId="26B083D2" w:rsidR="00D511F8" w:rsidRPr="00D511F8" w:rsidRDefault="00D511F8" w:rsidP="00D511F8">
      <w:pPr>
        <w:pStyle w:val="Prrafodelista"/>
        <w:numPr>
          <w:ilvl w:val="0"/>
          <w:numId w:val="11"/>
        </w:numPr>
        <w:rPr>
          <w:iCs/>
          <w:lang w:val="es-ES"/>
        </w:rPr>
      </w:pPr>
      <w:commentRangeStart w:id="10"/>
      <w:r w:rsidRPr="00D511F8">
        <w:rPr>
          <w:iCs/>
          <w:lang w:val="es-ES"/>
        </w:rPr>
        <w:t xml:space="preserve">Inspección de Trabajo y Seguridad Social. (2021). </w:t>
      </w:r>
      <w:r w:rsidRPr="00D511F8">
        <w:rPr>
          <w:i/>
          <w:iCs/>
          <w:lang w:val="es-ES"/>
        </w:rPr>
        <w:t>Criterio técnico 104/2021 sobre actuaciones de la Inspección de Trabajo y Seguridad Social en riesgos psicosociales</w:t>
      </w:r>
      <w:r w:rsidRPr="00D511F8">
        <w:rPr>
          <w:iCs/>
          <w:lang w:val="es-ES"/>
        </w:rPr>
        <w:t>. https://seguridadlaboral.castillalamancha.es/sites/default/files/2024-09/ITSS%20Criterio%20T%C3%A9cnico%20104-2021.pdf</w:t>
      </w:r>
      <w:commentRangeEnd w:id="10"/>
      <w:r>
        <w:rPr>
          <w:rStyle w:val="Refdecomentario"/>
        </w:rPr>
        <w:commentReference w:id="10"/>
      </w:r>
    </w:p>
    <w:p w14:paraId="64514FF3" w14:textId="0C22F25F" w:rsidR="001E1757" w:rsidRPr="00FE2D22" w:rsidRDefault="00A97F56" w:rsidP="00690C7D">
      <w:pPr>
        <w:pStyle w:val="Prrafodelista"/>
        <w:numPr>
          <w:ilvl w:val="0"/>
          <w:numId w:val="11"/>
        </w:numPr>
        <w:rPr>
          <w:rStyle w:val="Hipervnculo"/>
          <w:iCs/>
          <w:color w:val="auto"/>
          <w:u w:val="none"/>
          <w:lang w:val="en-US"/>
        </w:rPr>
      </w:pPr>
      <w:commentRangeStart w:id="11"/>
      <w:r w:rsidRPr="00A97F56">
        <w:rPr>
          <w:iCs/>
          <w:lang w:val="en-US"/>
        </w:rPr>
        <w:t xml:space="preserve">International </w:t>
      </w:r>
      <w:proofErr w:type="spellStart"/>
      <w:r w:rsidRPr="00A97F56">
        <w:rPr>
          <w:iCs/>
          <w:lang w:val="en-US"/>
        </w:rPr>
        <w:t>Labour</w:t>
      </w:r>
      <w:proofErr w:type="spellEnd"/>
      <w:r w:rsidRPr="00A97F56">
        <w:rPr>
          <w:iCs/>
          <w:lang w:val="en-US"/>
        </w:rPr>
        <w:t xml:space="preserve"> </w:t>
      </w:r>
      <w:proofErr w:type="spellStart"/>
      <w:r w:rsidRPr="00A97F56">
        <w:rPr>
          <w:iCs/>
          <w:lang w:val="en-US"/>
        </w:rPr>
        <w:t>Organisation</w:t>
      </w:r>
      <w:proofErr w:type="spellEnd"/>
      <w:r w:rsidRPr="00A97F56">
        <w:rPr>
          <w:iCs/>
          <w:lang w:val="en-US"/>
        </w:rPr>
        <w:t xml:space="preserve">, and Switzerland) Joint ILO/WHO Committee on Occupational Health: Geneva. 1984. “Psychosocial Factors at </w:t>
      </w:r>
      <w:proofErr w:type="gramStart"/>
      <w:r w:rsidRPr="00A97F56">
        <w:rPr>
          <w:iCs/>
          <w:lang w:val="en-US"/>
        </w:rPr>
        <w:t>Work :</w:t>
      </w:r>
      <w:proofErr w:type="gramEnd"/>
      <w:r w:rsidRPr="00A97F56">
        <w:rPr>
          <w:iCs/>
          <w:lang w:val="en-US"/>
        </w:rPr>
        <w:t xml:space="preserve"> Recognition and Control, Report of the Joint ILO/WHO Committee on Occupational Health, Ninth Session, Geneva, 18-24 September 1984 /.” </w:t>
      </w:r>
      <w:proofErr w:type="spellStart"/>
      <w:proofErr w:type="gramStart"/>
      <w:r w:rsidRPr="00A97F56">
        <w:rPr>
          <w:iCs/>
          <w:lang w:val="en-US"/>
        </w:rPr>
        <w:t>En</w:t>
      </w:r>
      <w:proofErr w:type="spellEnd"/>
      <w:r w:rsidRPr="00A97F56">
        <w:rPr>
          <w:iCs/>
          <w:lang w:val="en-US"/>
        </w:rPr>
        <w:t xml:space="preserve"> .</w:t>
      </w:r>
      <w:proofErr w:type="gramEnd"/>
      <w:r w:rsidRPr="00A97F56">
        <w:rPr>
          <w:iCs/>
          <w:lang w:val="en-US"/>
        </w:rPr>
        <w:t xml:space="preserve"> </w:t>
      </w:r>
      <w:r w:rsidRPr="00A97F56">
        <w:rPr>
          <w:iCs/>
          <w:lang w:val="es-ES"/>
        </w:rPr>
        <w:t xml:space="preserve">Geneva: ILO. </w:t>
      </w:r>
      <w:hyperlink r:id="rId14" w:history="1">
        <w:r w:rsidR="003E18B8" w:rsidRPr="00EA464E">
          <w:rPr>
            <w:rStyle w:val="Hipervnculo"/>
            <w:iCs/>
            <w:lang w:val="es-ES"/>
          </w:rPr>
          <w:t>http://www.ilo.org/public/libdoc/ilo/1986/86B09_301_engl.pdf</w:t>
        </w:r>
      </w:hyperlink>
      <w:commentRangeEnd w:id="11"/>
      <w:r>
        <w:rPr>
          <w:rStyle w:val="Refdecomentario"/>
        </w:rPr>
        <w:commentReference w:id="11"/>
      </w:r>
    </w:p>
    <w:p w14:paraId="33B8D498" w14:textId="37546DEC" w:rsidR="00FE2D22" w:rsidRDefault="00FE2D22" w:rsidP="00FE2D22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12"/>
      <w:r w:rsidRPr="00FE2D22">
        <w:rPr>
          <w:iCs/>
          <w:lang w:val="en-US"/>
        </w:rPr>
        <w:t xml:space="preserve">Jones, K. P., Stewart, K., King, E. B., Botsford Morgan, W., </w:t>
      </w:r>
      <w:proofErr w:type="spellStart"/>
      <w:r w:rsidRPr="00FE2D22">
        <w:rPr>
          <w:iCs/>
          <w:lang w:val="en-US"/>
        </w:rPr>
        <w:t>Gilrane</w:t>
      </w:r>
      <w:proofErr w:type="spellEnd"/>
      <w:r w:rsidRPr="00FE2D22">
        <w:rPr>
          <w:iCs/>
          <w:lang w:val="en-US"/>
        </w:rPr>
        <w:t xml:space="preserve">, V. L., y </w:t>
      </w:r>
      <w:proofErr w:type="spellStart"/>
      <w:r w:rsidRPr="00FE2D22">
        <w:rPr>
          <w:iCs/>
          <w:lang w:val="en-US"/>
        </w:rPr>
        <w:t>Hylton</w:t>
      </w:r>
      <w:proofErr w:type="spellEnd"/>
      <w:r w:rsidRPr="00FE2D22">
        <w:rPr>
          <w:iCs/>
          <w:lang w:val="en-US"/>
        </w:rPr>
        <w:t xml:space="preserve">, K. (2014). Negative consequences of benevolent sexism on efficacy and performance. </w:t>
      </w:r>
      <w:r w:rsidRPr="00FE2D22">
        <w:rPr>
          <w:i/>
          <w:iCs/>
          <w:lang w:val="en-US"/>
        </w:rPr>
        <w:t>Gender in Management, 29</w:t>
      </w:r>
      <w:r w:rsidRPr="00FE2D22">
        <w:rPr>
          <w:iCs/>
          <w:lang w:val="en-US"/>
        </w:rPr>
        <w:t xml:space="preserve">(3), 171-189. </w:t>
      </w:r>
      <w:hyperlink r:id="rId15" w:history="1">
        <w:r w:rsidR="0003550D" w:rsidRPr="00FE2D22">
          <w:rPr>
            <w:rStyle w:val="Hipervnculo"/>
            <w:iCs/>
            <w:lang w:val="en-US"/>
          </w:rPr>
          <w:t>https://doi.org/10.1108/GM-07-2013-0086</w:t>
        </w:r>
      </w:hyperlink>
      <w:commentRangeEnd w:id="12"/>
      <w:r>
        <w:rPr>
          <w:rStyle w:val="Refdecomentario"/>
        </w:rPr>
        <w:commentReference w:id="12"/>
      </w:r>
    </w:p>
    <w:p w14:paraId="55AC2F0C" w14:textId="7A5B4243" w:rsidR="0003550D" w:rsidRDefault="0003550D" w:rsidP="0003550D">
      <w:pPr>
        <w:pStyle w:val="Prrafodelista"/>
        <w:numPr>
          <w:ilvl w:val="0"/>
          <w:numId w:val="11"/>
        </w:numPr>
        <w:rPr>
          <w:iCs/>
          <w:lang w:val="es-ES"/>
        </w:rPr>
      </w:pPr>
      <w:commentRangeStart w:id="13"/>
      <w:r w:rsidRPr="0003550D">
        <w:rPr>
          <w:iCs/>
          <w:lang w:val="en-US"/>
        </w:rPr>
        <w:t xml:space="preserve">Nadal, K. L., </w:t>
      </w:r>
      <w:proofErr w:type="spellStart"/>
      <w:r w:rsidRPr="0003550D">
        <w:rPr>
          <w:iCs/>
          <w:lang w:val="en-US"/>
        </w:rPr>
        <w:t>Hamit</w:t>
      </w:r>
      <w:proofErr w:type="spellEnd"/>
      <w:r w:rsidRPr="0003550D">
        <w:rPr>
          <w:iCs/>
          <w:lang w:val="en-US"/>
        </w:rPr>
        <w:t xml:space="preserve">, S., Lyons, O., Weinberg, A., y Corman, L. (2013). </w:t>
      </w:r>
      <w:r w:rsidRPr="0003550D">
        <w:rPr>
          <w:iCs/>
          <w:lang w:val="pt-PT"/>
        </w:rPr>
        <w:t xml:space="preserve">Gender microaggressions: Perceptions, processes, and coping mechanisms of women. </w:t>
      </w:r>
      <w:proofErr w:type="spellStart"/>
      <w:r w:rsidRPr="0003550D">
        <w:rPr>
          <w:iCs/>
          <w:lang w:val="en-US"/>
        </w:rPr>
        <w:t>En</w:t>
      </w:r>
      <w:proofErr w:type="spellEnd"/>
      <w:r w:rsidRPr="0003550D">
        <w:rPr>
          <w:iCs/>
          <w:lang w:val="en-US"/>
        </w:rPr>
        <w:t xml:space="preserve"> M. A. </w:t>
      </w:r>
      <w:proofErr w:type="spellStart"/>
      <w:r w:rsidRPr="0003550D">
        <w:rPr>
          <w:iCs/>
          <w:lang w:val="en-US"/>
        </w:rPr>
        <w:t>Paludi</w:t>
      </w:r>
      <w:proofErr w:type="spellEnd"/>
      <w:r w:rsidRPr="0003550D">
        <w:rPr>
          <w:iCs/>
          <w:lang w:val="en-US"/>
        </w:rPr>
        <w:t xml:space="preserve"> (Ed.), </w:t>
      </w:r>
      <w:r w:rsidRPr="0003550D">
        <w:rPr>
          <w:i/>
          <w:iCs/>
          <w:lang w:val="en-US"/>
        </w:rPr>
        <w:t>Psychology for business success (Vol. 1): Juggling, balancing, and integrating work and family roles and responsibilities</w:t>
      </w:r>
      <w:r w:rsidRPr="0003550D">
        <w:rPr>
          <w:iCs/>
          <w:lang w:val="en-US"/>
        </w:rPr>
        <w:t xml:space="preserve"> (pp. 193-220). </w:t>
      </w:r>
      <w:proofErr w:type="spellStart"/>
      <w:r w:rsidRPr="0003550D">
        <w:rPr>
          <w:iCs/>
          <w:lang w:val="es-ES"/>
        </w:rPr>
        <w:t>Praeger</w:t>
      </w:r>
      <w:proofErr w:type="spellEnd"/>
      <w:r w:rsidRPr="0003550D">
        <w:rPr>
          <w:iCs/>
          <w:lang w:val="es-ES"/>
        </w:rPr>
        <w:t>/ABC-CLIO.</w:t>
      </w:r>
      <w:commentRangeEnd w:id="13"/>
      <w:r>
        <w:rPr>
          <w:rStyle w:val="Refdecomentario"/>
        </w:rPr>
        <w:commentReference w:id="13"/>
      </w:r>
    </w:p>
    <w:p w14:paraId="1A09F137" w14:textId="4BC143FD" w:rsidR="007C69B1" w:rsidRPr="007C69B1" w:rsidRDefault="007C69B1" w:rsidP="007C69B1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14"/>
      <w:r w:rsidRPr="007C69B1">
        <w:rPr>
          <w:iCs/>
          <w:lang w:val="en-US"/>
        </w:rPr>
        <w:t xml:space="preserve">Showalter, K. (2016). Women’s employment and domestic violence: A review of the literature. </w:t>
      </w:r>
      <w:r w:rsidRPr="007C69B1">
        <w:rPr>
          <w:i/>
          <w:iCs/>
          <w:lang w:val="en-US"/>
        </w:rPr>
        <w:t>Aggression and Violent Behavior, 31</w:t>
      </w:r>
      <w:r w:rsidRPr="007C69B1">
        <w:rPr>
          <w:iCs/>
          <w:lang w:val="en-US"/>
        </w:rPr>
        <w:t>, 37-47. https://doi.org/10.1016/j.avb.2016.06.017</w:t>
      </w:r>
      <w:commentRangeEnd w:id="14"/>
      <w:r>
        <w:rPr>
          <w:rStyle w:val="Refdecomentario"/>
        </w:rPr>
        <w:commentReference w:id="14"/>
      </w:r>
    </w:p>
    <w:p w14:paraId="482D6D6C" w14:textId="065B8C48" w:rsidR="003E18B8" w:rsidRDefault="003E18B8" w:rsidP="00690C7D">
      <w:pPr>
        <w:pStyle w:val="Prrafodelista"/>
        <w:numPr>
          <w:ilvl w:val="0"/>
          <w:numId w:val="11"/>
        </w:numPr>
        <w:rPr>
          <w:iCs/>
          <w:lang w:val="en-US"/>
        </w:rPr>
      </w:pPr>
      <w:r w:rsidRPr="003E18B8">
        <w:rPr>
          <w:iCs/>
          <w:lang w:val="en-US"/>
        </w:rPr>
        <w:t xml:space="preserve">Szymanski, D. M., y </w:t>
      </w:r>
      <w:proofErr w:type="spellStart"/>
      <w:r w:rsidRPr="003E18B8">
        <w:rPr>
          <w:iCs/>
          <w:lang w:val="en-US"/>
        </w:rPr>
        <w:t>Mikorski</w:t>
      </w:r>
      <w:proofErr w:type="spellEnd"/>
      <w:r w:rsidRPr="003E18B8">
        <w:rPr>
          <w:iCs/>
          <w:lang w:val="en-US"/>
        </w:rPr>
        <w:t>, R. (2017). Sexually Objectifying Environments: Power, Rumination, and Waitresses’ Anxiety and Disordered Eating</w:t>
      </w:r>
      <w:commentRangeStart w:id="15"/>
      <w:r w:rsidRPr="003E18B8">
        <w:rPr>
          <w:iCs/>
          <w:lang w:val="en-US"/>
        </w:rPr>
        <w:t>: Power, Rumination, and Waitresses’ Anxiety and Disordered Eating</w:t>
      </w:r>
      <w:commentRangeEnd w:id="15"/>
      <w:r>
        <w:rPr>
          <w:rStyle w:val="Refdecomentario"/>
        </w:rPr>
        <w:commentReference w:id="15"/>
      </w:r>
      <w:r w:rsidRPr="003E18B8">
        <w:rPr>
          <w:iCs/>
          <w:lang w:val="en-US"/>
        </w:rPr>
        <w:t xml:space="preserve">. </w:t>
      </w:r>
      <w:r w:rsidRPr="003E18B8">
        <w:rPr>
          <w:i/>
          <w:iCs/>
          <w:lang w:val="en-US"/>
        </w:rPr>
        <w:t>Psychology of Women Quarterly</w:t>
      </w:r>
      <w:r w:rsidRPr="003E18B8">
        <w:rPr>
          <w:iCs/>
          <w:lang w:val="en-US"/>
        </w:rPr>
        <w:t xml:space="preserve">, </w:t>
      </w:r>
      <w:r w:rsidRPr="003E18B8">
        <w:rPr>
          <w:i/>
          <w:iCs/>
          <w:lang w:val="en-US"/>
        </w:rPr>
        <w:t>41</w:t>
      </w:r>
      <w:r w:rsidRPr="003E18B8">
        <w:rPr>
          <w:iCs/>
          <w:lang w:val="en-US"/>
        </w:rPr>
        <w:t xml:space="preserve">(3), 314-324. </w:t>
      </w:r>
      <w:hyperlink r:id="rId16" w:history="1">
        <w:r w:rsidR="00D333A6" w:rsidRPr="00F85666">
          <w:rPr>
            <w:rStyle w:val="Hipervnculo"/>
            <w:iCs/>
            <w:lang w:val="en-US"/>
          </w:rPr>
          <w:t>https://doi.org/10.1177/0361684317709438</w:t>
        </w:r>
      </w:hyperlink>
    </w:p>
    <w:p w14:paraId="3DB51405" w14:textId="012163D4" w:rsidR="00D333A6" w:rsidRPr="001E1757" w:rsidRDefault="00D333A6" w:rsidP="00690C7D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16"/>
      <w:r w:rsidRPr="00D333A6">
        <w:rPr>
          <w:iCs/>
          <w:lang w:val="en-US"/>
        </w:rPr>
        <w:t xml:space="preserve">Tao, K. W., Owen, J., y </w:t>
      </w:r>
      <w:proofErr w:type="spellStart"/>
      <w:r w:rsidRPr="00D333A6">
        <w:rPr>
          <w:iCs/>
          <w:lang w:val="en-US"/>
        </w:rPr>
        <w:t>Drinane</w:t>
      </w:r>
      <w:proofErr w:type="spellEnd"/>
      <w:r w:rsidRPr="00D333A6">
        <w:rPr>
          <w:iCs/>
          <w:lang w:val="en-US"/>
        </w:rPr>
        <w:t xml:space="preserve">, J. M. (2017). Was that racist? An experimental study of microaggression ambiguity and emotional reactions for racial-ethnic minority and White individuals. </w:t>
      </w:r>
      <w:proofErr w:type="spellStart"/>
      <w:r w:rsidRPr="00D333A6">
        <w:rPr>
          <w:i/>
          <w:iCs/>
          <w:lang w:val="es-ES"/>
        </w:rPr>
        <w:t>Race</w:t>
      </w:r>
      <w:proofErr w:type="spellEnd"/>
      <w:r w:rsidRPr="00D333A6">
        <w:rPr>
          <w:i/>
          <w:iCs/>
          <w:lang w:val="es-ES"/>
        </w:rPr>
        <w:t xml:space="preserve"> and Social </w:t>
      </w:r>
      <w:proofErr w:type="spellStart"/>
      <w:r w:rsidRPr="00D333A6">
        <w:rPr>
          <w:i/>
          <w:iCs/>
          <w:lang w:val="es-ES"/>
        </w:rPr>
        <w:t>Problems</w:t>
      </w:r>
      <w:proofErr w:type="spellEnd"/>
      <w:r w:rsidRPr="00D333A6">
        <w:rPr>
          <w:i/>
          <w:iCs/>
          <w:lang w:val="es-ES"/>
        </w:rPr>
        <w:t>, 9</w:t>
      </w:r>
      <w:r w:rsidRPr="00D333A6">
        <w:rPr>
          <w:iCs/>
          <w:lang w:val="es-ES"/>
        </w:rPr>
        <w:t>, 262-271. https://doi.org/10.1007/s12552-017-9210-4</w:t>
      </w:r>
      <w:commentRangeEnd w:id="16"/>
      <w:r>
        <w:rPr>
          <w:rStyle w:val="Refdecomentario"/>
        </w:rPr>
        <w:commentReference w:id="16"/>
      </w:r>
    </w:p>
    <w:p w14:paraId="1B4931EB" w14:textId="7E34ECFE" w:rsidR="00E2174F" w:rsidRPr="00B02142" w:rsidRDefault="00E2174F" w:rsidP="00F235E6">
      <w:pPr>
        <w:pStyle w:val="Prrafodelista"/>
        <w:numPr>
          <w:ilvl w:val="0"/>
          <w:numId w:val="11"/>
        </w:numPr>
        <w:rPr>
          <w:lang w:val="es-ES"/>
        </w:rPr>
      </w:pPr>
      <w:r w:rsidRPr="00B02142">
        <w:rPr>
          <w:lang w:val="es-ES"/>
        </w:rPr>
        <w:br w:type="page"/>
      </w:r>
    </w:p>
    <w:p w14:paraId="0D281DA5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1C0FDBDA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09E45683" w14:textId="7ED61F8F" w:rsidR="00B42063" w:rsidRPr="00CD0CFF" w:rsidRDefault="00B42063" w:rsidP="00B417D0">
      <w:pPr>
        <w:ind w:firstLine="426"/>
        <w:jc w:val="both"/>
        <w:rPr>
          <w:lang w:val="es-ES"/>
        </w:rPr>
      </w:pPr>
      <w:r w:rsidRPr="00CD0CFF">
        <w:t xml:space="preserve">Por favor, </w:t>
      </w:r>
      <w:r w:rsidR="00B417D0" w:rsidRPr="00CD0CFF">
        <w:rPr>
          <w:b/>
          <w:bCs/>
        </w:rPr>
        <w:t>con</w:t>
      </w:r>
      <w:r w:rsidRPr="00CD0CFF">
        <w:rPr>
          <w:b/>
          <w:bCs/>
        </w:rPr>
        <w:t xml:space="preserve"> la herramienta “Comentar” (</w:t>
      </w:r>
      <w:r w:rsidR="00B417D0" w:rsidRPr="00CD0CFF">
        <w:rPr>
          <w:b/>
          <w:bCs/>
        </w:rPr>
        <w:t>añadiendo</w:t>
      </w:r>
      <w:r w:rsidRPr="00CD0CFF">
        <w:rPr>
          <w:b/>
          <w:bCs/>
        </w:rPr>
        <w:t xml:space="preserve"> nota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 xml:space="preserve"> adhesiva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>) en el PDF que le adjuntamos,</w:t>
      </w:r>
      <w:r w:rsidRPr="00CD0CFF">
        <w:t xml:space="preserve"> indique de forma clara y precisa cómo subsanar cada una de las incongruencias</w:t>
      </w:r>
      <w:r w:rsidR="00B417D0" w:rsidRPr="00CD0CFF">
        <w:t xml:space="preserve"> señaladas</w:t>
      </w:r>
      <w:r w:rsidR="00564009" w:rsidRPr="00CD0CFF">
        <w:t xml:space="preserve"> </w:t>
      </w:r>
      <w:r w:rsidR="00564009" w:rsidRPr="00CD0CFF">
        <w:rPr>
          <w:b/>
          <w:bCs/>
          <w:lang w:val="es-ES"/>
        </w:rPr>
        <w:t>e incluya la nomenclatura usada en el informe de errores en cada una de las notas. Ej. 1.1, 1.2</w:t>
      </w:r>
      <w:r w:rsidR="00564009" w:rsidRPr="00CD0CFF">
        <w:rPr>
          <w:lang w:val="es-ES"/>
        </w:rPr>
        <w:t>).</w:t>
      </w:r>
      <w:r w:rsidR="001C4DEE" w:rsidRPr="00CD0CFF">
        <w:rPr>
          <w:lang w:val="es-ES"/>
        </w:rPr>
        <w:t xml:space="preserve"> </w:t>
      </w:r>
      <w:r w:rsidR="00BB51DC" w:rsidRPr="00CD0CFF">
        <w:t xml:space="preserve">Asimismo, revise cuidadosamente la galerada para corregir otros posibles errores. Es especialmente importante que revise los nombres y </w:t>
      </w:r>
      <w:r w:rsidR="0064784E" w:rsidRPr="00CD0CFF">
        <w:t>a</w:t>
      </w:r>
      <w:r w:rsidR="00BB51DC" w:rsidRPr="00CD0CFF">
        <w:t xml:space="preserve">filiaciones de los autores. Dispone de un plazo de </w:t>
      </w:r>
      <w:r w:rsidR="00BB51DC" w:rsidRPr="00CD0CFF">
        <w:rPr>
          <w:b/>
          <w:bCs/>
        </w:rPr>
        <w:t>72 horas</w:t>
      </w:r>
      <w:r w:rsidR="00BB51DC" w:rsidRPr="00CD0CFF">
        <w:t xml:space="preserve"> para devolver las pruebas revisadas.</w:t>
      </w:r>
    </w:p>
    <w:p w14:paraId="1C079E8F" w14:textId="77777777" w:rsidR="00B417D0" w:rsidRPr="00CD0CFF" w:rsidRDefault="00B417D0" w:rsidP="00B417D0">
      <w:pPr>
        <w:rPr>
          <w:b/>
          <w:bCs/>
          <w:color w:val="365F91" w:themeColor="accent1" w:themeShade="BF"/>
        </w:rPr>
      </w:pPr>
    </w:p>
    <w:p w14:paraId="234BC26A" w14:textId="5F24A62B" w:rsidR="00B42063" w:rsidRPr="00CD0CFF" w:rsidRDefault="00B42063" w:rsidP="00B417D0">
      <w:pPr>
        <w:rPr>
          <w:b/>
          <w:bCs/>
          <w:color w:val="365F91" w:themeColor="accent1" w:themeShade="BF"/>
        </w:rPr>
      </w:pPr>
      <w:r w:rsidRPr="00CD0CFF">
        <w:rPr>
          <w:b/>
          <w:bCs/>
          <w:color w:val="365F91" w:themeColor="accent1" w:themeShade="BF"/>
        </w:rPr>
        <w:t>USO DE NOTAS ADHESIVAS EN ARCHIVOS PDF:</w:t>
      </w:r>
    </w:p>
    <w:p w14:paraId="337668FF" w14:textId="6719F30B" w:rsidR="00B42063" w:rsidRPr="00CD0CFF" w:rsidRDefault="00B42063" w:rsidP="00CD0CFF">
      <w:pPr>
        <w:spacing w:before="60" w:after="60"/>
        <w:jc w:val="both"/>
      </w:pPr>
      <w:r w:rsidRPr="00CD0CFF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A794BAD" wp14:editId="63ECAE69">
            <wp:simplePos x="0" y="0"/>
            <wp:positionH relativeFrom="column">
              <wp:posOffset>10160</wp:posOffset>
            </wp:positionH>
            <wp:positionV relativeFrom="paragraph">
              <wp:posOffset>73660</wp:posOffset>
            </wp:positionV>
            <wp:extent cx="3681730" cy="2883535"/>
            <wp:effectExtent l="63500" t="63500" r="12827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883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7D0" w:rsidRPr="00CD0CFF">
        <w:rPr>
          <w:lang w:val="es-ES"/>
        </w:rPr>
        <w:t>P</w:t>
      </w:r>
      <w:proofErr w:type="spellStart"/>
      <w:r w:rsidR="00124398" w:rsidRPr="00CD0CFF">
        <w:t>or</w:t>
      </w:r>
      <w:proofErr w:type="spellEnd"/>
      <w:r w:rsidR="00124398" w:rsidRPr="00CD0CFF">
        <w:t xml:space="preserve"> ejemplo, </w:t>
      </w:r>
      <w:r w:rsidR="00B417D0" w:rsidRPr="00CD0CFF">
        <w:t>indique</w:t>
      </w:r>
      <w:r w:rsidR="00124398" w:rsidRPr="00CD0CFF">
        <w:t xml:space="preserve"> si desea que tales citas en el texto o </w:t>
      </w:r>
      <w:r w:rsidR="00B417D0" w:rsidRPr="00CD0CFF">
        <w:t xml:space="preserve">en la lista de </w:t>
      </w:r>
      <w:r w:rsidR="00124398" w:rsidRPr="00CD0CFF">
        <w:t xml:space="preserve">referencias </w:t>
      </w:r>
      <w:r w:rsidR="00B417D0" w:rsidRPr="00CD0CFF">
        <w:t>han de ser</w:t>
      </w:r>
      <w:r w:rsidR="00124398" w:rsidRPr="00CD0CFF">
        <w:t xml:space="preserve"> eliminadas o c</w:t>
      </w:r>
      <w:r w:rsidR="00B417D0" w:rsidRPr="00CD0CFF">
        <w:t>ómo deben ser c</w:t>
      </w:r>
      <w:r w:rsidR="00124398" w:rsidRPr="00CD0CFF">
        <w:t xml:space="preserve">orregidas. </w:t>
      </w:r>
      <w:r w:rsidR="00B417D0" w:rsidRPr="00CD0CFF">
        <w:t>También p</w:t>
      </w:r>
      <w:r w:rsidR="00124398" w:rsidRPr="00CD0CFF">
        <w:t xml:space="preserve">uede actualizar los datos de referencias recientemente publicadas. </w:t>
      </w:r>
    </w:p>
    <w:p w14:paraId="15F9D063" w14:textId="03227359" w:rsidR="00FD59D2" w:rsidRPr="00CD0CFF" w:rsidRDefault="00124398" w:rsidP="00CD0CFF">
      <w:pPr>
        <w:spacing w:before="60" w:after="60"/>
        <w:jc w:val="both"/>
      </w:pPr>
      <w:r w:rsidRPr="00CD0CFF">
        <w:t>Los únicos cambios aceptables en</w:t>
      </w:r>
      <w:r w:rsidR="00FE0608" w:rsidRPr="00CD0CFF">
        <w:t xml:space="preserve"> esta</w:t>
      </w:r>
      <w:r w:rsidRPr="00CD0CFF">
        <w:t xml:space="preserve"> fase son los señalados, así como la corrección de errores. No se permiten otros cambios relacionados con el contenido científico o la autoría. </w:t>
      </w:r>
    </w:p>
    <w:p w14:paraId="1F8DA47F" w14:textId="11A63DD6" w:rsidR="00B42063" w:rsidRPr="00CD0CFF" w:rsidRDefault="00B42063" w:rsidP="00CD0CFF">
      <w:pPr>
        <w:spacing w:before="60" w:after="60"/>
        <w:jc w:val="both"/>
      </w:pPr>
      <w:r w:rsidRPr="00CD0CFF">
        <w:rPr>
          <w:b/>
          <w:bCs/>
        </w:rPr>
        <w:t xml:space="preserve">No se aceptará ningún otro medio ni canal para la subsanación de errores </w:t>
      </w:r>
      <w:r w:rsidRPr="00CD0CFF">
        <w:t>(</w:t>
      </w:r>
      <w:proofErr w:type="spellStart"/>
      <w:r w:rsidRPr="00CD0CFF">
        <w:t>e.g</w:t>
      </w:r>
      <w:proofErr w:type="spellEnd"/>
      <w:r w:rsidRPr="00CD0CFF">
        <w:t>., correo electrónico, documento de texto adjunto, teléfono, etc.)</w:t>
      </w:r>
    </w:p>
    <w:p w14:paraId="115EF575" w14:textId="319EFB42" w:rsidR="003F7354" w:rsidRPr="00CD0CFF" w:rsidRDefault="003F7354" w:rsidP="001D31EA">
      <w:pPr>
        <w:jc w:val="center"/>
        <w:rPr>
          <w:rFonts w:ascii="Times New Roman" w:eastAsia="Times New Roman" w:hAnsi="Times New Roman" w:cs="Times New Roman"/>
          <w:lang w:val="es-ES" w:eastAsia="es-ES_tradnl"/>
        </w:rPr>
      </w:pPr>
    </w:p>
    <w:p w14:paraId="2C831DB9" w14:textId="77777777" w:rsidR="00B417D0" w:rsidRPr="00CD0CFF" w:rsidRDefault="00B417D0" w:rsidP="00B82D38">
      <w:pPr>
        <w:ind w:firstLine="360"/>
        <w:rPr>
          <w:lang w:val="es-MX"/>
        </w:rPr>
      </w:pPr>
    </w:p>
    <w:p w14:paraId="1CDC1D56" w14:textId="77777777" w:rsidR="00CD0CFF" w:rsidRPr="00CD0CFF" w:rsidRDefault="00CD0CFF" w:rsidP="00CD0CFF">
      <w:pPr>
        <w:jc w:val="right"/>
      </w:pPr>
      <w:r w:rsidRPr="00CD0CFF">
        <w:t>A la espera de su pronta respuesta, atentamente le saluda:</w:t>
      </w:r>
    </w:p>
    <w:p w14:paraId="435E26D6" w14:textId="77777777" w:rsidR="00CD0CFF" w:rsidRPr="00CD0CFF" w:rsidRDefault="00CD0CFF" w:rsidP="00CD0CFF">
      <w:pPr>
        <w:jc w:val="right"/>
      </w:pPr>
    </w:p>
    <w:p w14:paraId="0E04BB3C" w14:textId="77777777" w:rsidR="00CD0CFF" w:rsidRPr="00D559E7" w:rsidRDefault="00CD0CFF" w:rsidP="00CD0CFF">
      <w:pPr>
        <w:jc w:val="right"/>
        <w:rPr>
          <w:lang w:val="es-ES"/>
        </w:rPr>
      </w:pPr>
      <w:r w:rsidRPr="00D559E7">
        <w:rPr>
          <w:lang w:val="es-ES"/>
        </w:rPr>
        <w:t>María Camila David Santamaría</w:t>
      </w:r>
    </w:p>
    <w:p w14:paraId="668F97F4" w14:textId="77777777" w:rsidR="00CD0CFF" w:rsidRPr="00D559E7" w:rsidRDefault="00CD0CFF" w:rsidP="00CD0CFF">
      <w:pPr>
        <w:jc w:val="right"/>
        <w:rPr>
          <w:lang w:val="es-ES"/>
        </w:rPr>
      </w:pPr>
      <w:r w:rsidRPr="00CD0CFF">
        <w:t xml:space="preserve">Auxiliar de Programación - </w:t>
      </w:r>
      <w:proofErr w:type="spellStart"/>
      <w:r w:rsidRPr="00CD0CFF">
        <w:t>Journals</w:t>
      </w:r>
      <w:proofErr w:type="spellEnd"/>
      <w:r w:rsidRPr="00CD0CFF">
        <w:t xml:space="preserve"> &amp; </w:t>
      </w:r>
      <w:proofErr w:type="spellStart"/>
      <w:r w:rsidRPr="00CD0CFF">
        <w:t>Authors</w:t>
      </w:r>
      <w:proofErr w:type="spellEnd"/>
    </w:p>
    <w:p w14:paraId="6239B780" w14:textId="59C95C05" w:rsidR="007A6134" w:rsidRPr="00CD0CFF" w:rsidRDefault="007A6134" w:rsidP="00CD0CFF">
      <w:pPr>
        <w:jc w:val="right"/>
        <w:rPr>
          <w:color w:val="595959" w:themeColor="text1" w:themeTint="A6"/>
          <w:lang w:val="es-ES"/>
        </w:rPr>
      </w:pPr>
    </w:p>
    <w:sectPr w:rsidR="007A6134" w:rsidRPr="00CD0CFF" w:rsidSect="00BC2556">
      <w:headerReference w:type="default" r:id="rId1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is" w:date="2026-03-09T19:04:00Z" w:initials="l">
    <w:p w14:paraId="4C90ACC6" w14:textId="35820716" w:rsidR="007C69B1" w:rsidRDefault="007C69B1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 xml:space="preserve">Hemos corregido: </w:t>
      </w:r>
      <w:proofErr w:type="spellStart"/>
      <w:r w:rsidRPr="007C69B1">
        <w:rPr>
          <w:lang w:val="es-ES"/>
        </w:rPr>
        <w:t>Selltiz</w:t>
      </w:r>
      <w:proofErr w:type="spellEnd"/>
      <w:r w:rsidRPr="007C69B1">
        <w:rPr>
          <w:lang w:val="es-ES"/>
        </w:rPr>
        <w:t xml:space="preserve"> et al. (1980)</w:t>
      </w:r>
    </w:p>
  </w:comment>
  <w:comment w:id="1" w:author="luis" w:date="2026-03-09T16:17:00Z" w:initials="l">
    <w:p w14:paraId="24C6166F" w14:textId="1AC1668C" w:rsidR="00690C7D" w:rsidRDefault="00690C7D">
      <w:pPr>
        <w:pStyle w:val="Textocomentario"/>
      </w:pPr>
      <w:r>
        <w:rPr>
          <w:rStyle w:val="Refdecomentario"/>
        </w:rPr>
        <w:annotationRef/>
      </w:r>
      <w:r>
        <w:t xml:space="preserve">Hemos corregido el id: </w:t>
      </w:r>
      <w:r w:rsidRPr="00690C7D">
        <w:t>809862</w:t>
      </w:r>
    </w:p>
  </w:comment>
  <w:comment w:id="2" w:author="luis" w:date="2026-03-09T16:16:00Z" w:initials="l">
    <w:p w14:paraId="3922BE46" w14:textId="005E1CC3" w:rsidR="00690C7D" w:rsidRDefault="00690C7D">
      <w:pPr>
        <w:pStyle w:val="Textocomentario"/>
      </w:pPr>
      <w:r>
        <w:rPr>
          <w:rStyle w:val="Refdecomentario"/>
        </w:rPr>
        <w:annotationRef/>
      </w:r>
      <w:r>
        <w:t xml:space="preserve">Hemos corregido el </w:t>
      </w:r>
      <w:proofErr w:type="spellStart"/>
      <w:r>
        <w:t>doi</w:t>
      </w:r>
      <w:proofErr w:type="spellEnd"/>
      <w:r>
        <w:t xml:space="preserve">: </w:t>
      </w:r>
      <w:hyperlink r:id="rId1" w:history="1">
        <w:r w:rsidR="007C69B1" w:rsidRPr="00F85666">
          <w:rPr>
            <w:rStyle w:val="Hipervnculo"/>
          </w:rPr>
          <w:t>https://doi.org/10.3389/fpsyg.2022.809862</w:t>
        </w:r>
      </w:hyperlink>
    </w:p>
  </w:comment>
  <w:comment w:id="3" w:author="luis" w:date="2026-03-09T18:31:00Z" w:initials="l">
    <w:p w14:paraId="5B31A43D" w14:textId="35562771" w:rsidR="00976EF6" w:rsidRDefault="00976EF6">
      <w:pPr>
        <w:pStyle w:val="Textocomentario"/>
      </w:pPr>
      <w:r>
        <w:rPr>
          <w:rStyle w:val="Refdecomentario"/>
        </w:rPr>
        <w:annotationRef/>
      </w:r>
      <w:r>
        <w:t>Esta referencia no está citada en el texto.</w:t>
      </w:r>
    </w:p>
  </w:comment>
  <w:comment w:id="4" w:author="luis" w:date="2026-03-09T16:24:00Z" w:initials="l">
    <w:p w14:paraId="5BD03FCF" w14:textId="4A669110" w:rsidR="00693862" w:rsidRDefault="00693862">
      <w:pPr>
        <w:pStyle w:val="Textocomentario"/>
      </w:pPr>
      <w:r>
        <w:rPr>
          <w:rStyle w:val="Refdecomentario"/>
        </w:rPr>
        <w:annotationRef/>
      </w:r>
      <w:r w:rsidR="0039616F">
        <w:t xml:space="preserve">Esta referencia no está citada en el texto. </w:t>
      </w:r>
      <w:proofErr w:type="gramStart"/>
      <w:r w:rsidR="0039616F">
        <w:t>Además</w:t>
      </w:r>
      <w:proofErr w:type="gramEnd"/>
      <w:r w:rsidR="0039616F">
        <w:t xml:space="preserve"> n</w:t>
      </w:r>
      <w:r>
        <w:t xml:space="preserve">o funciona el </w:t>
      </w:r>
      <w:proofErr w:type="spellStart"/>
      <w:r>
        <w:t>doi</w:t>
      </w:r>
      <w:proofErr w:type="spellEnd"/>
    </w:p>
  </w:comment>
  <w:comment w:id="5" w:author="luis" w:date="2026-03-09T18:38:00Z" w:initials="l">
    <w:p w14:paraId="3C485DB6" w14:textId="13430062" w:rsidR="0090131C" w:rsidRDefault="0090131C">
      <w:pPr>
        <w:pStyle w:val="Textocomentario"/>
      </w:pPr>
      <w:r>
        <w:rPr>
          <w:rStyle w:val="Refdecomentario"/>
        </w:rPr>
        <w:annotationRef/>
      </w:r>
      <w:r>
        <w:t>Esta referencia no está citada en el texto.</w:t>
      </w:r>
    </w:p>
  </w:comment>
  <w:comment w:id="6" w:author="luis" w:date="2026-03-09T18:41:00Z" w:initials="l">
    <w:p w14:paraId="51890705" w14:textId="77777777" w:rsidR="00850875" w:rsidRDefault="00850875" w:rsidP="00850875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Esta referencia no está citada en el texto.</w:t>
      </w:r>
    </w:p>
    <w:p w14:paraId="79D9898C" w14:textId="10DF24F5" w:rsidR="00850875" w:rsidRDefault="00850875">
      <w:pPr>
        <w:pStyle w:val="Textocomentario"/>
      </w:pPr>
    </w:p>
  </w:comment>
  <w:comment w:id="7" w:author="luis" w:date="2026-03-09T16:34:00Z" w:initials="l">
    <w:p w14:paraId="760EEA81" w14:textId="21786271" w:rsidR="00A931A4" w:rsidRPr="00A931A4" w:rsidRDefault="00A931A4">
      <w:pPr>
        <w:pStyle w:val="Textocomentario"/>
      </w:pPr>
      <w:r>
        <w:rPr>
          <w:rStyle w:val="Refdecomentario"/>
        </w:rPr>
        <w:annotationRef/>
      </w:r>
      <w:r w:rsidRPr="00A931A4">
        <w:t>No funciona el enlace</w:t>
      </w:r>
    </w:p>
  </w:comment>
  <w:comment w:id="8" w:author="luis" w:date="2026-03-09T18:48:00Z" w:initials="l">
    <w:p w14:paraId="3AAA87D7" w14:textId="30D25D87" w:rsidR="00D571C3" w:rsidRDefault="00D571C3">
      <w:pPr>
        <w:pStyle w:val="Textocomentario"/>
      </w:pPr>
      <w:r>
        <w:rPr>
          <w:rStyle w:val="Refdecomentario"/>
        </w:rPr>
        <w:annotationRef/>
      </w:r>
      <w:r>
        <w:t>Estas 2 referencias no están citadas en el texto.</w:t>
      </w:r>
    </w:p>
  </w:comment>
  <w:comment w:id="9" w:author="luis" w:date="2026-03-09T18:49:00Z" w:initials="l">
    <w:p w14:paraId="37C53B35" w14:textId="7F365218" w:rsidR="004854C0" w:rsidRDefault="004854C0">
      <w:pPr>
        <w:pStyle w:val="Textocomentario"/>
      </w:pPr>
      <w:r>
        <w:rPr>
          <w:rStyle w:val="Refdecomentario"/>
        </w:rPr>
        <w:annotationRef/>
      </w:r>
      <w:r>
        <w:t>Esta referencia no está citada en el texto</w:t>
      </w:r>
    </w:p>
  </w:comment>
  <w:comment w:id="10" w:author="luis" w:date="2026-03-09T18:52:00Z" w:initials="l">
    <w:p w14:paraId="24A4C915" w14:textId="77777777" w:rsidR="00D511F8" w:rsidRDefault="00D511F8" w:rsidP="00D511F8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Esta referencia no está citada en el texto</w:t>
      </w:r>
    </w:p>
    <w:p w14:paraId="79892C7B" w14:textId="60C2E06D" w:rsidR="00D511F8" w:rsidRDefault="00D511F8">
      <w:pPr>
        <w:pStyle w:val="Textocomentario"/>
      </w:pPr>
    </w:p>
  </w:comment>
  <w:comment w:id="11" w:author="luis" w:date="2026-03-09T16:47:00Z" w:initials="l">
    <w:p w14:paraId="47701FB3" w14:textId="25CAEC9F" w:rsidR="00A97F56" w:rsidRDefault="00A97F56">
      <w:pPr>
        <w:pStyle w:val="Textocomentario"/>
      </w:pPr>
      <w:r>
        <w:rPr>
          <w:rStyle w:val="Refdecomentario"/>
        </w:rPr>
        <w:annotationRef/>
      </w:r>
      <w:r>
        <w:t>Hemos rehecho la referencia:</w:t>
      </w:r>
    </w:p>
  </w:comment>
  <w:comment w:id="12" w:author="luis" w:date="2026-03-09T18:57:00Z" w:initials="l">
    <w:p w14:paraId="6BE98172" w14:textId="77777777" w:rsidR="00FE2D22" w:rsidRDefault="00FE2D22" w:rsidP="00FE2D22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Esta referencia no está citada en el texto</w:t>
      </w:r>
    </w:p>
    <w:p w14:paraId="0E1C9CFD" w14:textId="7817DD42" w:rsidR="00FE2D22" w:rsidRDefault="00FE2D22">
      <w:pPr>
        <w:pStyle w:val="Textocomentario"/>
      </w:pPr>
    </w:p>
  </w:comment>
  <w:comment w:id="13" w:author="luis" w:date="2026-03-09T18:59:00Z" w:initials="l">
    <w:p w14:paraId="670D4A32" w14:textId="77777777" w:rsidR="0003550D" w:rsidRDefault="0003550D" w:rsidP="0003550D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Esta referencia no está citada en el texto</w:t>
      </w:r>
    </w:p>
    <w:p w14:paraId="20C7850E" w14:textId="03E460E5" w:rsidR="0003550D" w:rsidRDefault="0003550D">
      <w:pPr>
        <w:pStyle w:val="Textocomentario"/>
      </w:pPr>
    </w:p>
  </w:comment>
  <w:comment w:id="14" w:author="luis" w:date="2026-03-09T19:06:00Z" w:initials="l">
    <w:p w14:paraId="7F6913F7" w14:textId="77777777" w:rsidR="007C69B1" w:rsidRDefault="007C69B1" w:rsidP="007C69B1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Esta referencia no está citada en el texto</w:t>
      </w:r>
    </w:p>
    <w:p w14:paraId="505A15CE" w14:textId="7D2FDF17" w:rsidR="007C69B1" w:rsidRDefault="007C69B1">
      <w:pPr>
        <w:pStyle w:val="Textocomentario"/>
      </w:pPr>
    </w:p>
  </w:comment>
  <w:comment w:id="15" w:author="luis" w:date="2026-03-09T17:07:00Z" w:initials="l">
    <w:p w14:paraId="50180DF3" w14:textId="3F9E718A" w:rsidR="003E18B8" w:rsidRDefault="003E18B8">
      <w:pPr>
        <w:pStyle w:val="Textocomentario"/>
      </w:pPr>
      <w:r>
        <w:rPr>
          <w:rStyle w:val="Refdecomentario"/>
        </w:rPr>
        <w:annotationRef/>
      </w:r>
      <w:r>
        <w:t>Lo hemos eliminado, está repetido</w:t>
      </w:r>
    </w:p>
  </w:comment>
  <w:comment w:id="16" w:author="luis" w:date="2026-03-09T19:10:00Z" w:initials="l">
    <w:p w14:paraId="08D08449" w14:textId="77777777" w:rsidR="00D333A6" w:rsidRDefault="00D333A6" w:rsidP="00D333A6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Esta referencia no está citada en el texto</w:t>
      </w:r>
    </w:p>
    <w:p w14:paraId="665819A2" w14:textId="426F905A" w:rsidR="00D333A6" w:rsidRDefault="00D333A6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C90ACC6" w15:done="0"/>
  <w15:commentEx w15:paraId="24C6166F" w15:done="0"/>
  <w15:commentEx w15:paraId="3922BE46" w15:done="0"/>
  <w15:commentEx w15:paraId="5B31A43D" w15:done="0"/>
  <w15:commentEx w15:paraId="5BD03FCF" w15:done="0"/>
  <w15:commentEx w15:paraId="3C485DB6" w15:done="0"/>
  <w15:commentEx w15:paraId="79D9898C" w15:done="0"/>
  <w15:commentEx w15:paraId="760EEA81" w15:done="0"/>
  <w15:commentEx w15:paraId="3AAA87D7" w15:done="0"/>
  <w15:commentEx w15:paraId="37C53B35" w15:done="0"/>
  <w15:commentEx w15:paraId="79892C7B" w15:done="0"/>
  <w15:commentEx w15:paraId="47701FB3" w15:done="0"/>
  <w15:commentEx w15:paraId="0E1C9CFD" w15:done="0"/>
  <w15:commentEx w15:paraId="20C7850E" w15:done="0"/>
  <w15:commentEx w15:paraId="505A15CE" w15:done="0"/>
  <w15:commentEx w15:paraId="50180DF3" w15:done="0"/>
  <w15:commentEx w15:paraId="665819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9982B" w16cex:dateUtc="2026-03-09T18:04:00Z"/>
  <w16cex:commentExtensible w16cex:durableId="2D59712D" w16cex:dateUtc="2026-03-09T15:17:00Z"/>
  <w16cex:commentExtensible w16cex:durableId="2D5970D0" w16cex:dateUtc="2026-03-09T15:16:00Z"/>
  <w16cex:commentExtensible w16cex:durableId="2D599081" w16cex:dateUtc="2026-03-09T17:31:00Z"/>
  <w16cex:commentExtensible w16cex:durableId="2D5972A3" w16cex:dateUtc="2026-03-09T15:24:00Z"/>
  <w16cex:commentExtensible w16cex:durableId="2D599220" w16cex:dateUtc="2026-03-09T17:38:00Z"/>
  <w16cex:commentExtensible w16cex:durableId="2D5992D6" w16cex:dateUtc="2026-03-09T17:41:00Z"/>
  <w16cex:commentExtensible w16cex:durableId="2D5974FF" w16cex:dateUtc="2026-03-09T15:34:00Z"/>
  <w16cex:commentExtensible w16cex:durableId="2D599473" w16cex:dateUtc="2026-03-09T17:48:00Z"/>
  <w16cex:commentExtensible w16cex:durableId="2D5994B1" w16cex:dateUtc="2026-03-09T17:49:00Z"/>
  <w16cex:commentExtensible w16cex:durableId="2D599550" w16cex:dateUtc="2026-03-09T17:52:00Z"/>
  <w16cex:commentExtensible w16cex:durableId="2D597812" w16cex:dateUtc="2026-03-09T15:47:00Z"/>
  <w16cex:commentExtensible w16cex:durableId="2D599696" w16cex:dateUtc="2026-03-09T17:57:00Z"/>
  <w16cex:commentExtensible w16cex:durableId="2D59972F" w16cex:dateUtc="2026-03-09T17:59:00Z"/>
  <w16cex:commentExtensible w16cex:durableId="2D599898" w16cex:dateUtc="2026-03-09T18:06:00Z"/>
  <w16cex:commentExtensible w16cex:durableId="2D597CC4" w16cex:dateUtc="2026-03-09T16:07:00Z"/>
  <w16cex:commentExtensible w16cex:durableId="2D59999D" w16cex:dateUtc="2026-03-09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C90ACC6" w16cid:durableId="2D59982B"/>
  <w16cid:commentId w16cid:paraId="24C6166F" w16cid:durableId="2D59712D"/>
  <w16cid:commentId w16cid:paraId="3922BE46" w16cid:durableId="2D5970D0"/>
  <w16cid:commentId w16cid:paraId="5B31A43D" w16cid:durableId="2D599081"/>
  <w16cid:commentId w16cid:paraId="5BD03FCF" w16cid:durableId="2D5972A3"/>
  <w16cid:commentId w16cid:paraId="3C485DB6" w16cid:durableId="2D599220"/>
  <w16cid:commentId w16cid:paraId="79D9898C" w16cid:durableId="2D5992D6"/>
  <w16cid:commentId w16cid:paraId="760EEA81" w16cid:durableId="2D5974FF"/>
  <w16cid:commentId w16cid:paraId="3AAA87D7" w16cid:durableId="2D599473"/>
  <w16cid:commentId w16cid:paraId="37C53B35" w16cid:durableId="2D5994B1"/>
  <w16cid:commentId w16cid:paraId="79892C7B" w16cid:durableId="2D599550"/>
  <w16cid:commentId w16cid:paraId="47701FB3" w16cid:durableId="2D597812"/>
  <w16cid:commentId w16cid:paraId="0E1C9CFD" w16cid:durableId="2D599696"/>
  <w16cid:commentId w16cid:paraId="20C7850E" w16cid:durableId="2D59972F"/>
  <w16cid:commentId w16cid:paraId="505A15CE" w16cid:durableId="2D599898"/>
  <w16cid:commentId w16cid:paraId="50180DF3" w16cid:durableId="2D597CC4"/>
  <w16cid:commentId w16cid:paraId="665819A2" w16cid:durableId="2D5999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E89F" w14:textId="77777777" w:rsidR="004A5F3C" w:rsidRDefault="004A5F3C" w:rsidP="007A6134">
      <w:r>
        <w:separator/>
      </w:r>
    </w:p>
  </w:endnote>
  <w:endnote w:type="continuationSeparator" w:id="0">
    <w:p w14:paraId="24B9A86E" w14:textId="77777777" w:rsidR="004A5F3C" w:rsidRDefault="004A5F3C" w:rsidP="007A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0"/>
    <w:family w:val="auto"/>
    <w:pitch w:val="variable"/>
    <w:sig w:usb0="800000EB" w:usb1="380160EA" w:usb2="144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BDCA" w14:textId="77777777" w:rsidR="004A5F3C" w:rsidRDefault="004A5F3C" w:rsidP="007A6134">
      <w:r>
        <w:separator/>
      </w:r>
    </w:p>
  </w:footnote>
  <w:footnote w:type="continuationSeparator" w:id="0">
    <w:p w14:paraId="67555B66" w14:textId="77777777" w:rsidR="004A5F3C" w:rsidRDefault="004A5F3C" w:rsidP="007A6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F3CF" w14:textId="450C6687" w:rsidR="007A6134" w:rsidRDefault="002249A6">
    <w:pPr>
      <w:pStyle w:val="Encabezado"/>
    </w:pPr>
    <w:r>
      <w:rPr>
        <w:noProof/>
        <w:lang w:val="es-ES"/>
      </w:rPr>
      <w:drawing>
        <wp:inline distT="0" distB="0" distL="0" distR="0" wp14:anchorId="07C62DC0" wp14:editId="7ECBE769">
          <wp:extent cx="5396230" cy="118872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era_word_15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623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B77"/>
    <w:multiLevelType w:val="hybridMultilevel"/>
    <w:tmpl w:val="C73C01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226"/>
    <w:multiLevelType w:val="hybridMultilevel"/>
    <w:tmpl w:val="77BE1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24CC1"/>
    <w:multiLevelType w:val="hybridMultilevel"/>
    <w:tmpl w:val="87487028"/>
    <w:lvl w:ilvl="0" w:tplc="ED1E5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56F2"/>
    <w:multiLevelType w:val="hybridMultilevel"/>
    <w:tmpl w:val="22B24D6C"/>
    <w:lvl w:ilvl="0" w:tplc="CFC2E5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D18FE"/>
    <w:multiLevelType w:val="multilevel"/>
    <w:tmpl w:val="FAD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67B"/>
    <w:multiLevelType w:val="hybridMultilevel"/>
    <w:tmpl w:val="D946FD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34DCE"/>
    <w:multiLevelType w:val="multilevel"/>
    <w:tmpl w:val="34F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32650"/>
    <w:multiLevelType w:val="hybridMultilevel"/>
    <w:tmpl w:val="F10E53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31EB1"/>
    <w:multiLevelType w:val="hybridMultilevel"/>
    <w:tmpl w:val="281C0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D4F64"/>
    <w:multiLevelType w:val="hybridMultilevel"/>
    <w:tmpl w:val="2FFE8EC8"/>
    <w:lvl w:ilvl="0" w:tplc="04F0C8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A213E8E"/>
    <w:multiLevelType w:val="hybridMultilevel"/>
    <w:tmpl w:val="03F42236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E44CE"/>
    <w:multiLevelType w:val="hybridMultilevel"/>
    <w:tmpl w:val="15023D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E3E46"/>
    <w:multiLevelType w:val="hybridMultilevel"/>
    <w:tmpl w:val="97DC6D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96012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44AB1F27"/>
    <w:multiLevelType w:val="hybridMultilevel"/>
    <w:tmpl w:val="A4A623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52817"/>
    <w:multiLevelType w:val="hybridMultilevel"/>
    <w:tmpl w:val="5246B98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4E0F1D"/>
    <w:multiLevelType w:val="multilevel"/>
    <w:tmpl w:val="1D0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F59E4"/>
    <w:multiLevelType w:val="hybridMultilevel"/>
    <w:tmpl w:val="7F3CA49C"/>
    <w:lvl w:ilvl="0" w:tplc="9A6A795A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4A6961"/>
    <w:multiLevelType w:val="hybridMultilevel"/>
    <w:tmpl w:val="025A8964"/>
    <w:lvl w:ilvl="0" w:tplc="8A30D7F0">
      <w:numFmt w:val="bullet"/>
      <w:lvlText w:val="-"/>
      <w:lvlJc w:val="left"/>
      <w:pPr>
        <w:ind w:left="150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9" w15:restartNumberingAfterBreak="0">
    <w:nsid w:val="58DD5E24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59E74641"/>
    <w:multiLevelType w:val="hybridMultilevel"/>
    <w:tmpl w:val="FA82F9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20698"/>
    <w:multiLevelType w:val="hybridMultilevel"/>
    <w:tmpl w:val="711CB6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952296"/>
    <w:multiLevelType w:val="hybridMultilevel"/>
    <w:tmpl w:val="004A7B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543DC6"/>
    <w:multiLevelType w:val="hybridMultilevel"/>
    <w:tmpl w:val="3F948B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6779C"/>
    <w:multiLevelType w:val="hybridMultilevel"/>
    <w:tmpl w:val="E2685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55F1C"/>
    <w:multiLevelType w:val="hybridMultilevel"/>
    <w:tmpl w:val="B2C01762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90D03"/>
    <w:multiLevelType w:val="hybridMultilevel"/>
    <w:tmpl w:val="B91E65D8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2E5E79"/>
    <w:multiLevelType w:val="hybridMultilevel"/>
    <w:tmpl w:val="1C5097E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25"/>
  </w:num>
  <w:num w:numId="4">
    <w:abstractNumId w:val="4"/>
  </w:num>
  <w:num w:numId="5">
    <w:abstractNumId w:val="15"/>
  </w:num>
  <w:num w:numId="6">
    <w:abstractNumId w:val="3"/>
  </w:num>
  <w:num w:numId="7">
    <w:abstractNumId w:val="9"/>
  </w:num>
  <w:num w:numId="8">
    <w:abstractNumId w:val="0"/>
  </w:num>
  <w:num w:numId="9">
    <w:abstractNumId w:val="19"/>
  </w:num>
  <w:num w:numId="10">
    <w:abstractNumId w:val="13"/>
  </w:num>
  <w:num w:numId="11">
    <w:abstractNumId w:val="17"/>
  </w:num>
  <w:num w:numId="12">
    <w:abstractNumId w:val="10"/>
  </w:num>
  <w:num w:numId="13">
    <w:abstractNumId w:val="18"/>
  </w:num>
  <w:num w:numId="14">
    <w:abstractNumId w:val="26"/>
  </w:num>
  <w:num w:numId="15">
    <w:abstractNumId w:val="2"/>
  </w:num>
  <w:num w:numId="16">
    <w:abstractNumId w:val="20"/>
  </w:num>
  <w:num w:numId="17">
    <w:abstractNumId w:val="5"/>
  </w:num>
  <w:num w:numId="18">
    <w:abstractNumId w:val="16"/>
  </w:num>
  <w:num w:numId="19">
    <w:abstractNumId w:val="27"/>
  </w:num>
  <w:num w:numId="20">
    <w:abstractNumId w:val="21"/>
  </w:num>
  <w:num w:numId="21">
    <w:abstractNumId w:val="8"/>
  </w:num>
  <w:num w:numId="22">
    <w:abstractNumId w:val="12"/>
  </w:num>
  <w:num w:numId="23">
    <w:abstractNumId w:val="22"/>
  </w:num>
  <w:num w:numId="24">
    <w:abstractNumId w:val="23"/>
  </w:num>
  <w:num w:numId="25">
    <w:abstractNumId w:val="7"/>
  </w:num>
  <w:num w:numId="26">
    <w:abstractNumId w:val="24"/>
  </w:num>
  <w:num w:numId="27">
    <w:abstractNumId w:val="6"/>
  </w:num>
  <w:num w:numId="28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">
    <w15:presenceInfo w15:providerId="None" w15:userId="lu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3"/>
    <w:rsid w:val="00006446"/>
    <w:rsid w:val="00017AC8"/>
    <w:rsid w:val="0003550D"/>
    <w:rsid w:val="0003678F"/>
    <w:rsid w:val="00042345"/>
    <w:rsid w:val="00053062"/>
    <w:rsid w:val="00061805"/>
    <w:rsid w:val="00063FCC"/>
    <w:rsid w:val="00076062"/>
    <w:rsid w:val="000771DC"/>
    <w:rsid w:val="00087086"/>
    <w:rsid w:val="000962BB"/>
    <w:rsid w:val="000A3451"/>
    <w:rsid w:val="000B3D89"/>
    <w:rsid w:val="000B4A61"/>
    <w:rsid w:val="000D7B22"/>
    <w:rsid w:val="000D7DE1"/>
    <w:rsid w:val="000E5294"/>
    <w:rsid w:val="000E6040"/>
    <w:rsid w:val="000F3C96"/>
    <w:rsid w:val="000F52DE"/>
    <w:rsid w:val="000F755C"/>
    <w:rsid w:val="00107025"/>
    <w:rsid w:val="00110327"/>
    <w:rsid w:val="00114F19"/>
    <w:rsid w:val="00124398"/>
    <w:rsid w:val="00130AE9"/>
    <w:rsid w:val="0015346D"/>
    <w:rsid w:val="00162C71"/>
    <w:rsid w:val="00173C6D"/>
    <w:rsid w:val="0018423C"/>
    <w:rsid w:val="001933EA"/>
    <w:rsid w:val="001A5B20"/>
    <w:rsid w:val="001C038B"/>
    <w:rsid w:val="001C4DEE"/>
    <w:rsid w:val="001C6BC1"/>
    <w:rsid w:val="001D0DAD"/>
    <w:rsid w:val="001D31EA"/>
    <w:rsid w:val="001E0410"/>
    <w:rsid w:val="001E0667"/>
    <w:rsid w:val="001E1757"/>
    <w:rsid w:val="001E396F"/>
    <w:rsid w:val="001E6695"/>
    <w:rsid w:val="001F278F"/>
    <w:rsid w:val="002037B2"/>
    <w:rsid w:val="00206D0E"/>
    <w:rsid w:val="00207385"/>
    <w:rsid w:val="00207B8F"/>
    <w:rsid w:val="00210EF9"/>
    <w:rsid w:val="00216E49"/>
    <w:rsid w:val="002249A6"/>
    <w:rsid w:val="00225F36"/>
    <w:rsid w:val="002359E2"/>
    <w:rsid w:val="00240B02"/>
    <w:rsid w:val="00241CA0"/>
    <w:rsid w:val="00242205"/>
    <w:rsid w:val="002422AB"/>
    <w:rsid w:val="00251094"/>
    <w:rsid w:val="0025196E"/>
    <w:rsid w:val="002752E1"/>
    <w:rsid w:val="00283D40"/>
    <w:rsid w:val="002877A3"/>
    <w:rsid w:val="00294CD1"/>
    <w:rsid w:val="002A0154"/>
    <w:rsid w:val="002A55BA"/>
    <w:rsid w:val="002A76F3"/>
    <w:rsid w:val="002B0D7C"/>
    <w:rsid w:val="002B2BF4"/>
    <w:rsid w:val="002D176A"/>
    <w:rsid w:val="0030498A"/>
    <w:rsid w:val="00327AB7"/>
    <w:rsid w:val="0033229A"/>
    <w:rsid w:val="00350183"/>
    <w:rsid w:val="00353B29"/>
    <w:rsid w:val="00353EF9"/>
    <w:rsid w:val="00357537"/>
    <w:rsid w:val="0036271E"/>
    <w:rsid w:val="00363F53"/>
    <w:rsid w:val="00370E71"/>
    <w:rsid w:val="00374A89"/>
    <w:rsid w:val="00377C97"/>
    <w:rsid w:val="00393A25"/>
    <w:rsid w:val="0039616F"/>
    <w:rsid w:val="003977C9"/>
    <w:rsid w:val="003A5D4E"/>
    <w:rsid w:val="003B447E"/>
    <w:rsid w:val="003B600A"/>
    <w:rsid w:val="003C7EC7"/>
    <w:rsid w:val="003D2ED6"/>
    <w:rsid w:val="003D5007"/>
    <w:rsid w:val="003D6754"/>
    <w:rsid w:val="003D6845"/>
    <w:rsid w:val="003D695E"/>
    <w:rsid w:val="003E18B8"/>
    <w:rsid w:val="003E56CA"/>
    <w:rsid w:val="003F3968"/>
    <w:rsid w:val="003F7354"/>
    <w:rsid w:val="00400C55"/>
    <w:rsid w:val="00403384"/>
    <w:rsid w:val="0040550A"/>
    <w:rsid w:val="00407141"/>
    <w:rsid w:val="0045631B"/>
    <w:rsid w:val="00462FF3"/>
    <w:rsid w:val="00465939"/>
    <w:rsid w:val="0047401C"/>
    <w:rsid w:val="004768AF"/>
    <w:rsid w:val="004854C0"/>
    <w:rsid w:val="004A2C54"/>
    <w:rsid w:val="004A5983"/>
    <w:rsid w:val="004A5F3C"/>
    <w:rsid w:val="004B2841"/>
    <w:rsid w:val="004C2B44"/>
    <w:rsid w:val="004D082E"/>
    <w:rsid w:val="004D5734"/>
    <w:rsid w:val="004E1481"/>
    <w:rsid w:val="00502090"/>
    <w:rsid w:val="00503113"/>
    <w:rsid w:val="0050348D"/>
    <w:rsid w:val="00510253"/>
    <w:rsid w:val="00511EFF"/>
    <w:rsid w:val="00516222"/>
    <w:rsid w:val="00536684"/>
    <w:rsid w:val="005371E6"/>
    <w:rsid w:val="005421AA"/>
    <w:rsid w:val="005459A6"/>
    <w:rsid w:val="005514FC"/>
    <w:rsid w:val="00552FE9"/>
    <w:rsid w:val="005602EA"/>
    <w:rsid w:val="00561329"/>
    <w:rsid w:val="00564009"/>
    <w:rsid w:val="005736AE"/>
    <w:rsid w:val="005801AC"/>
    <w:rsid w:val="0058152F"/>
    <w:rsid w:val="00584C26"/>
    <w:rsid w:val="005919BA"/>
    <w:rsid w:val="00596A28"/>
    <w:rsid w:val="005C27DC"/>
    <w:rsid w:val="005C4661"/>
    <w:rsid w:val="005D1996"/>
    <w:rsid w:val="005E5302"/>
    <w:rsid w:val="005E5B06"/>
    <w:rsid w:val="005E621D"/>
    <w:rsid w:val="005F51C7"/>
    <w:rsid w:val="00605396"/>
    <w:rsid w:val="0060561F"/>
    <w:rsid w:val="006070C9"/>
    <w:rsid w:val="00623493"/>
    <w:rsid w:val="006261A5"/>
    <w:rsid w:val="006269EE"/>
    <w:rsid w:val="00631D03"/>
    <w:rsid w:val="00632EE9"/>
    <w:rsid w:val="00636863"/>
    <w:rsid w:val="006406B9"/>
    <w:rsid w:val="00645759"/>
    <w:rsid w:val="0064784E"/>
    <w:rsid w:val="00655E9D"/>
    <w:rsid w:val="0066094B"/>
    <w:rsid w:val="006623B4"/>
    <w:rsid w:val="00665791"/>
    <w:rsid w:val="00670AFD"/>
    <w:rsid w:val="00677499"/>
    <w:rsid w:val="00684194"/>
    <w:rsid w:val="006845BB"/>
    <w:rsid w:val="0068529C"/>
    <w:rsid w:val="006908D0"/>
    <w:rsid w:val="00690C7D"/>
    <w:rsid w:val="00693862"/>
    <w:rsid w:val="00693D34"/>
    <w:rsid w:val="00695FC3"/>
    <w:rsid w:val="006C5F6C"/>
    <w:rsid w:val="006D19C9"/>
    <w:rsid w:val="006D7940"/>
    <w:rsid w:val="006F0789"/>
    <w:rsid w:val="006F0B00"/>
    <w:rsid w:val="006F2CC0"/>
    <w:rsid w:val="006F3C82"/>
    <w:rsid w:val="006F4508"/>
    <w:rsid w:val="006F569A"/>
    <w:rsid w:val="00712094"/>
    <w:rsid w:val="007151D1"/>
    <w:rsid w:val="00727F26"/>
    <w:rsid w:val="007315C8"/>
    <w:rsid w:val="007345F7"/>
    <w:rsid w:val="00737C69"/>
    <w:rsid w:val="00741788"/>
    <w:rsid w:val="00745473"/>
    <w:rsid w:val="007476D8"/>
    <w:rsid w:val="0075612F"/>
    <w:rsid w:val="007667AA"/>
    <w:rsid w:val="00781D38"/>
    <w:rsid w:val="00794F1D"/>
    <w:rsid w:val="007966F0"/>
    <w:rsid w:val="007A6134"/>
    <w:rsid w:val="007B0716"/>
    <w:rsid w:val="007B0E35"/>
    <w:rsid w:val="007B178A"/>
    <w:rsid w:val="007B40A6"/>
    <w:rsid w:val="007C6389"/>
    <w:rsid w:val="007C69B1"/>
    <w:rsid w:val="007D06BF"/>
    <w:rsid w:val="007D0EF5"/>
    <w:rsid w:val="007E760D"/>
    <w:rsid w:val="007F41AC"/>
    <w:rsid w:val="00807141"/>
    <w:rsid w:val="00835AB1"/>
    <w:rsid w:val="00837ACE"/>
    <w:rsid w:val="00844521"/>
    <w:rsid w:val="00844DE5"/>
    <w:rsid w:val="00850875"/>
    <w:rsid w:val="00855CA8"/>
    <w:rsid w:val="0085645E"/>
    <w:rsid w:val="00862112"/>
    <w:rsid w:val="00865EDF"/>
    <w:rsid w:val="00871595"/>
    <w:rsid w:val="00876CA9"/>
    <w:rsid w:val="00881D17"/>
    <w:rsid w:val="00892273"/>
    <w:rsid w:val="008A6357"/>
    <w:rsid w:val="008B0360"/>
    <w:rsid w:val="008B4087"/>
    <w:rsid w:val="008B4266"/>
    <w:rsid w:val="008B4C14"/>
    <w:rsid w:val="008C2BE1"/>
    <w:rsid w:val="008D024A"/>
    <w:rsid w:val="008E0275"/>
    <w:rsid w:val="008E43CF"/>
    <w:rsid w:val="008E77F8"/>
    <w:rsid w:val="008E7EC0"/>
    <w:rsid w:val="008F403E"/>
    <w:rsid w:val="0090131C"/>
    <w:rsid w:val="009019D0"/>
    <w:rsid w:val="00910361"/>
    <w:rsid w:val="0091136C"/>
    <w:rsid w:val="00931EEA"/>
    <w:rsid w:val="009440D1"/>
    <w:rsid w:val="0094639E"/>
    <w:rsid w:val="0095052A"/>
    <w:rsid w:val="00950C18"/>
    <w:rsid w:val="00966BB3"/>
    <w:rsid w:val="009670A1"/>
    <w:rsid w:val="00971E37"/>
    <w:rsid w:val="009720B2"/>
    <w:rsid w:val="009752C3"/>
    <w:rsid w:val="00976861"/>
    <w:rsid w:val="00976EF6"/>
    <w:rsid w:val="00985A17"/>
    <w:rsid w:val="00996DA2"/>
    <w:rsid w:val="009975FB"/>
    <w:rsid w:val="009A04D4"/>
    <w:rsid w:val="009A1CF9"/>
    <w:rsid w:val="009A4D2D"/>
    <w:rsid w:val="009A6145"/>
    <w:rsid w:val="009B2713"/>
    <w:rsid w:val="009C24A5"/>
    <w:rsid w:val="009C67DD"/>
    <w:rsid w:val="009D04E1"/>
    <w:rsid w:val="009D0F1D"/>
    <w:rsid w:val="009D4501"/>
    <w:rsid w:val="009D4C11"/>
    <w:rsid w:val="009D52AC"/>
    <w:rsid w:val="009F0A6E"/>
    <w:rsid w:val="009F0CF6"/>
    <w:rsid w:val="00A16E3A"/>
    <w:rsid w:val="00A3778A"/>
    <w:rsid w:val="00A410F6"/>
    <w:rsid w:val="00A415E2"/>
    <w:rsid w:val="00A62AB4"/>
    <w:rsid w:val="00A66F16"/>
    <w:rsid w:val="00A73A9F"/>
    <w:rsid w:val="00A76A9C"/>
    <w:rsid w:val="00A76B0D"/>
    <w:rsid w:val="00A7757F"/>
    <w:rsid w:val="00A82EA5"/>
    <w:rsid w:val="00A85728"/>
    <w:rsid w:val="00A931A4"/>
    <w:rsid w:val="00A97F56"/>
    <w:rsid w:val="00AA1D15"/>
    <w:rsid w:val="00AA5919"/>
    <w:rsid w:val="00AD0A40"/>
    <w:rsid w:val="00AE375F"/>
    <w:rsid w:val="00AF346D"/>
    <w:rsid w:val="00B02142"/>
    <w:rsid w:val="00B101F9"/>
    <w:rsid w:val="00B10B38"/>
    <w:rsid w:val="00B16F21"/>
    <w:rsid w:val="00B21A20"/>
    <w:rsid w:val="00B32A8C"/>
    <w:rsid w:val="00B373B4"/>
    <w:rsid w:val="00B37D15"/>
    <w:rsid w:val="00B417D0"/>
    <w:rsid w:val="00B42063"/>
    <w:rsid w:val="00B430B0"/>
    <w:rsid w:val="00B45369"/>
    <w:rsid w:val="00B4560D"/>
    <w:rsid w:val="00B63B91"/>
    <w:rsid w:val="00B65EEA"/>
    <w:rsid w:val="00B82D38"/>
    <w:rsid w:val="00B85950"/>
    <w:rsid w:val="00B9044A"/>
    <w:rsid w:val="00B91CE6"/>
    <w:rsid w:val="00BA0024"/>
    <w:rsid w:val="00BA02DE"/>
    <w:rsid w:val="00BB28AB"/>
    <w:rsid w:val="00BB51DC"/>
    <w:rsid w:val="00BB65B5"/>
    <w:rsid w:val="00BB799F"/>
    <w:rsid w:val="00BC153A"/>
    <w:rsid w:val="00BC2556"/>
    <w:rsid w:val="00BC59AE"/>
    <w:rsid w:val="00BC628E"/>
    <w:rsid w:val="00BD615E"/>
    <w:rsid w:val="00BE1B96"/>
    <w:rsid w:val="00BE1DA3"/>
    <w:rsid w:val="00BE7A7D"/>
    <w:rsid w:val="00BF4644"/>
    <w:rsid w:val="00C006CA"/>
    <w:rsid w:val="00C01B91"/>
    <w:rsid w:val="00C10615"/>
    <w:rsid w:val="00C138FB"/>
    <w:rsid w:val="00C15809"/>
    <w:rsid w:val="00C16243"/>
    <w:rsid w:val="00C27CA1"/>
    <w:rsid w:val="00C3314E"/>
    <w:rsid w:val="00C33B07"/>
    <w:rsid w:val="00C402AD"/>
    <w:rsid w:val="00C45FAA"/>
    <w:rsid w:val="00C52D41"/>
    <w:rsid w:val="00C53AD6"/>
    <w:rsid w:val="00C56546"/>
    <w:rsid w:val="00C60435"/>
    <w:rsid w:val="00C60478"/>
    <w:rsid w:val="00C74C55"/>
    <w:rsid w:val="00C760CE"/>
    <w:rsid w:val="00C82865"/>
    <w:rsid w:val="00C91A51"/>
    <w:rsid w:val="00C93784"/>
    <w:rsid w:val="00C95F38"/>
    <w:rsid w:val="00CA0E7F"/>
    <w:rsid w:val="00CA6AED"/>
    <w:rsid w:val="00CC2633"/>
    <w:rsid w:val="00CD0CFF"/>
    <w:rsid w:val="00CE151C"/>
    <w:rsid w:val="00CF1C35"/>
    <w:rsid w:val="00CF359E"/>
    <w:rsid w:val="00CF59E6"/>
    <w:rsid w:val="00D040DF"/>
    <w:rsid w:val="00D05BA6"/>
    <w:rsid w:val="00D07CF1"/>
    <w:rsid w:val="00D13766"/>
    <w:rsid w:val="00D21D28"/>
    <w:rsid w:val="00D27B58"/>
    <w:rsid w:val="00D333A6"/>
    <w:rsid w:val="00D360E7"/>
    <w:rsid w:val="00D511F8"/>
    <w:rsid w:val="00D51305"/>
    <w:rsid w:val="00D559E7"/>
    <w:rsid w:val="00D56420"/>
    <w:rsid w:val="00D571C3"/>
    <w:rsid w:val="00D6283B"/>
    <w:rsid w:val="00D731D1"/>
    <w:rsid w:val="00D74ADA"/>
    <w:rsid w:val="00D82222"/>
    <w:rsid w:val="00D849AA"/>
    <w:rsid w:val="00DB0DD8"/>
    <w:rsid w:val="00DB2564"/>
    <w:rsid w:val="00DB3AF1"/>
    <w:rsid w:val="00DC0A24"/>
    <w:rsid w:val="00DC7172"/>
    <w:rsid w:val="00DD0D17"/>
    <w:rsid w:val="00DD1295"/>
    <w:rsid w:val="00DD38D4"/>
    <w:rsid w:val="00DE187E"/>
    <w:rsid w:val="00DF3E60"/>
    <w:rsid w:val="00DF740F"/>
    <w:rsid w:val="00E05EC4"/>
    <w:rsid w:val="00E12391"/>
    <w:rsid w:val="00E2174F"/>
    <w:rsid w:val="00E23329"/>
    <w:rsid w:val="00E32426"/>
    <w:rsid w:val="00E36F9D"/>
    <w:rsid w:val="00E4450B"/>
    <w:rsid w:val="00E44DE0"/>
    <w:rsid w:val="00E4546E"/>
    <w:rsid w:val="00E57BDA"/>
    <w:rsid w:val="00E64EC1"/>
    <w:rsid w:val="00EA14B1"/>
    <w:rsid w:val="00EB4B8F"/>
    <w:rsid w:val="00EC0B96"/>
    <w:rsid w:val="00ED49C6"/>
    <w:rsid w:val="00EE06D5"/>
    <w:rsid w:val="00EE3426"/>
    <w:rsid w:val="00EF6280"/>
    <w:rsid w:val="00F00A65"/>
    <w:rsid w:val="00F07BD7"/>
    <w:rsid w:val="00F106D5"/>
    <w:rsid w:val="00F13A80"/>
    <w:rsid w:val="00F235E6"/>
    <w:rsid w:val="00F23D51"/>
    <w:rsid w:val="00F269F0"/>
    <w:rsid w:val="00F42DCA"/>
    <w:rsid w:val="00F43076"/>
    <w:rsid w:val="00F50953"/>
    <w:rsid w:val="00F514BB"/>
    <w:rsid w:val="00F62ADD"/>
    <w:rsid w:val="00F74443"/>
    <w:rsid w:val="00F76F6C"/>
    <w:rsid w:val="00F77022"/>
    <w:rsid w:val="00F833C0"/>
    <w:rsid w:val="00F874E7"/>
    <w:rsid w:val="00F95272"/>
    <w:rsid w:val="00FD0820"/>
    <w:rsid w:val="00FD59D2"/>
    <w:rsid w:val="00FD5F29"/>
    <w:rsid w:val="00FE0608"/>
    <w:rsid w:val="00FE0E5C"/>
    <w:rsid w:val="00FE2D22"/>
    <w:rsid w:val="00FE31F3"/>
    <w:rsid w:val="00FF2D03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ecimalSymbol w:val=","/>
  <w:listSeparator w:val=";"/>
  <w14:docId w14:val="10CA6D3F"/>
  <w14:defaultImageDpi w14:val="330"/>
  <w15:docId w15:val="{38DD3C33-F6A1-4CFA-A56D-DC0836B8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E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9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6134"/>
  </w:style>
  <w:style w:type="paragraph" w:styleId="Piedepgina">
    <w:name w:val="footer"/>
    <w:basedOn w:val="Normal"/>
    <w:link w:val="Piedepgina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134"/>
  </w:style>
  <w:style w:type="paragraph" w:styleId="Textodeglobo">
    <w:name w:val="Balloon Text"/>
    <w:basedOn w:val="Normal"/>
    <w:link w:val="TextodegloboCar"/>
    <w:uiPriority w:val="99"/>
    <w:semiHidden/>
    <w:unhideWhenUsed/>
    <w:rsid w:val="007A613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6134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nhideWhenUsed/>
    <w:rsid w:val="00207B8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50183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A55BA"/>
  </w:style>
  <w:style w:type="table" w:styleId="Tablaconcuadrcula">
    <w:name w:val="Table Grid"/>
    <w:basedOn w:val="Tablanormal"/>
    <w:uiPriority w:val="59"/>
    <w:rsid w:val="00B8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5F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5FA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5F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5F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5FAA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5F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u-visually-hidden">
    <w:name w:val="u-visually-hidden"/>
    <w:basedOn w:val="Fuentedeprrafopredeter"/>
    <w:rsid w:val="00D13766"/>
  </w:style>
  <w:style w:type="character" w:styleId="Hipervnculovisitado">
    <w:name w:val="FollowedHyperlink"/>
    <w:basedOn w:val="Fuentedeprrafopredeter"/>
    <w:uiPriority w:val="99"/>
    <w:semiHidden/>
    <w:unhideWhenUsed/>
    <w:rsid w:val="00BB28AB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82EA5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55E9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BF464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410F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3389/fpsyg.2022.80986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doi.org/10.1177/0146167202289010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doi.org/10.1037/0003-066X.56.2.109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i.org/10.1177/0361684317709438" TargetMode="Externa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77/014920631141966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08/GM-07-2013-0086" TargetMode="Externa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://www.ilo.org/public/libdoc/ilo/1986/86B09_301_engl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611</Words>
  <Characters>5629</Characters>
  <Application>Microsoft Office Word</Application>
  <DocSecurity>0</DocSecurity>
  <Lines>78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Oviedo</Company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Ramon Jose Ramon Fernandez Hermida</dc:creator>
  <cp:keywords/>
  <cp:lastModifiedBy>Luis Miguel Castillo Andrés</cp:lastModifiedBy>
  <cp:revision>37</cp:revision>
  <dcterms:created xsi:type="dcterms:W3CDTF">2026-03-09T06:22:00Z</dcterms:created>
  <dcterms:modified xsi:type="dcterms:W3CDTF">2026-03-10T08:55:00Z</dcterms:modified>
</cp:coreProperties>
</file>