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9F2" w:rsidRDefault="000119F2" w:rsidP="00DB0A2A">
      <w:pPr>
        <w:spacing w:line="480" w:lineRule="auto"/>
        <w:contextualSpacing/>
        <w:rPr>
          <w:rFonts w:ascii="Times New Roman" w:hAnsi="Times New Roman" w:cs="Times New Roman"/>
        </w:rPr>
      </w:pPr>
      <w:r>
        <w:rPr>
          <w:rFonts w:ascii="Times New Roman" w:hAnsi="Times New Roman" w:cs="Times New Roman"/>
        </w:rPr>
        <w:t>Discussion Paper Summary: RNA-seq</w:t>
      </w:r>
      <w:r w:rsidR="00BB4744">
        <w:rPr>
          <w:rFonts w:ascii="Times New Roman" w:hAnsi="Times New Roman" w:cs="Times New Roman"/>
        </w:rPr>
        <w:tab/>
      </w:r>
    </w:p>
    <w:p w:rsidR="000119F2" w:rsidRDefault="000119F2" w:rsidP="00DB0A2A">
      <w:pPr>
        <w:spacing w:line="480" w:lineRule="auto"/>
        <w:contextualSpacing/>
        <w:rPr>
          <w:rFonts w:ascii="Times New Roman" w:hAnsi="Times New Roman" w:cs="Times New Roman"/>
        </w:rPr>
      </w:pPr>
      <w:bookmarkStart w:id="0" w:name="_GoBack"/>
      <w:bookmarkEnd w:id="0"/>
    </w:p>
    <w:p w:rsidR="00505DCE" w:rsidRDefault="00BB4744" w:rsidP="000119F2">
      <w:pPr>
        <w:spacing w:line="480" w:lineRule="auto"/>
        <w:ind w:firstLine="720"/>
        <w:contextualSpacing/>
        <w:rPr>
          <w:rFonts w:ascii="Times New Roman" w:hAnsi="Times New Roman" w:cs="Times New Roman"/>
        </w:rPr>
      </w:pPr>
      <w:r>
        <w:rPr>
          <w:rFonts w:ascii="Times New Roman" w:hAnsi="Times New Roman" w:cs="Times New Roman"/>
        </w:rPr>
        <w:t xml:space="preserve">RNA sequencing (hereafter RNA-seq) is a powerful </w:t>
      </w:r>
      <w:r w:rsidR="00194246">
        <w:rPr>
          <w:rFonts w:ascii="Times New Roman" w:hAnsi="Times New Roman" w:cs="Times New Roman"/>
        </w:rPr>
        <w:t xml:space="preserve">tool </w:t>
      </w:r>
      <w:r>
        <w:rPr>
          <w:rFonts w:ascii="Times New Roman" w:hAnsi="Times New Roman" w:cs="Times New Roman"/>
        </w:rPr>
        <w:t xml:space="preserve">that can be used to answer many diverse questions relating to gene expression in individuals and populations. </w:t>
      </w:r>
      <w:r w:rsidR="00935045">
        <w:rPr>
          <w:rFonts w:ascii="Times New Roman" w:hAnsi="Times New Roman" w:cs="Times New Roman"/>
        </w:rPr>
        <w:t xml:space="preserve">Bernal et al. (2018) used RNA-seq to study the effects step-wise temperature increase on phenotype in </w:t>
      </w:r>
      <w:r w:rsidR="00DC21B5">
        <w:rPr>
          <w:rFonts w:ascii="Times New Roman" w:hAnsi="Times New Roman" w:cs="Times New Roman"/>
        </w:rPr>
        <w:t xml:space="preserve">damselfish, </w:t>
      </w:r>
      <w:proofErr w:type="spellStart"/>
      <w:r w:rsidR="00935045">
        <w:rPr>
          <w:rFonts w:ascii="Times New Roman" w:hAnsi="Times New Roman" w:cs="Times New Roman"/>
          <w:i/>
        </w:rPr>
        <w:t>Acanthrochromis</w:t>
      </w:r>
      <w:proofErr w:type="spellEnd"/>
      <w:r w:rsidR="00DC21B5">
        <w:rPr>
          <w:rFonts w:ascii="Times New Roman" w:hAnsi="Times New Roman" w:cs="Times New Roman"/>
          <w:i/>
        </w:rPr>
        <w:t xml:space="preserve"> </w:t>
      </w:r>
      <w:proofErr w:type="spellStart"/>
      <w:r w:rsidR="00DC21B5">
        <w:rPr>
          <w:rFonts w:ascii="Times New Roman" w:hAnsi="Times New Roman" w:cs="Times New Roman"/>
          <w:i/>
        </w:rPr>
        <w:t>polyacanthus</w:t>
      </w:r>
      <w:proofErr w:type="spellEnd"/>
      <w:r w:rsidR="00935045" w:rsidRPr="00DC21B5">
        <w:rPr>
          <w:rFonts w:ascii="Times New Roman" w:hAnsi="Times New Roman" w:cs="Times New Roman"/>
          <w:i/>
        </w:rPr>
        <w:t>,</w:t>
      </w:r>
      <w:r w:rsidR="00935045">
        <w:rPr>
          <w:rFonts w:ascii="Times New Roman" w:hAnsi="Times New Roman" w:cs="Times New Roman"/>
        </w:rPr>
        <w:t xml:space="preserve"> while Lohman, Stutz, and </w:t>
      </w:r>
      <w:proofErr w:type="spellStart"/>
      <w:r w:rsidR="00935045">
        <w:rPr>
          <w:rFonts w:ascii="Times New Roman" w:hAnsi="Times New Roman" w:cs="Times New Roman"/>
        </w:rPr>
        <w:t>Bolnick</w:t>
      </w:r>
      <w:proofErr w:type="spellEnd"/>
      <w:r w:rsidR="00935045">
        <w:rPr>
          <w:rFonts w:ascii="Times New Roman" w:hAnsi="Times New Roman" w:cs="Times New Roman"/>
        </w:rPr>
        <w:t xml:space="preserve"> (2017) used it to better understand adaptation and phenotypic plasticity in lake and stream</w:t>
      </w:r>
      <w:r w:rsidR="00DC21B5">
        <w:rPr>
          <w:rFonts w:ascii="Times New Roman" w:hAnsi="Times New Roman" w:cs="Times New Roman"/>
        </w:rPr>
        <w:t xml:space="preserve"> populations stickleback</w:t>
      </w:r>
      <w:r w:rsidR="00935045">
        <w:rPr>
          <w:rFonts w:ascii="Times New Roman" w:hAnsi="Times New Roman" w:cs="Times New Roman"/>
        </w:rPr>
        <w:t xml:space="preserve"> </w:t>
      </w:r>
      <w:proofErr w:type="gramStart"/>
      <w:r w:rsidR="00935045" w:rsidRPr="00935045">
        <w:rPr>
          <w:rFonts w:ascii="Calibri" w:hAnsi="Calibri" w:cs="Calibri"/>
        </w:rPr>
        <w:t>﻿</w:t>
      </w:r>
      <w:r w:rsidR="00DC21B5">
        <w:rPr>
          <w:rFonts w:ascii="Calibri" w:hAnsi="Calibri" w:cs="Calibri"/>
        </w:rPr>
        <w:t>(</w:t>
      </w:r>
      <w:proofErr w:type="spellStart"/>
      <w:proofErr w:type="gramEnd"/>
      <w:r w:rsidR="00935045" w:rsidRPr="00935045">
        <w:rPr>
          <w:rFonts w:ascii="Times New Roman" w:hAnsi="Times New Roman" w:cs="Times New Roman"/>
          <w:i/>
        </w:rPr>
        <w:t>Gasterosteus</w:t>
      </w:r>
      <w:proofErr w:type="spellEnd"/>
      <w:r w:rsidR="00935045" w:rsidRPr="00935045">
        <w:rPr>
          <w:rFonts w:ascii="Times New Roman" w:hAnsi="Times New Roman" w:cs="Times New Roman"/>
          <w:i/>
        </w:rPr>
        <w:t xml:space="preserve"> aculeatu</w:t>
      </w:r>
      <w:r w:rsidR="00935045">
        <w:rPr>
          <w:rFonts w:ascii="Times New Roman" w:hAnsi="Times New Roman" w:cs="Times New Roman"/>
          <w:i/>
        </w:rPr>
        <w:t>s</w:t>
      </w:r>
      <w:r w:rsidR="00DC21B5">
        <w:rPr>
          <w:rFonts w:ascii="Times New Roman" w:hAnsi="Times New Roman" w:cs="Times New Roman"/>
        </w:rPr>
        <w:t>)</w:t>
      </w:r>
      <w:r w:rsidR="00935045">
        <w:rPr>
          <w:rFonts w:ascii="Times New Roman" w:hAnsi="Times New Roman" w:cs="Times New Roman"/>
        </w:rPr>
        <w:t xml:space="preserve">. </w:t>
      </w:r>
      <w:proofErr w:type="gramStart"/>
      <w:r w:rsidR="00935045">
        <w:rPr>
          <w:rFonts w:ascii="Times New Roman" w:hAnsi="Times New Roman" w:cs="Times New Roman"/>
        </w:rPr>
        <w:t>Similarly</w:t>
      </w:r>
      <w:proofErr w:type="gramEnd"/>
      <w:r w:rsidR="00935045">
        <w:rPr>
          <w:rFonts w:ascii="Times New Roman" w:hAnsi="Times New Roman" w:cs="Times New Roman"/>
        </w:rPr>
        <w:t xml:space="preserve"> to </w:t>
      </w:r>
      <w:r w:rsidR="00194246">
        <w:rPr>
          <w:rFonts w:ascii="Times New Roman" w:hAnsi="Times New Roman" w:cs="Times New Roman"/>
        </w:rPr>
        <w:t xml:space="preserve">Lohman, Stutz, and </w:t>
      </w:r>
      <w:proofErr w:type="spellStart"/>
      <w:r w:rsidR="00194246">
        <w:rPr>
          <w:rFonts w:ascii="Times New Roman" w:hAnsi="Times New Roman" w:cs="Times New Roman"/>
        </w:rPr>
        <w:t>Bolnick</w:t>
      </w:r>
      <w:proofErr w:type="spellEnd"/>
      <w:r w:rsidR="00194246">
        <w:rPr>
          <w:rFonts w:ascii="Times New Roman" w:hAnsi="Times New Roman" w:cs="Times New Roman"/>
        </w:rPr>
        <w:t xml:space="preserve">, </w:t>
      </w:r>
      <w:r w:rsidR="00935045">
        <w:rPr>
          <w:rFonts w:ascii="Times New Roman" w:hAnsi="Times New Roman" w:cs="Times New Roman"/>
        </w:rPr>
        <w:t xml:space="preserve">Walworth et al. </w:t>
      </w:r>
      <w:r w:rsidR="00194246">
        <w:rPr>
          <w:rFonts w:ascii="Times New Roman" w:hAnsi="Times New Roman" w:cs="Times New Roman"/>
        </w:rPr>
        <w:t xml:space="preserve">(2016) </w:t>
      </w:r>
      <w:r w:rsidR="00935045">
        <w:rPr>
          <w:rFonts w:ascii="Times New Roman" w:hAnsi="Times New Roman" w:cs="Times New Roman"/>
        </w:rPr>
        <w:t>used RNA-seq to look at adaptation and phenotypic plasticity in</w:t>
      </w:r>
      <w:r w:rsidR="00DC21B5">
        <w:rPr>
          <w:rFonts w:ascii="Times New Roman" w:hAnsi="Times New Roman" w:cs="Times New Roman"/>
        </w:rPr>
        <w:t xml:space="preserve"> the cyanobacterium,</w:t>
      </w:r>
      <w:r w:rsidR="00935045">
        <w:rPr>
          <w:rFonts w:ascii="Times New Roman" w:hAnsi="Times New Roman" w:cs="Times New Roman"/>
        </w:rPr>
        <w:t xml:space="preserve"> </w:t>
      </w:r>
      <w:proofErr w:type="spellStart"/>
      <w:r w:rsidR="00935045">
        <w:rPr>
          <w:rFonts w:ascii="Times New Roman" w:hAnsi="Times New Roman" w:cs="Times New Roman"/>
          <w:i/>
        </w:rPr>
        <w:t>Trichodesmium</w:t>
      </w:r>
      <w:proofErr w:type="spellEnd"/>
      <w:r w:rsidR="00DC21B5">
        <w:rPr>
          <w:rFonts w:ascii="Times New Roman" w:hAnsi="Times New Roman" w:cs="Times New Roman"/>
        </w:rPr>
        <w:t>,</w:t>
      </w:r>
      <w:r w:rsidR="00935045">
        <w:rPr>
          <w:rFonts w:ascii="Times New Roman" w:hAnsi="Times New Roman" w:cs="Times New Roman"/>
        </w:rPr>
        <w:t xml:space="preserve"> selected for high and low CO</w:t>
      </w:r>
      <w:r w:rsidR="00935045">
        <w:rPr>
          <w:rFonts w:ascii="Times New Roman" w:hAnsi="Times New Roman" w:cs="Times New Roman"/>
          <w:vertAlign w:val="subscript"/>
        </w:rPr>
        <w:t>2</w:t>
      </w:r>
      <w:r w:rsidR="00935045">
        <w:rPr>
          <w:rFonts w:ascii="Times New Roman" w:hAnsi="Times New Roman" w:cs="Times New Roman"/>
        </w:rPr>
        <w:t xml:space="preserve"> environments.</w:t>
      </w:r>
      <w:r w:rsidR="00935045">
        <w:rPr>
          <w:rFonts w:ascii="Times New Roman" w:hAnsi="Times New Roman" w:cs="Times New Roman"/>
          <w:i/>
        </w:rPr>
        <w:t xml:space="preserve"> </w:t>
      </w:r>
      <w:r w:rsidR="00194246">
        <w:rPr>
          <w:rFonts w:ascii="Times New Roman" w:hAnsi="Times New Roman" w:cs="Times New Roman"/>
        </w:rPr>
        <w:t xml:space="preserve">Using similar methods in RNA-seq, all three studies were able to gain an in-depth understanding of the complex evolutionary processes shaping the phenotype of their study organism. </w:t>
      </w:r>
      <w:r w:rsidR="00DC21B5">
        <w:rPr>
          <w:rFonts w:ascii="Times New Roman" w:hAnsi="Times New Roman" w:cs="Times New Roman"/>
        </w:rPr>
        <w:t>Their research questions spanned different themes relating to the evolutionary history and future of these organisms.</w:t>
      </w:r>
    </w:p>
    <w:p w:rsidR="00505DCE" w:rsidRDefault="00505DCE" w:rsidP="00505DCE">
      <w:pPr>
        <w:spacing w:line="480" w:lineRule="auto"/>
        <w:ind w:firstLine="720"/>
        <w:contextualSpacing/>
        <w:rPr>
          <w:rFonts w:ascii="Times New Roman" w:hAnsi="Times New Roman" w:cs="Times New Roman"/>
        </w:rPr>
      </w:pPr>
      <w:r>
        <w:rPr>
          <w:rFonts w:ascii="Times New Roman" w:hAnsi="Times New Roman" w:cs="Times New Roman"/>
        </w:rPr>
        <w:t xml:space="preserve">All three studies sought to better </w:t>
      </w:r>
      <w:r>
        <w:rPr>
          <w:rFonts w:ascii="Times New Roman" w:hAnsi="Times New Roman" w:cs="Times New Roman"/>
        </w:rPr>
        <w:t xml:space="preserve">understand the mechanisms behind phenotypic responses </w:t>
      </w:r>
      <w:r>
        <w:rPr>
          <w:rFonts w:ascii="Times New Roman" w:hAnsi="Times New Roman" w:cs="Times New Roman"/>
        </w:rPr>
        <w:t xml:space="preserve">to novel environments in their organism of study. </w:t>
      </w:r>
      <w:r>
        <w:rPr>
          <w:rFonts w:ascii="Times New Roman" w:hAnsi="Times New Roman" w:cs="Times New Roman"/>
        </w:rPr>
        <w:t xml:space="preserve">Bernal et </w:t>
      </w:r>
      <w:proofErr w:type="spellStart"/>
      <w:r>
        <w:rPr>
          <w:rFonts w:ascii="Times New Roman" w:hAnsi="Times New Roman" w:cs="Times New Roman"/>
        </w:rPr>
        <w:t>al.</w:t>
      </w:r>
      <w:r>
        <w:rPr>
          <w:rFonts w:ascii="Times New Roman" w:hAnsi="Times New Roman" w:cs="Times New Roman"/>
        </w:rPr>
        <w:t xml:space="preserve"> </w:t>
      </w:r>
      <w:proofErr w:type="spellEnd"/>
      <w:r>
        <w:rPr>
          <w:rFonts w:ascii="Times New Roman" w:hAnsi="Times New Roman" w:cs="Times New Roman"/>
        </w:rPr>
        <w:t xml:space="preserve">focused on short-term responses to climate change over three generations of </w:t>
      </w:r>
      <w:proofErr w:type="spellStart"/>
      <w:r>
        <w:rPr>
          <w:rFonts w:ascii="Times New Roman" w:hAnsi="Times New Roman" w:cs="Times New Roman"/>
        </w:rPr>
        <w:t xml:space="preserve">damselfish. </w:t>
      </w:r>
      <w:proofErr w:type="spellEnd"/>
      <w:r>
        <w:rPr>
          <w:rFonts w:ascii="Times New Roman" w:hAnsi="Times New Roman" w:cs="Times New Roman"/>
        </w:rPr>
        <w:t>T</w:t>
      </w:r>
      <w:r w:rsidR="00DC21B5">
        <w:rPr>
          <w:rFonts w:ascii="Times New Roman" w:hAnsi="Times New Roman" w:cs="Times New Roman"/>
        </w:rPr>
        <w:t xml:space="preserve">here was already some research done on the transgenerational effects of climate change on damselfish, </w:t>
      </w:r>
      <w:r>
        <w:rPr>
          <w:rFonts w:ascii="Times New Roman" w:hAnsi="Times New Roman" w:cs="Times New Roman"/>
        </w:rPr>
        <w:t xml:space="preserve">however, </w:t>
      </w:r>
      <w:r w:rsidR="00DC21B5">
        <w:rPr>
          <w:rFonts w:ascii="Times New Roman" w:hAnsi="Times New Roman" w:cs="Times New Roman"/>
        </w:rPr>
        <w:t xml:space="preserve">Bernal et al. sought to model the fish’s response to </w:t>
      </w:r>
      <w:r w:rsidR="00DC21B5">
        <w:rPr>
          <w:rFonts w:ascii="Times New Roman" w:hAnsi="Times New Roman" w:cs="Times New Roman"/>
        </w:rPr>
        <w:t>increased temperature</w:t>
      </w:r>
      <w:r w:rsidR="00DC21B5">
        <w:rPr>
          <w:rFonts w:ascii="Times New Roman" w:hAnsi="Times New Roman" w:cs="Times New Roman"/>
        </w:rPr>
        <w:t xml:space="preserve"> in a more realistic way, with temperature increasing with each successive generation.</w:t>
      </w:r>
      <w:r w:rsidR="00DB0A2A">
        <w:rPr>
          <w:rFonts w:ascii="Times New Roman" w:hAnsi="Times New Roman" w:cs="Times New Roman"/>
        </w:rPr>
        <w:t xml:space="preserve"> These researchers were interested in learning if transgenerational and developmental responses could interact to allow the fish to adapt to continually increasing temperature</w:t>
      </w:r>
      <w:r>
        <w:rPr>
          <w:rFonts w:ascii="Times New Roman" w:hAnsi="Times New Roman" w:cs="Times New Roman"/>
        </w:rPr>
        <w:t>.</w:t>
      </w:r>
      <w:r w:rsidR="00DC21B5">
        <w:rPr>
          <w:rFonts w:ascii="Times New Roman" w:hAnsi="Times New Roman" w:cs="Times New Roman"/>
        </w:rPr>
        <w:t xml:space="preserve"> Walworth</w:t>
      </w:r>
      <w:r>
        <w:rPr>
          <w:rFonts w:ascii="Times New Roman" w:hAnsi="Times New Roman" w:cs="Times New Roman"/>
        </w:rPr>
        <w:t xml:space="preserve"> et al.</w:t>
      </w:r>
      <w:r w:rsidR="00DC21B5">
        <w:rPr>
          <w:rFonts w:ascii="Times New Roman" w:hAnsi="Times New Roman" w:cs="Times New Roman"/>
        </w:rPr>
        <w:t xml:space="preserve"> w</w:t>
      </w:r>
      <w:r>
        <w:rPr>
          <w:rFonts w:ascii="Times New Roman" w:hAnsi="Times New Roman" w:cs="Times New Roman"/>
        </w:rPr>
        <w:t>ere</w:t>
      </w:r>
      <w:r w:rsidR="00DC21B5">
        <w:rPr>
          <w:rFonts w:ascii="Times New Roman" w:hAnsi="Times New Roman" w:cs="Times New Roman"/>
        </w:rPr>
        <w:t xml:space="preserve"> also interested in the effects of climate change in </w:t>
      </w:r>
      <w:r>
        <w:rPr>
          <w:rFonts w:ascii="Times New Roman" w:hAnsi="Times New Roman" w:cs="Times New Roman"/>
        </w:rPr>
        <w:t>their</w:t>
      </w:r>
      <w:r w:rsidR="00DC21B5">
        <w:rPr>
          <w:rFonts w:ascii="Times New Roman" w:hAnsi="Times New Roman" w:cs="Times New Roman"/>
        </w:rPr>
        <w:t xml:space="preserve"> study organism</w:t>
      </w:r>
      <w:r>
        <w:rPr>
          <w:rFonts w:ascii="Times New Roman" w:hAnsi="Times New Roman" w:cs="Times New Roman"/>
        </w:rPr>
        <w:t xml:space="preserve">, </w:t>
      </w:r>
      <w:proofErr w:type="spellStart"/>
      <w:r>
        <w:rPr>
          <w:rFonts w:ascii="Times New Roman" w:hAnsi="Times New Roman" w:cs="Times New Roman"/>
          <w:i/>
        </w:rPr>
        <w:t>Trichodesmium</w:t>
      </w:r>
      <w:proofErr w:type="spellEnd"/>
      <w:r w:rsidR="00DC21B5">
        <w:rPr>
          <w:rFonts w:ascii="Times New Roman" w:hAnsi="Times New Roman" w:cs="Times New Roman"/>
        </w:rPr>
        <w:t>. However,</w:t>
      </w:r>
      <w:r w:rsidR="00DB0A2A">
        <w:rPr>
          <w:rFonts w:ascii="Times New Roman" w:hAnsi="Times New Roman" w:cs="Times New Roman"/>
        </w:rPr>
        <w:t xml:space="preserve"> t</w:t>
      </w:r>
      <w:r w:rsidR="00DC21B5">
        <w:rPr>
          <w:rFonts w:ascii="Times New Roman" w:hAnsi="Times New Roman" w:cs="Times New Roman"/>
        </w:rPr>
        <w:t>he</w:t>
      </w:r>
      <w:r w:rsidR="00DB0A2A">
        <w:rPr>
          <w:rFonts w:ascii="Times New Roman" w:hAnsi="Times New Roman" w:cs="Times New Roman"/>
        </w:rPr>
        <w:t>y</w:t>
      </w:r>
      <w:r w:rsidR="00DC21B5">
        <w:rPr>
          <w:rFonts w:ascii="Times New Roman" w:hAnsi="Times New Roman" w:cs="Times New Roman"/>
        </w:rPr>
        <w:t xml:space="preserve"> took a different approach. </w:t>
      </w:r>
      <w:r w:rsidR="00DB0A2A">
        <w:rPr>
          <w:rFonts w:ascii="Times New Roman" w:hAnsi="Times New Roman" w:cs="Times New Roman"/>
        </w:rPr>
        <w:t>The researchers here were able to select for high and low CO</w:t>
      </w:r>
      <w:r w:rsidR="00DB0A2A">
        <w:rPr>
          <w:rFonts w:ascii="Times New Roman" w:hAnsi="Times New Roman" w:cs="Times New Roman"/>
          <w:vertAlign w:val="subscript"/>
        </w:rPr>
        <w:t>2</w:t>
      </w:r>
      <w:r w:rsidR="00DB0A2A">
        <w:rPr>
          <w:rFonts w:ascii="Times New Roman" w:hAnsi="Times New Roman" w:cs="Times New Roman"/>
        </w:rPr>
        <w:t>-adapted cyanobacteria</w:t>
      </w:r>
      <w:r>
        <w:rPr>
          <w:rFonts w:ascii="Times New Roman" w:hAnsi="Times New Roman" w:cs="Times New Roman"/>
        </w:rPr>
        <w:t xml:space="preserve"> over hundreds of generations</w:t>
      </w:r>
      <w:r w:rsidR="00DB0A2A">
        <w:rPr>
          <w:rFonts w:ascii="Times New Roman" w:hAnsi="Times New Roman" w:cs="Times New Roman"/>
        </w:rPr>
        <w:t>, and later expose the cultures to the opposite treatment on a short-</w:t>
      </w:r>
      <w:r w:rsidR="00DB0A2A">
        <w:rPr>
          <w:rFonts w:ascii="Times New Roman" w:hAnsi="Times New Roman" w:cs="Times New Roman"/>
        </w:rPr>
        <w:lastRenderedPageBreak/>
        <w:t>term basis to observe any plastic responses.</w:t>
      </w:r>
      <w:r>
        <w:rPr>
          <w:rFonts w:ascii="Times New Roman" w:hAnsi="Times New Roman" w:cs="Times New Roman"/>
        </w:rPr>
        <w:t xml:space="preserve"> Contrastin</w:t>
      </w:r>
      <w:r w:rsidR="00AB7438">
        <w:rPr>
          <w:rFonts w:ascii="Times New Roman" w:hAnsi="Times New Roman" w:cs="Times New Roman"/>
        </w:rPr>
        <w:t>g</w:t>
      </w:r>
      <w:r>
        <w:rPr>
          <w:rFonts w:ascii="Times New Roman" w:hAnsi="Times New Roman" w:cs="Times New Roman"/>
        </w:rPr>
        <w:t xml:space="preserve">ly, </w:t>
      </w:r>
      <w:r>
        <w:rPr>
          <w:rFonts w:ascii="Times New Roman" w:hAnsi="Times New Roman" w:cs="Times New Roman"/>
        </w:rPr>
        <w:t xml:space="preserve">Lohman, Stutz, and </w:t>
      </w:r>
      <w:proofErr w:type="spellStart"/>
      <w:r>
        <w:rPr>
          <w:rFonts w:ascii="Times New Roman" w:hAnsi="Times New Roman" w:cs="Times New Roman"/>
        </w:rPr>
        <w:t>Bolnick</w:t>
      </w:r>
      <w:proofErr w:type="spellEnd"/>
      <w:r>
        <w:rPr>
          <w:rFonts w:ascii="Times New Roman" w:hAnsi="Times New Roman" w:cs="Times New Roman"/>
        </w:rPr>
        <w:t xml:space="preserve"> were interested in understanding the mechanisms behind phenotypic responses to novel environments due to migration, rather than organismal responses to climate change. They sought to better understand how the stickleback in lake and stream populations </w:t>
      </w:r>
      <w:r w:rsidR="00AB7438">
        <w:rPr>
          <w:rFonts w:ascii="Times New Roman" w:hAnsi="Times New Roman" w:cs="Times New Roman"/>
        </w:rPr>
        <w:t>would react phenotypically when migrating (or transplanted) to the opposite environment within a single generation.</w:t>
      </w:r>
      <w:r w:rsidR="001A0696">
        <w:rPr>
          <w:rFonts w:ascii="Times New Roman" w:hAnsi="Times New Roman" w:cs="Times New Roman"/>
        </w:rPr>
        <w:t xml:space="preserve"> The three studies were similar in theme but varied in scope.</w:t>
      </w:r>
    </w:p>
    <w:p w:rsidR="00BB4744" w:rsidRDefault="00505DCE" w:rsidP="00505DCE">
      <w:pPr>
        <w:spacing w:line="480" w:lineRule="auto"/>
        <w:ind w:firstLine="720"/>
        <w:contextualSpacing/>
        <w:rPr>
          <w:rFonts w:ascii="Times New Roman" w:hAnsi="Times New Roman" w:cs="Times New Roman"/>
        </w:rPr>
      </w:pPr>
      <w:r>
        <w:rPr>
          <w:rFonts w:ascii="Times New Roman" w:hAnsi="Times New Roman" w:cs="Times New Roman"/>
        </w:rPr>
        <w:t xml:space="preserve">The organism of study greatly impacted the </w:t>
      </w:r>
      <w:r w:rsidR="001A0696">
        <w:rPr>
          <w:rFonts w:ascii="Times New Roman" w:hAnsi="Times New Roman" w:cs="Times New Roman"/>
        </w:rPr>
        <w:t xml:space="preserve">specific </w:t>
      </w:r>
      <w:r>
        <w:rPr>
          <w:rFonts w:ascii="Times New Roman" w:hAnsi="Times New Roman" w:cs="Times New Roman"/>
        </w:rPr>
        <w:t xml:space="preserve">questions that researchers were able to investigate. </w:t>
      </w:r>
      <w:r w:rsidR="001A0696">
        <w:rPr>
          <w:rFonts w:ascii="Times New Roman" w:hAnsi="Times New Roman" w:cs="Times New Roman"/>
        </w:rPr>
        <w:t xml:space="preserve">Laboratory experiments for both the damselfish study and the cyanobacteria study lasted for about four years. However, in that time frame the researchers studying the damselfish were only able to model organismal response to climate change over three generations, while the cyanobacteria study in the same time frame was able to capture the population’s response to climate change over the course of over 570 generations. The life span of the organism in question greatly impacted the scope of the </w:t>
      </w:r>
      <w:r w:rsidR="00527116">
        <w:rPr>
          <w:rFonts w:ascii="Times New Roman" w:hAnsi="Times New Roman" w:cs="Times New Roman"/>
        </w:rPr>
        <w:t xml:space="preserve">experiments in these two cases. Due to the longer life span of the damselfish Bernal et al. were only able to capture phenotypic response over the course of a few generations. Because their study was on a shorter evolutionary time scale, they looked more in-depth to the </w:t>
      </w:r>
      <w:proofErr w:type="gramStart"/>
      <w:r w:rsidR="00527116">
        <w:rPr>
          <w:rFonts w:ascii="Times New Roman" w:hAnsi="Times New Roman" w:cs="Times New Roman"/>
        </w:rPr>
        <w:t>types</w:t>
      </w:r>
      <w:proofErr w:type="gramEnd"/>
      <w:r w:rsidR="00527116">
        <w:rPr>
          <w:rFonts w:ascii="Times New Roman" w:hAnsi="Times New Roman" w:cs="Times New Roman"/>
        </w:rPr>
        <w:t xml:space="preserve"> evolutionary mechanisms behind these responses such as transgenerational acclimation, developmental acclimation, and acute responses and learn how these responses to environmental change compare to phenotypic response to step-wise temperature increases. Due to the longer evolutionary time scale of the cyanobacterial study, they were able to examine phenotypic and genotypic responses to climate change more generally. Instead of looking at different types of phenotypic response</w:t>
      </w:r>
      <w:r w:rsidR="00711F0E">
        <w:rPr>
          <w:rFonts w:ascii="Times New Roman" w:hAnsi="Times New Roman" w:cs="Times New Roman"/>
        </w:rPr>
        <w:t>s</w:t>
      </w:r>
      <w:r w:rsidR="00527116">
        <w:rPr>
          <w:rFonts w:ascii="Times New Roman" w:hAnsi="Times New Roman" w:cs="Times New Roman"/>
        </w:rPr>
        <w:t>, they were more interested in learn</w:t>
      </w:r>
      <w:r w:rsidR="00711F0E">
        <w:rPr>
          <w:rFonts w:ascii="Times New Roman" w:hAnsi="Times New Roman" w:cs="Times New Roman"/>
        </w:rPr>
        <w:t>ing whether phenotypic plasticity persisted in the cyanobacteria over several hundred generations of selection.</w:t>
      </w:r>
      <w:r w:rsidR="00527116">
        <w:rPr>
          <w:rFonts w:ascii="Times New Roman" w:hAnsi="Times New Roman" w:cs="Times New Roman"/>
        </w:rPr>
        <w:t xml:space="preserve"> </w:t>
      </w:r>
      <w:r w:rsidR="00546782">
        <w:rPr>
          <w:rFonts w:ascii="Times New Roman" w:hAnsi="Times New Roman" w:cs="Times New Roman"/>
        </w:rPr>
        <w:t xml:space="preserve">Like Walworth et al., </w:t>
      </w:r>
      <w:r w:rsidR="00546782">
        <w:rPr>
          <w:rFonts w:ascii="Times New Roman" w:hAnsi="Times New Roman" w:cs="Times New Roman"/>
        </w:rPr>
        <w:t xml:space="preserve">Lohman, Stutz, and </w:t>
      </w:r>
      <w:proofErr w:type="spellStart"/>
      <w:r w:rsidR="00546782">
        <w:rPr>
          <w:rFonts w:ascii="Times New Roman" w:hAnsi="Times New Roman" w:cs="Times New Roman"/>
        </w:rPr>
        <w:t>Bolnick</w:t>
      </w:r>
      <w:proofErr w:type="spellEnd"/>
      <w:r w:rsidR="00546782">
        <w:rPr>
          <w:rFonts w:ascii="Times New Roman" w:hAnsi="Times New Roman" w:cs="Times New Roman"/>
        </w:rPr>
        <w:t xml:space="preserve"> were interested in phenotypic plasticity in fish selected for different habitats, however, because they </w:t>
      </w:r>
      <w:r w:rsidR="00546782">
        <w:rPr>
          <w:rFonts w:ascii="Times New Roman" w:hAnsi="Times New Roman" w:cs="Times New Roman"/>
        </w:rPr>
        <w:lastRenderedPageBreak/>
        <w:t>were dealing with wild fish, they assumed the stickleback were already adapted to their ecosystem. This meant that the researchers did not have to raise several generations of fish to study differences in plasticity among the different ecotypes.</w:t>
      </w:r>
    </w:p>
    <w:p w:rsidR="00AF7B94" w:rsidRDefault="00AF7B94" w:rsidP="00505DCE">
      <w:pPr>
        <w:spacing w:line="480" w:lineRule="auto"/>
        <w:ind w:firstLine="720"/>
        <w:contextualSpacing/>
        <w:rPr>
          <w:rFonts w:ascii="Times New Roman" w:hAnsi="Times New Roman" w:cs="Times New Roman"/>
        </w:rPr>
      </w:pPr>
      <w:r>
        <w:rPr>
          <w:rFonts w:ascii="Times New Roman" w:hAnsi="Times New Roman" w:cs="Times New Roman"/>
        </w:rPr>
        <w:t xml:space="preserve">The three studies above all used RNA-seq to examine </w:t>
      </w:r>
      <w:r w:rsidR="000119F2">
        <w:rPr>
          <w:rFonts w:ascii="Times New Roman" w:hAnsi="Times New Roman" w:cs="Times New Roman"/>
        </w:rPr>
        <w:t>phenotypic response to some sort of environmental change over three different timelines. The power of RNA-seq to study such vastly different research themes lies in its ability to be combined with other tools such as Gene Ontology, DNA sequencing, and metabolome profiling to better understand the complex network of mechanisms that result in the phenotypic output of an organism. These tools and the questions under study are limited by the nature of the organism of study. However, when combined, they can be used to answer a plethora of relevant questions relating to organismal and population responses to environmental change.</w:t>
      </w:r>
    </w:p>
    <w:p w:rsidR="000119F2" w:rsidRDefault="000119F2" w:rsidP="000119F2">
      <w:pPr>
        <w:spacing w:line="480" w:lineRule="auto"/>
        <w:contextualSpacing/>
        <w:rPr>
          <w:rFonts w:ascii="Times New Roman" w:hAnsi="Times New Roman" w:cs="Times New Roman"/>
        </w:rPr>
      </w:pPr>
    </w:p>
    <w:p w:rsidR="000119F2" w:rsidRDefault="000119F2" w:rsidP="000119F2">
      <w:pPr>
        <w:spacing w:line="480" w:lineRule="auto"/>
        <w:contextualSpacing/>
        <w:rPr>
          <w:rFonts w:ascii="Times New Roman" w:hAnsi="Times New Roman" w:cs="Times New Roman"/>
        </w:rPr>
      </w:pPr>
      <w:r>
        <w:rPr>
          <w:rFonts w:ascii="Times New Roman" w:hAnsi="Times New Roman" w:cs="Times New Roman"/>
          <w:u w:val="single"/>
        </w:rPr>
        <w:t>References</w:t>
      </w:r>
      <w:r>
        <w:rPr>
          <w:rFonts w:ascii="Times New Roman" w:hAnsi="Times New Roman" w:cs="Times New Roman"/>
        </w:rPr>
        <w:t>:</w:t>
      </w:r>
    </w:p>
    <w:p w:rsidR="000119F2" w:rsidRDefault="000119F2" w:rsidP="000119F2">
      <w:pPr>
        <w:pStyle w:val="NormalWeb"/>
        <w:ind w:left="480" w:hanging="480"/>
      </w:pPr>
      <w:r>
        <w:t xml:space="preserve">Bernal, M. A., Donelson, J. M., </w:t>
      </w:r>
      <w:proofErr w:type="spellStart"/>
      <w:r>
        <w:t>Veilleux</w:t>
      </w:r>
      <w:proofErr w:type="spellEnd"/>
      <w:r>
        <w:t xml:space="preserve">, H. D., Ryu, T., </w:t>
      </w:r>
      <w:proofErr w:type="spellStart"/>
      <w:r>
        <w:t>Munday</w:t>
      </w:r>
      <w:proofErr w:type="spellEnd"/>
      <w:r>
        <w:t xml:space="preserve">, P. L., &amp; </w:t>
      </w:r>
      <w:proofErr w:type="spellStart"/>
      <w:r>
        <w:t>Ravasi</w:t>
      </w:r>
      <w:proofErr w:type="spellEnd"/>
      <w:r>
        <w:t xml:space="preserve">, T. (2018). Phenotypic and molecular consequences of stepwise temperature increase across generations in a coral reef fish. </w:t>
      </w:r>
      <w:r>
        <w:rPr>
          <w:i/>
          <w:iCs/>
        </w:rPr>
        <w:t>Molecular Ecology</w:t>
      </w:r>
      <w:r>
        <w:t xml:space="preserve">, </w:t>
      </w:r>
      <w:r>
        <w:rPr>
          <w:i/>
          <w:iCs/>
        </w:rPr>
        <w:t>27</w:t>
      </w:r>
      <w:r>
        <w:t>(22), 4516–4528. https://doi.org/10.1111/mec.14884</w:t>
      </w:r>
    </w:p>
    <w:p w:rsidR="000119F2" w:rsidRDefault="000119F2" w:rsidP="000119F2">
      <w:pPr>
        <w:pStyle w:val="NormalWeb"/>
        <w:ind w:left="480" w:hanging="480"/>
      </w:pPr>
      <w:r>
        <w:t xml:space="preserve">Lohman, B. K., Stutz, W. E., &amp; </w:t>
      </w:r>
      <w:proofErr w:type="spellStart"/>
      <w:r>
        <w:t>Bolnick</w:t>
      </w:r>
      <w:proofErr w:type="spellEnd"/>
      <w:r>
        <w:t xml:space="preserve">, D. I. (2017). Gene expression stasis and plasticity following migration into a foreign environment. </w:t>
      </w:r>
      <w:r>
        <w:rPr>
          <w:i/>
          <w:iCs/>
        </w:rPr>
        <w:t>Molecular Ecology</w:t>
      </w:r>
      <w:r>
        <w:t xml:space="preserve">, </w:t>
      </w:r>
      <w:r>
        <w:rPr>
          <w:i/>
          <w:iCs/>
        </w:rPr>
        <w:t>26</w:t>
      </w:r>
      <w:r>
        <w:t>(18), 4657–4670. https://doi.org/10.1111/mec.14234</w:t>
      </w:r>
    </w:p>
    <w:p w:rsidR="000119F2" w:rsidRDefault="000119F2" w:rsidP="000119F2">
      <w:pPr>
        <w:pStyle w:val="NormalWeb"/>
        <w:ind w:left="480" w:hanging="480"/>
      </w:pPr>
      <w:r>
        <w:t xml:space="preserve">Walworth, N. G., Lee, M. D., Fu, F.-X., Hutchins, D. A., &amp; Webb, E. A. (2016). Molecular and physiological evidence of genetic assimilation to high CO2 in the marine nitrogen fixer </w:t>
      </w:r>
      <w:proofErr w:type="spellStart"/>
      <w:r>
        <w:t>Trichodesmium</w:t>
      </w:r>
      <w:proofErr w:type="spellEnd"/>
      <w:r>
        <w:t xml:space="preserve">. </w:t>
      </w:r>
      <w:r>
        <w:rPr>
          <w:i/>
          <w:iCs/>
        </w:rPr>
        <w:t>Proceedings of the National Academy of Sciences of the United States of America</w:t>
      </w:r>
      <w:r>
        <w:t xml:space="preserve">, </w:t>
      </w:r>
      <w:r>
        <w:rPr>
          <w:i/>
          <w:iCs/>
        </w:rPr>
        <w:t>113</w:t>
      </w:r>
      <w:r>
        <w:t>(47), E7367–E7374. https://doi.org/10.1073/pnas.1605202113</w:t>
      </w:r>
    </w:p>
    <w:p w:rsidR="000119F2" w:rsidRPr="000119F2" w:rsidRDefault="000119F2" w:rsidP="000119F2">
      <w:pPr>
        <w:spacing w:line="480" w:lineRule="auto"/>
        <w:contextualSpacing/>
        <w:rPr>
          <w:rFonts w:ascii="Times New Roman" w:hAnsi="Times New Roman" w:cs="Times New Roman"/>
        </w:rPr>
      </w:pPr>
    </w:p>
    <w:p w:rsidR="00194246" w:rsidRPr="00194246" w:rsidRDefault="00194246" w:rsidP="00BB4744">
      <w:pPr>
        <w:spacing w:line="480" w:lineRule="auto"/>
        <w:contextualSpacing/>
        <w:rPr>
          <w:rFonts w:ascii="Times New Roman" w:hAnsi="Times New Roman" w:cs="Times New Roman"/>
        </w:rPr>
      </w:pPr>
      <w:r>
        <w:rPr>
          <w:rFonts w:ascii="Times New Roman" w:hAnsi="Times New Roman" w:cs="Times New Roman"/>
        </w:rPr>
        <w:tab/>
      </w:r>
    </w:p>
    <w:sectPr w:rsidR="00194246" w:rsidRPr="00194246" w:rsidSect="00D44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7B6" w:rsidRDefault="00F467B6" w:rsidP="00BB4744">
      <w:r>
        <w:separator/>
      </w:r>
    </w:p>
  </w:endnote>
  <w:endnote w:type="continuationSeparator" w:id="0">
    <w:p w:rsidR="00F467B6" w:rsidRDefault="00F467B6" w:rsidP="00BB4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7B6" w:rsidRDefault="00F467B6" w:rsidP="00BB4744">
      <w:r>
        <w:separator/>
      </w:r>
    </w:p>
  </w:footnote>
  <w:footnote w:type="continuationSeparator" w:id="0">
    <w:p w:rsidR="00F467B6" w:rsidRDefault="00F467B6" w:rsidP="00BB47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44"/>
    <w:rsid w:val="000119F2"/>
    <w:rsid w:val="00194246"/>
    <w:rsid w:val="001A0696"/>
    <w:rsid w:val="00505DCE"/>
    <w:rsid w:val="00527116"/>
    <w:rsid w:val="00546782"/>
    <w:rsid w:val="00711F0E"/>
    <w:rsid w:val="00935045"/>
    <w:rsid w:val="00AB7438"/>
    <w:rsid w:val="00AF7B94"/>
    <w:rsid w:val="00BB4744"/>
    <w:rsid w:val="00D44D74"/>
    <w:rsid w:val="00DB0A2A"/>
    <w:rsid w:val="00DC21B5"/>
    <w:rsid w:val="00F4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AFE8A"/>
  <w15:chartTrackingRefBased/>
  <w15:docId w15:val="{71262096-CCF6-7040-9AE7-20648537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744"/>
    <w:pPr>
      <w:tabs>
        <w:tab w:val="center" w:pos="4680"/>
        <w:tab w:val="right" w:pos="9360"/>
      </w:tabs>
    </w:pPr>
  </w:style>
  <w:style w:type="character" w:customStyle="1" w:styleId="HeaderChar">
    <w:name w:val="Header Char"/>
    <w:basedOn w:val="DefaultParagraphFont"/>
    <w:link w:val="Header"/>
    <w:uiPriority w:val="99"/>
    <w:rsid w:val="00BB4744"/>
  </w:style>
  <w:style w:type="paragraph" w:styleId="Footer">
    <w:name w:val="footer"/>
    <w:basedOn w:val="Normal"/>
    <w:link w:val="FooterChar"/>
    <w:uiPriority w:val="99"/>
    <w:unhideWhenUsed/>
    <w:rsid w:val="00BB4744"/>
    <w:pPr>
      <w:tabs>
        <w:tab w:val="center" w:pos="4680"/>
        <w:tab w:val="right" w:pos="9360"/>
      </w:tabs>
    </w:pPr>
  </w:style>
  <w:style w:type="character" w:customStyle="1" w:styleId="FooterChar">
    <w:name w:val="Footer Char"/>
    <w:basedOn w:val="DefaultParagraphFont"/>
    <w:link w:val="Footer"/>
    <w:uiPriority w:val="99"/>
    <w:rsid w:val="00BB4744"/>
  </w:style>
  <w:style w:type="paragraph" w:styleId="NormalWeb">
    <w:name w:val="Normal (Web)"/>
    <w:basedOn w:val="Normal"/>
    <w:uiPriority w:val="99"/>
    <w:semiHidden/>
    <w:unhideWhenUsed/>
    <w:rsid w:val="000119F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9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Chille</dc:creator>
  <cp:keywords/>
  <dc:description/>
  <cp:lastModifiedBy>Erin Chille</cp:lastModifiedBy>
  <cp:revision>4</cp:revision>
  <dcterms:created xsi:type="dcterms:W3CDTF">2019-02-26T11:40:00Z</dcterms:created>
  <dcterms:modified xsi:type="dcterms:W3CDTF">2019-02-26T13:57:00Z</dcterms:modified>
</cp:coreProperties>
</file>