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12CD" w:rsidRDefault="006C3BAC" w:rsidP="00287CC8">
      <w:pPr>
        <w:jc w:val="center"/>
      </w:pPr>
      <w:r>
        <w:t xml:space="preserve">Population </w:t>
      </w:r>
      <w:r w:rsidR="00526964">
        <w:t xml:space="preserve">Structure and Connectivity of the Atlantic Ribbed Mussel and Community Involvement with Surveys of </w:t>
      </w:r>
      <w:r w:rsidR="00B06243">
        <w:t xml:space="preserve">the Ribbed Mussel and </w:t>
      </w:r>
      <w:r w:rsidR="00526964">
        <w:t>Salt-Marsh Die-off</w:t>
      </w:r>
    </w:p>
    <w:p w:rsidR="00287CC8" w:rsidRDefault="00287CC8" w:rsidP="00287CC8">
      <w:pPr>
        <w:jc w:val="center"/>
      </w:pPr>
      <w:r>
        <w:t>Maggie Schedl</w:t>
      </w:r>
    </w:p>
    <w:p w:rsidR="006C3BAC" w:rsidRDefault="006C3BAC" w:rsidP="00673F09">
      <w:pPr>
        <w:jc w:val="both"/>
      </w:pPr>
    </w:p>
    <w:p w:rsidR="003A4CD0" w:rsidRPr="009E095C" w:rsidRDefault="007C5056" w:rsidP="003A4CD0">
      <w:pPr>
        <w:jc w:val="both"/>
        <w:rPr>
          <w:b/>
          <w:bCs/>
        </w:rPr>
      </w:pPr>
      <w:r w:rsidRPr="009E095C">
        <w:rPr>
          <w:b/>
          <w:bCs/>
        </w:rPr>
        <w:t>Overview</w:t>
      </w:r>
    </w:p>
    <w:p w:rsidR="007C5056" w:rsidRDefault="003A4CD0" w:rsidP="003A4CD0">
      <w:pPr>
        <w:jc w:val="both"/>
      </w:pPr>
      <w:r>
        <w:t>Salt marshes in the Western Atlantic, and specifically New England are experiencing a decline</w:t>
      </w:r>
      <w:r w:rsidR="00EC6B4B">
        <w:t>;</w:t>
      </w:r>
      <w:r w:rsidR="00B06243">
        <w:t xml:space="preserve"> termed salt marsh die-off. Marshes and estuaries represent one of the most productive ecosystems on the planet, serve as nurseries for many marine species, and protect the coast from storms. </w:t>
      </w:r>
      <w:r>
        <w:t>Salt marshes are an important area of concern for conservation purposes, yet they are complex systems, and we only know only a little about the organisms that reside in and form them.</w:t>
      </w:r>
      <w:r w:rsidR="00B06243">
        <w:t xml:space="preserve"> </w:t>
      </w:r>
      <w:r w:rsidR="00991100">
        <w:t>Atlantic</w:t>
      </w:r>
      <w:r w:rsidR="00B06243">
        <w:t xml:space="preserve"> ribbed mussels are an essential </w:t>
      </w:r>
      <w:r w:rsidR="00991100">
        <w:t>component of healthy salt marshes, living in a mutual</w:t>
      </w:r>
      <w:r w:rsidR="00B30D57">
        <w:t>istic</w:t>
      </w:r>
      <w:r w:rsidR="00991100">
        <w:t xml:space="preserve"> relationship with cordgrass</w:t>
      </w:r>
      <w:r w:rsidR="00B30D57">
        <w:t xml:space="preserve"> and</w:t>
      </w:r>
      <w:r w:rsidR="00991100">
        <w:t xml:space="preserve"> facilitat</w:t>
      </w:r>
      <w:r w:rsidR="00B30D57">
        <w:t>e</w:t>
      </w:r>
      <w:r w:rsidR="00991100">
        <w:t xml:space="preserve"> sediment and marsh stability against erosion. However, </w:t>
      </w:r>
      <w:r w:rsidR="00B30D57">
        <w:t>almost nothing</w:t>
      </w:r>
      <w:r w:rsidR="00991100">
        <w:t xml:space="preserve"> is known about the population and genetic structure of ribbed mussels, and they are a wide-ranging species across the Eastern coast of the United States. Ribbed mussels have </w:t>
      </w:r>
      <w:r w:rsidR="00B30D57">
        <w:t>an impressive set of</w:t>
      </w:r>
      <w:r w:rsidR="00991100">
        <w:t xml:space="preserve"> adaptations for the intertidal marsh life that increase the likelihood of distinct, locally adapted populations. With their habitat declining, our knowledge gap of the diversity of their species limits our management of populations. Additionally, the role of the ribbed mussel in salt marsh die-off, specifically in herbivory of cordgrass by burrowing crabs, has not been investigated. </w:t>
      </w:r>
      <w:r w:rsidR="00B30D57">
        <w:t xml:space="preserve">The objectives of this proposal are to use genomic techniques to study the population structure and connectivity of the Atlantic ribbed mussel and engage local Rhode Island minority communities in re-surveying marshes of RI with respect to marsh die-off and ribbed mussel </w:t>
      </w:r>
      <w:r w:rsidR="00DA271D">
        <w:t xml:space="preserve">populations. </w:t>
      </w:r>
    </w:p>
    <w:p w:rsidR="003A4CD0" w:rsidRDefault="003A4CD0" w:rsidP="00673F09">
      <w:pPr>
        <w:jc w:val="both"/>
      </w:pPr>
    </w:p>
    <w:p w:rsidR="007C5056" w:rsidRPr="009E095C" w:rsidRDefault="007C5056" w:rsidP="00673F09">
      <w:pPr>
        <w:jc w:val="both"/>
        <w:rPr>
          <w:b/>
          <w:bCs/>
        </w:rPr>
      </w:pPr>
      <w:r w:rsidRPr="009E095C">
        <w:rPr>
          <w:b/>
          <w:bCs/>
        </w:rPr>
        <w:t>Intellectual Merit</w:t>
      </w:r>
    </w:p>
    <w:p w:rsidR="00287CC8" w:rsidRDefault="00213388" w:rsidP="00287CC8">
      <w:pPr>
        <w:jc w:val="both"/>
      </w:pPr>
      <w:r>
        <w:t>Wide-spread A</w:t>
      </w:r>
      <w:r w:rsidR="00287CC8">
        <w:t>tlantic ribbed mussel</w:t>
      </w:r>
      <w:r>
        <w:t>s</w:t>
      </w:r>
      <w:r w:rsidR="00287CC8">
        <w:t xml:space="preserve"> </w:t>
      </w:r>
      <w:r>
        <w:t>create an</w:t>
      </w:r>
      <w:r w:rsidR="00287CC8">
        <w:t xml:space="preserve"> opportunity </w:t>
      </w:r>
      <w:r>
        <w:t>for</w:t>
      </w:r>
      <w:r w:rsidR="00287CC8">
        <w:t xml:space="preserve"> investigat</w:t>
      </w:r>
      <w:r>
        <w:t>ing</w:t>
      </w:r>
      <w:r w:rsidR="00287CC8">
        <w:t xml:space="preserve"> population structure and connectivity </w:t>
      </w:r>
      <w:r>
        <w:t>in a group relatively devoid of human-mediated movement as it is not a fishery species</w:t>
      </w:r>
      <w:r w:rsidR="00287CC8">
        <w:t xml:space="preserve">. </w:t>
      </w:r>
      <w:r w:rsidR="00741880">
        <w:t xml:space="preserve">Current NGS technologies and programs </w:t>
      </w:r>
      <w:r w:rsidR="00DC024F">
        <w:t xml:space="preserve">for processing NGS data continues to evolve for use in non-model organisms, and the pioneering of a genomic study on the ribbed mussel would open the species up for research on a boarder number of topics, including on its unique physiology and on the mutualistic relationship with smooth cordgrass. </w:t>
      </w:r>
      <w:r>
        <w:t xml:space="preserve">The necessity to survey and </w:t>
      </w:r>
      <w:proofErr w:type="gramStart"/>
      <w:r>
        <w:t>determine</w:t>
      </w:r>
      <w:proofErr w:type="gramEnd"/>
      <w:r>
        <w:t xml:space="preserve"> the relationships that play roles in salt marsh die-off in New England are imperative, as habitats continue to decline, and the impact of Climate Change is likely to exacerbate declines. </w:t>
      </w:r>
    </w:p>
    <w:p w:rsidR="00287CC8" w:rsidRDefault="00287CC8" w:rsidP="00673F09">
      <w:pPr>
        <w:jc w:val="both"/>
      </w:pPr>
    </w:p>
    <w:p w:rsidR="007C5056" w:rsidRPr="009E095C" w:rsidRDefault="007C5056" w:rsidP="00673F09">
      <w:pPr>
        <w:jc w:val="both"/>
        <w:rPr>
          <w:b/>
          <w:bCs/>
        </w:rPr>
      </w:pPr>
      <w:r w:rsidRPr="009E095C">
        <w:rPr>
          <w:b/>
          <w:bCs/>
        </w:rPr>
        <w:t>Broader Impacts</w:t>
      </w:r>
    </w:p>
    <w:p w:rsidR="008A3A10" w:rsidRDefault="00526964" w:rsidP="00213388">
      <w:pPr>
        <w:jc w:val="both"/>
      </w:pPr>
      <w:r>
        <w:t xml:space="preserve">All data for both aims of this proposed project will be made publicly available. This is specifically important because of the </w:t>
      </w:r>
      <w:r w:rsidR="00287CC8">
        <w:t>goals</w:t>
      </w:r>
      <w:r>
        <w:t xml:space="preserve"> for community involvement, engagement, and broad scale teaching. </w:t>
      </w:r>
      <w:r w:rsidR="00287CC8">
        <w:t xml:space="preserve">Well-documented steps of analysis and a tutorial made for using the genomic data as a teaching tool and to promote reproducibility in science will be curated on GitHub. Surveys of local Rhode Island marshes outlined in Aim 2 will be organized, conducted, and the data analyzed by students from a local underserved minority community. If the results from the surveys are presented at conferences, those students will be the primary presenters. Additional emphasis will be put on involving parents and older community members as well to foster a group effort and community ties to a local ecosystem and stewardship in future conservation efforts. </w:t>
      </w:r>
    </w:p>
    <w:p w:rsidR="00F916FE" w:rsidRDefault="00F916FE" w:rsidP="00673F09">
      <w:pPr>
        <w:jc w:val="both"/>
      </w:pPr>
    </w:p>
    <w:p w:rsidR="00526964" w:rsidRDefault="00526964">
      <w:r>
        <w:br w:type="page"/>
      </w:r>
      <w:bookmarkStart w:id="0" w:name="_GoBack"/>
      <w:bookmarkEnd w:id="0"/>
    </w:p>
    <w:p w:rsidR="00903172" w:rsidRPr="00B06243" w:rsidRDefault="007C5056" w:rsidP="00673F09">
      <w:pPr>
        <w:jc w:val="both"/>
        <w:rPr>
          <w:b/>
          <w:bCs/>
          <w:i/>
          <w:iCs/>
        </w:rPr>
      </w:pPr>
      <w:r w:rsidRPr="00B06243">
        <w:rPr>
          <w:b/>
          <w:bCs/>
        </w:rPr>
        <w:lastRenderedPageBreak/>
        <w:t xml:space="preserve">1. </w:t>
      </w:r>
      <w:r w:rsidR="00261473" w:rsidRPr="00B06243">
        <w:rPr>
          <w:b/>
          <w:bCs/>
        </w:rPr>
        <w:t>Background</w:t>
      </w:r>
      <w:r w:rsidR="00903172" w:rsidRPr="00B06243">
        <w:rPr>
          <w:b/>
          <w:bCs/>
        </w:rPr>
        <w:t>:</w:t>
      </w:r>
    </w:p>
    <w:p w:rsidR="00F06D2D" w:rsidRDefault="00903172" w:rsidP="00673F09">
      <w:pPr>
        <w:jc w:val="both"/>
      </w:pPr>
      <w:r>
        <w:t>Salt marshes are one of the most productive and most threatened ecosystems on our planet</w:t>
      </w:r>
      <w:r w:rsidR="00207E2D">
        <w:t xml:space="preserve"> </w:t>
      </w:r>
      <w:r w:rsidR="00207E2D">
        <w:fldChar w:fldCharType="begin" w:fldLock="1"/>
      </w:r>
      <w:r w:rsidR="00207E2D">
        <w:instrText>ADDIN CSL_CITATION {"citationItems":[{"id":"ITEM-1","itemData":{"DOI":"10.1093/reep/rer017","ISSN":"1750-6816","abstract":"Coastal and marine ecosystems (CMEs) generate some of the most important services to humankind, but they are endangered from overexploitation and loss. The widespread decline in CME services suggests that it is important to understand what is at stake in terms of the critical benefits and values of these services. This article examines how environmental and resource economics has contributed to our knowledge of CME services and discusses progress as well as challenges in valuing these services. The article highlights case studies in which the economic valuation of key CME services has influenced policy decisions concerning the management of CMEs. Two key features of CME benefits are also examined. First, the natural spatial variability in these systems can influence the economic value of CME services. Second, because they occur at the interface between watersheds, the coast, and open water, CMEs can produce cumulative and synergistic benefits across the entire seascape that are much more significant and unique than the services provided by any single ecosystem.","author":[{"dropping-particle":"","family":"Barbier","given":"Edward B","non-dropping-particle":"","parse-names":false,"suffix":""}],"container-title":"Review of Environmental Economics and Policy","id":"ITEM-1","issue":"1","issued":{"date-parts":[["2011","12","7"]]},"page":"1-19","title":"Progress and Challenges in Valuing Coastal and Marine Ecosystem Services","type":"article-journal","volume":"6"},"uris":["http://www.mendeley.com/documents/?uuid=48752b3e-41b5-4107-a2e6-57065844780c"]}],"mendeley":{"formattedCitation":"(Barbier 2011)","plainTextFormattedCitation":"(Barbier 2011)"},"properties":{"noteIndex":0},"schema":"https://github.com/citation-style-language/schema/raw/master/csl-citation.json"}</w:instrText>
      </w:r>
      <w:r w:rsidR="00207E2D">
        <w:fldChar w:fldCharType="separate"/>
      </w:r>
      <w:r w:rsidR="00207E2D" w:rsidRPr="00207E2D">
        <w:rPr>
          <w:noProof/>
        </w:rPr>
        <w:t>(Barbier 2011)</w:t>
      </w:r>
      <w:r w:rsidR="00207E2D">
        <w:fldChar w:fldCharType="end"/>
      </w:r>
      <w:r>
        <w:t xml:space="preserve">. </w:t>
      </w:r>
      <w:r w:rsidR="009E095C">
        <w:t>It</w:t>
      </w:r>
      <w:r>
        <w:t xml:space="preserve"> is becoming increasingly apparent that salt marshes and estuaries are essential ecosystems </w:t>
      </w:r>
      <w:r w:rsidR="00241591">
        <w:t>for the productivity and function of our oceans. Intertidal areas are sites of high primary production and serve as nurseries for a wide variety of species</w:t>
      </w:r>
      <w:r w:rsidR="00104884">
        <w:t xml:space="preserve">. </w:t>
      </w:r>
      <w:r w:rsidR="00241591">
        <w:t>Additionally, marshes can tolerate a wide range of tidal volumes, and this protect</w:t>
      </w:r>
      <w:r w:rsidR="00673F09">
        <w:t>s</w:t>
      </w:r>
      <w:r w:rsidR="00241591">
        <w:t xml:space="preserve"> the coast </w:t>
      </w:r>
      <w:r w:rsidR="00673F09">
        <w:t>and human coastal communities</w:t>
      </w:r>
      <w:r w:rsidR="00241591">
        <w:t xml:space="preserve"> from devastating storms and waves</w:t>
      </w:r>
      <w:r w:rsidR="00104884">
        <w:t xml:space="preserve"> </w:t>
      </w:r>
      <w:r w:rsidR="00104884">
        <w:fldChar w:fldCharType="begin" w:fldLock="1"/>
      </w:r>
      <w:r w:rsidR="00207E2D">
        <w:instrText>ADDIN CSL_CITATION {"citationItems":[{"id":"ITEM-1","itemData":{"DOI":"10.1890/10-1510.1","ISSN":"00129615","abstract":"The global decline in estuarine and coastal ecosystems (ECEs) is affecting anumber of critical beneﬁts, or ecosystem services. We review the main ecological servicesacross a variety of ECEs, including marshes, mangroves, nearshore coral reefs, seagrass beds,and sand beaches and dunes. Where possible, we indicate estimates of the key economic valuesarising from these services, and discuss how the natural variability of ECEs impacts theirbeneﬁts, the synergistic relationships of ECEs across seascapes, and management implications.Although reliable valuation estimates are beginning to emerge for the key services of someECEs, such as coral reefs, salt marshes, and mangroves, many of the important beneﬁts ofseagrass beds and sand dunes and beaches have not been assessed properly. Even for coralreefs, marshes, and mangroves, important ecological services have yet to be valued reliably,such as cross-ecosystem nutrient transfer (coral reefs), erosion control (marshes), andpollution control (mangroves). An important issue for valuing certain ECE services, such ascoastal protection and habitat–ﬁshery linkages, is that the ecological functions underlyingthese services vary spatially and temporally. Allowing for the connectivity between ECEhabitats also may have important implications for assessing the ecological functionsunderlying key ecosystems s ervic es, such coastal protection, control of erosion, andhabitat–ﬁshery linkages. Finally, we conclude by suggesting an action plan for protectingand/or enhancing the immediate and longer-term values of ECE services. Because theconnectivity of ECEs across land–sea gradients also inﬂuences the provision of certainecosystem services, management of the entire seascape will be necessary to preserve suchsynergistic effects. Other key elements of an action plan include further ecological andeconomic collaborative research on valuing ECE services, improving institutional and legalframeworks for management, controlling and regulating destructive economic activities, anddeveloping ecological restoration options.","author":[{"dropping-particle":"","family":"Barbier","given":"Edward B.","non-dropping-particle":"","parse-names":false,"suffix":""},{"dropping-particle":"","family":"Hacker","given":"Sally D.","non-dropping-particle":"","parse-names":false,"suffix":""},{"dropping-particle":"","family":"Kennedy","given":"Chris","non-dropping-particle":"","parse-names":false,"suffix":""},{"dropping-particle":"","family":"Koch","given":"Evamaria W.","non-dropping-particle":"","parse-names":false,"suffix":""},{"dropping-particle":"","family":"Stier","given":"Adrian C.","non-dropping-particle":"","parse-names":false,"suffix":""},{"dropping-particle":"","family":"Silliman","given":"Brian R.","non-dropping-particle":"","parse-names":false,"suffix":""}],"container-title":"Ecological Monographs","id":"ITEM-1","issue":"2","issued":{"date-parts":[["2011"]]},"page":"169-193","title":"The value of estuarine and coastal ecosystem services","type":"article-journal","volume":"81"},"uris":["http://www.mendeley.com/documents/?uuid=7f676c9e-480b-4cc1-bdaa-fb0bcb5e2168"]},{"id":"ITEM-2","itemData":{"author":[{"dropping-particle":"","family":"Duarte","given":"Carlos M","non-dropping-particle":"","parse-names":false,"suffix":""},{"dropping-particle":"","family":"Losada","given":"Iñigo J","non-dropping-particle":"","parse-names":false,"suffix":""},{"dropping-particle":"","family":"Hendriks","given":"Iris E","non-dropping-particle":"","parse-names":false,"suffix":""},{"dropping-particle":"","family":"Mazarrasa","given":"Inés","non-dropping-particle":"","parse-names":false,"suffix":""},{"dropping-particle":"","family":"Marbà","given":"Núria","non-dropping-particle":"","parse-names":false,"suffix":""}],"container-title":"Nature Climate Change","id":"ITEM-2","issued":{"date-parts":[["2013","10","29"]]},"page":"961","publisher":"Nature Publishing Group, a division of Macmillan Publishers Limited. All Rights Reserved.","title":"The role of coastal plant communities for climate change mitigation and adaptation","type":"article-journal","volume":"3"},"uris":["http://www.mendeley.com/documents/?uuid=be08490d-2c88-4d4e-9d5f-29949d69c374"]}],"mendeley":{"formattedCitation":"(Barbier et al. 2011; Duarte et al. 2013)","plainTextFormattedCitation":"(Barbier et al. 2011; Duarte et al. 2013)","previouslyFormattedCitation":"(Barbier et al. 2011; Duarte et al. 2013)"},"properties":{"noteIndex":0},"schema":"https://github.com/citation-style-language/schema/raw/master/csl-citation.json"}</w:instrText>
      </w:r>
      <w:r w:rsidR="00104884">
        <w:fldChar w:fldCharType="separate"/>
      </w:r>
      <w:r w:rsidR="00207E2D" w:rsidRPr="00207E2D">
        <w:rPr>
          <w:noProof/>
        </w:rPr>
        <w:t>(Barbier et al. 2011; Duarte et al. 2013)</w:t>
      </w:r>
      <w:r w:rsidR="00104884">
        <w:fldChar w:fldCharType="end"/>
      </w:r>
      <w:r w:rsidR="00104884">
        <w:t xml:space="preserve">. </w:t>
      </w:r>
    </w:p>
    <w:p w:rsidR="00526964" w:rsidRDefault="00526964" w:rsidP="00673F09">
      <w:pPr>
        <w:jc w:val="both"/>
      </w:pPr>
    </w:p>
    <w:p w:rsidR="00B7600D" w:rsidRDefault="00287CC8" w:rsidP="00673F09">
      <w:pPr>
        <w:jc w:val="both"/>
      </w:pPr>
      <w:r>
        <w:rPr>
          <w:noProof/>
        </w:rPr>
        <w:drawing>
          <wp:anchor distT="0" distB="0" distL="114300" distR="114300" simplePos="0" relativeHeight="251662336" behindDoc="0" locked="0" layoutInCell="1" allowOverlap="1">
            <wp:simplePos x="0" y="0"/>
            <wp:positionH relativeFrom="margin">
              <wp:posOffset>3405505</wp:posOffset>
            </wp:positionH>
            <wp:positionV relativeFrom="margin">
              <wp:posOffset>2289810</wp:posOffset>
            </wp:positionV>
            <wp:extent cx="2564130" cy="24155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15 at 9.22.1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4130" cy="2415540"/>
                    </a:xfrm>
                    <a:prstGeom prst="rect">
                      <a:avLst/>
                    </a:prstGeom>
                  </pic:spPr>
                </pic:pic>
              </a:graphicData>
            </a:graphic>
            <wp14:sizeRelH relativeFrom="margin">
              <wp14:pctWidth>0</wp14:pctWidth>
            </wp14:sizeRelH>
            <wp14:sizeRelV relativeFrom="margin">
              <wp14:pctHeight>0</wp14:pctHeight>
            </wp14:sizeRelV>
          </wp:anchor>
        </w:drawing>
      </w:r>
      <w:r w:rsidR="00261473">
        <w:t xml:space="preserve">A common resident of salt marshes is </w:t>
      </w:r>
      <w:r w:rsidR="00261473" w:rsidRPr="00323115">
        <w:rPr>
          <w:i/>
          <w:iCs/>
        </w:rPr>
        <w:t>Geukensia demissa</w:t>
      </w:r>
      <w:r w:rsidR="00104884">
        <w:rPr>
          <w:i/>
          <w:iCs/>
        </w:rPr>
        <w:t xml:space="preserve">, </w:t>
      </w:r>
      <w:r w:rsidR="00104884">
        <w:t>hereafter referred to by its common name the Atlantic ribbed mussel</w:t>
      </w:r>
      <w:r w:rsidR="00261473">
        <w:rPr>
          <w:i/>
          <w:iCs/>
        </w:rPr>
        <w:t xml:space="preserve">. </w:t>
      </w:r>
      <w:r w:rsidR="00104884">
        <w:t>Ribbed mussels are</w:t>
      </w:r>
      <w:r w:rsidR="00F06D2D">
        <w:t xml:space="preserve"> often found living in a mutualistic relationship with another ubiquitous marsh resident </w:t>
      </w:r>
      <w:r w:rsidR="00F06D2D" w:rsidRPr="00F06D2D">
        <w:rPr>
          <w:rFonts w:ascii="Calibri" w:hAnsi="Calibri" w:cs="Calibri"/>
        </w:rPr>
        <w:t>﻿</w:t>
      </w:r>
      <w:r w:rsidR="00F06D2D" w:rsidRPr="00F06D2D">
        <w:rPr>
          <w:i/>
          <w:iCs/>
        </w:rPr>
        <w:t xml:space="preserve">Spartina </w:t>
      </w:r>
      <w:proofErr w:type="spellStart"/>
      <w:r w:rsidR="00F06D2D" w:rsidRPr="00F06D2D">
        <w:rPr>
          <w:i/>
          <w:iCs/>
        </w:rPr>
        <w:t>alterniflor</w:t>
      </w:r>
      <w:proofErr w:type="spellEnd"/>
      <w:r w:rsidR="00F06D2D">
        <w:t xml:space="preserve">, or smooth cordgrass, as well as other </w:t>
      </w:r>
      <w:r w:rsidR="00F06D2D" w:rsidRPr="00F06D2D">
        <w:rPr>
          <w:i/>
          <w:iCs/>
        </w:rPr>
        <w:t>Spartina</w:t>
      </w:r>
      <w:r w:rsidR="00F06D2D">
        <w:t xml:space="preserve"> species, hereafter called cordgrasses. </w:t>
      </w:r>
      <w:r w:rsidR="00104884">
        <w:t>Ribbed mussels a</w:t>
      </w:r>
      <w:r w:rsidR="00F06D2D">
        <w:t xml:space="preserve">re found living near </w:t>
      </w:r>
      <w:r w:rsidR="00207E2D">
        <w:t xml:space="preserve">or on </w:t>
      </w:r>
      <w:r w:rsidR="00F06D2D">
        <w:t>the root systems of cordgrass</w:t>
      </w:r>
      <w:r w:rsidR="0039097B">
        <w:t>. It is common knowledge that plant root systems are imperative in ground stability in preventing erosion and disruption</w:t>
      </w:r>
      <w:r w:rsidR="00F916FE">
        <w:t xml:space="preserve"> </w:t>
      </w:r>
      <w:r w:rsidR="00104884">
        <w:fldChar w:fldCharType="begin" w:fldLock="1"/>
      </w:r>
      <w:r w:rsidR="00207E2D">
        <w:instrText>ADDIN CSL_CITATION {"citationItems":[{"id":"ITEM-1","itemData":{"DOI":"doi:10.1002/1096-9837(200008)25:9&lt;921::AID-ESP93&gt;3.0.CO;2-7","ISSN":"0197-9337","abstract":"Abstract Plants interact with and modify the processes of riverbank erosion by altering bank hydrology, flow hydraulics and bank geotechnical properties. The physically based slope stability model GWEDGEM was used to assess how changes in bank geotechnical properties due to the roots of native Australian riparian trees affected the stability of bank sections surveyed along the Latrobe River. Modelling bank stability against mass failure with and without the reinforcing effects of River Red Gum (Eucalyptus camaldulensis) or Swamp Paperbark (Melaleuca ericifolia) indicates that root reinforcement of the bank substrate provides high levels of bank protection. The model indicates that the addition of root reinforcement to an otherwise unstable bank section can raise the factor of safety (F s) from F s?=?1·0 up to about F s?=?1·6. The addition of roots to riverbanks improves stability even under worst-case hydrological conditions and is apparent over a range of bank geometries, varying with tree position. Trees growing close to potential failure plane locations, either low on the bank or on the floodplain, realize the greatest bank reinforcement. Copyright ? 2000 John Wiley &amp; Sons, Ltd.","author":[{"dropping-particle":"","family":"Abernethy","given":"Bruce","non-dropping-particle":"","parse-names":false,"suffix":""},{"dropping-particle":"","family":"Rutherfurd","given":"Ian D","non-dropping-particle":"","parse-names":false,"suffix":""}],"container-title":"Earth Surface Processes and Landforms","id":"ITEM-1","issue":"9","issued":{"date-parts":[["2000"]]},"page":"921-937","title":"The effect of riparian tree roots on the mass-stability of riverbanks","type":"article-journal","volume":"25"},"uris":["http://www.mendeley.com/documents/?uuid=8c27e859-d38e-406d-b77e-4eaf47fff152"]}],"mendeley":{"formattedCitation":"(Abernethy &amp; Rutherfurd 2000)","manualFormatting":"(ex. Abernethy &amp; Rutherfurd 2000)","plainTextFormattedCitation":"(Abernethy &amp; Rutherfurd 2000)","previouslyFormattedCitation":"(Abernethy &amp; Rutherfurd 2000)"},"properties":{"noteIndex":0},"schema":"https://github.com/citation-style-language/schema/raw/master/csl-citation.json"}</w:instrText>
      </w:r>
      <w:r w:rsidR="00104884">
        <w:fldChar w:fldCharType="separate"/>
      </w:r>
      <w:r w:rsidR="00104884" w:rsidRPr="00104884">
        <w:rPr>
          <w:noProof/>
        </w:rPr>
        <w:t>(</w:t>
      </w:r>
      <w:r w:rsidR="00104884">
        <w:rPr>
          <w:noProof/>
        </w:rPr>
        <w:t xml:space="preserve">ex. </w:t>
      </w:r>
      <w:r w:rsidR="00104884" w:rsidRPr="00104884">
        <w:rPr>
          <w:noProof/>
        </w:rPr>
        <w:t>Abernethy &amp; Rutherfurd 2000)</w:t>
      </w:r>
      <w:r w:rsidR="00104884">
        <w:fldChar w:fldCharType="end"/>
      </w:r>
      <w:r w:rsidR="0039097B">
        <w:t>. However</w:t>
      </w:r>
      <w:r w:rsidR="007C5056">
        <w:t>,</w:t>
      </w:r>
      <w:r w:rsidR="0039097B">
        <w:t xml:space="preserve"> few animals have be</w:t>
      </w:r>
      <w:r w:rsidR="007C5056">
        <w:t>en</w:t>
      </w:r>
      <w:r w:rsidR="0039097B">
        <w:t xml:space="preserve"> shown to play a role in erosion prevention</w:t>
      </w:r>
      <w:r w:rsidR="00207E2D">
        <w:t xml:space="preserve"> as well</w:t>
      </w:r>
      <w:r w:rsidR="0039097B">
        <w:t xml:space="preserve">. </w:t>
      </w:r>
      <w:r w:rsidR="00104884">
        <w:t xml:space="preserve">Ribbed mussels </w:t>
      </w:r>
      <w:r w:rsidR="0039097B">
        <w:t xml:space="preserve">attach </w:t>
      </w:r>
      <w:r w:rsidR="00104884">
        <w:t xml:space="preserve">their </w:t>
      </w:r>
      <w:proofErr w:type="spellStart"/>
      <w:r w:rsidR="0039097B">
        <w:t>byssal</w:t>
      </w:r>
      <w:proofErr w:type="spellEnd"/>
      <w:r w:rsidR="0039097B">
        <w:t xml:space="preserve"> threads to the roots of cordgrass, trapping sediment in and facilitation stability of the marsh (</w:t>
      </w:r>
      <w:r w:rsidR="0039097B" w:rsidRPr="0039097B">
        <w:rPr>
          <w:rFonts w:ascii="Calibri" w:hAnsi="Calibri" w:cs="Calibri"/>
        </w:rPr>
        <w:t>﻿</w:t>
      </w:r>
      <w:r w:rsidR="0039097B" w:rsidRPr="0039097B">
        <w:t>Moody 2012)</w:t>
      </w:r>
      <w:r w:rsidR="0039097B">
        <w:t xml:space="preserve">. </w:t>
      </w:r>
      <w:r w:rsidR="004A43A4">
        <w:t>They are also known to form large aggregations or beds and settle or attach on one another, which while a competitive environment for the mussel, aids in stability of the soft sediment of the marsh</w:t>
      </w:r>
      <w:r w:rsidR="00207E2D">
        <w:t xml:space="preserve"> </w:t>
      </w:r>
      <w:r w:rsidR="00207E2D">
        <w:fldChar w:fldCharType="begin" w:fldLock="1"/>
      </w:r>
      <w:r w:rsidR="00207E2D">
        <w:instrText>ADDIN CSL_CITATION {"citationItems":[{"id":"ITEM-1","itemData":{"author":[{"dropping-particle":"","family":"Bertness","given":"Mark D","non-dropping-particle":"","parse-names":false,"suffix":""},{"dropping-particle":"","family":"Grosholz","given":"Edwin","non-dropping-particle":"","parse-names":false,"suffix":""}],"container-title":"Ecology","id":"ITEM-1","issue":"I 985","issued":{"date-parts":[["2009"]]},"page":"192-204","title":"Population Dynamics of the Ribbed Mussel , Geukensia demissa : The Costs and Benefits of an Aggregated Distribution","type":"article-journal","volume":"67"},"uris":["http://www.mendeley.com/documents/?uuid=3ec17bbc-79a3-4609-9c00-58247b628273"]}],"mendeley":{"formattedCitation":"(Bertness &amp; Grosholz 2009)","plainTextFormattedCitation":"(Bertness &amp; Grosholz 2009)","previouslyFormattedCitation":"(Bertness &amp; Grosholz 2009)"},"properties":{"noteIndex":0},"schema":"https://github.com/citation-style-language/schema/raw/master/csl-citation.json"}</w:instrText>
      </w:r>
      <w:r w:rsidR="00207E2D">
        <w:fldChar w:fldCharType="separate"/>
      </w:r>
      <w:r w:rsidR="00207E2D" w:rsidRPr="00207E2D">
        <w:rPr>
          <w:noProof/>
        </w:rPr>
        <w:t>(Bertness &amp; Grosholz 2009)</w:t>
      </w:r>
      <w:r w:rsidR="00207E2D">
        <w:fldChar w:fldCharType="end"/>
      </w:r>
      <w:r w:rsidR="004A43A4">
        <w:t xml:space="preserve">. </w:t>
      </w:r>
      <w:r w:rsidR="0039097B">
        <w:t>Additionally, they provide</w:t>
      </w:r>
      <w:r w:rsidR="007C5056">
        <w:t xml:space="preserve"> ammonia in the form of waste which acts as a natural fertilizer for the cordgrass (</w:t>
      </w:r>
      <w:r w:rsidR="007C5056" w:rsidRPr="007C5056">
        <w:rPr>
          <w:rFonts w:ascii="Calibri" w:hAnsi="Calibri" w:cs="Calibri"/>
        </w:rPr>
        <w:t>﻿</w:t>
      </w:r>
      <w:r w:rsidR="007C5056" w:rsidRPr="007C5056">
        <w:t xml:space="preserve">Jordan and </w:t>
      </w:r>
      <w:proofErr w:type="spellStart"/>
      <w:r w:rsidR="007C5056" w:rsidRPr="007C5056">
        <w:t>Valiela</w:t>
      </w:r>
      <w:proofErr w:type="spellEnd"/>
      <w:r w:rsidR="007C5056" w:rsidRPr="007C5056">
        <w:t xml:space="preserve"> 1982</w:t>
      </w:r>
      <w:r w:rsidR="007C5056">
        <w:t xml:space="preserve">), which in turn increases the growth of cordgrass and the stability of the marsh </w:t>
      </w:r>
      <w:r w:rsidR="00213111">
        <w:t>sediment</w:t>
      </w:r>
      <w:r w:rsidR="007C5056">
        <w:t xml:space="preserve">. </w:t>
      </w:r>
      <w:r w:rsidR="004A43A4">
        <w:t>Primary production of marsh systems increases with mussel density, as well as there are positive effects of cordgrass on the growth and reproduction of</w:t>
      </w:r>
      <w:r w:rsidR="00104884">
        <w:t xml:space="preserve"> ribbed mussels </w:t>
      </w:r>
      <w:r w:rsidR="004A43A4">
        <w:t>(</w:t>
      </w:r>
      <w:proofErr w:type="spellStart"/>
      <w:r w:rsidR="004A43A4">
        <w:t>Bertness</w:t>
      </w:r>
      <w:proofErr w:type="spellEnd"/>
      <w:r w:rsidR="004A43A4">
        <w:t xml:space="preserve"> 1984). This may be because the relationship between </w:t>
      </w:r>
      <w:r w:rsidR="00104884">
        <w:t xml:space="preserve">ribbed mussels </w:t>
      </w:r>
      <w:r w:rsidR="004A43A4">
        <w:t>and cordgrass is truly mutua</w:t>
      </w:r>
      <w:r w:rsidR="004A43A4" w:rsidRPr="00104884">
        <w:t xml:space="preserve">l, </w:t>
      </w:r>
      <w:r w:rsidR="00104884" w:rsidRPr="00104884">
        <w:t>the mussels</w:t>
      </w:r>
      <w:r w:rsidR="004A43A4">
        <w:t xml:space="preserve"> </w:t>
      </w:r>
      <w:r w:rsidR="00104884">
        <w:t xml:space="preserve">are </w:t>
      </w:r>
      <w:r w:rsidR="004A43A4">
        <w:t xml:space="preserve">one of the only known species of mollusk that readily feeds on decomposing cellulose from cordgrass </w:t>
      </w:r>
      <w:r w:rsidR="00AA0BF0">
        <w:fldChar w:fldCharType="begin" w:fldLock="1"/>
      </w:r>
      <w:r w:rsidR="00207E2D">
        <w:instrText>ADDIN CSL_CITATION {"citationItems":[{"id":"ITEM-1","itemData":{"author":[{"dropping-particle":"","family":"Kreeger","given":"Daniel A","non-dropping-particle":"","parse-names":false,"suffix":""},{"dropping-particle":"","family":"Newell","given":"Roger I E","non-dropping-particle":"","parse-names":false,"suffix":""}],"container-title":"Journal of Experimental Marine Biology and Ecology","id":"ITEM-1","issue":"1","issued":{"date-parts":[["2001"]]},"page":"71-91","publisher":"Elsevier","title":"Seasonal utilization of different seston carbon sources by the ribbed mussel, Geukensia demissa (Dillwyn) in a mid-Atlantic salt marsh","type":"article-journal","volume":"260"},"uris":["http://www.mendeley.com/documents/?uuid=7c328b39-10b6-489b-87bc-daaeaac67370"]}],"mendeley":{"formattedCitation":"(Kreeger &amp; Newell 2001)","plainTextFormattedCitation":"(Kreeger &amp; Newell 2001)","previouslyFormattedCitation":"(Kreeger &amp; Newell 2001)"},"properties":{"noteIndex":0},"schema":"https://github.com/citation-style-language/schema/raw/master/csl-citation.json"}</w:instrText>
      </w:r>
      <w:r w:rsidR="00AA0BF0">
        <w:fldChar w:fldCharType="separate"/>
      </w:r>
      <w:r w:rsidR="00207E2D" w:rsidRPr="00207E2D">
        <w:rPr>
          <w:noProof/>
        </w:rPr>
        <w:t>(Kreeger &amp; Newell 2001)</w:t>
      </w:r>
      <w:r w:rsidR="00AA0BF0">
        <w:fldChar w:fldCharType="end"/>
      </w:r>
      <w:r w:rsidR="004A43A4">
        <w:t xml:space="preserve">. </w:t>
      </w:r>
    </w:p>
    <w:p w:rsidR="008B00F2" w:rsidRPr="004A43A4" w:rsidRDefault="008B00F2" w:rsidP="00673F09">
      <w:pPr>
        <w:jc w:val="both"/>
      </w:pPr>
    </w:p>
    <w:p w:rsidR="00167A7C" w:rsidRDefault="008B00F2" w:rsidP="00167A7C">
      <w:pPr>
        <w:jc w:val="both"/>
      </w:pPr>
      <w:r>
        <w:t xml:space="preserve">Ribbed mussels have </w:t>
      </w:r>
      <w:r w:rsidR="00213111">
        <w:t>an immensely wide t</w:t>
      </w:r>
      <w:r w:rsidR="00B7600D">
        <w:t>emperature</w:t>
      </w:r>
      <w:r w:rsidR="00213111">
        <w:t xml:space="preserve"> and salinity tolerance range, up to 56 degrees Celsius and 70ppt </w:t>
      </w:r>
      <w:r w:rsidR="00B7600D">
        <w:t>salinity</w:t>
      </w:r>
      <w:r w:rsidR="00F916FE">
        <w:t xml:space="preserve"> </w:t>
      </w:r>
      <w:r w:rsidR="00256FFE">
        <w:fldChar w:fldCharType="begin" w:fldLock="1"/>
      </w:r>
      <w:r w:rsidR="00207E2D">
        <w:instrText>ADDIN CSL_CITATION {"citationItems":[{"id":"ITEM-1","itemData":{"DOI":"10.1093/icb/9.2.283","ISSN":"15407063","abstract":"SYNOPSIS. This is a review of the behavioral, biochemical-physiological, and morphological adaptations of Modiolus demissus (Dillwyn) to the high intertidal habitat. The ribbed mussel, Modiolus, has fully exploited the behavioral adaptations within the limits imposed by the bivalve body plan. Air-gaping is undoubtedly a significant behavioral adaptation which permits aerial respiration and penetration of the high intertidal zone. Modiolus fully utilizes physiological-biochemical adaptations also. The mussel is both eurythermal and euryhaline: the thermal range is at least 56 °C and the salinity range is at least 70%, both impressive ranges for an organism which conforms to these environmental parameters. The two primary adaptations made by Modiolus are an extensive tolerance to dehydration and a very high enzyme thermostability. These two adaptations are resjxmsible for Modiolus' tolerance toward desiccation, variation in salinity, thermal stress, and possibly anaerobic conditions. There is no obvious morphological adaptation. Thus, the physiological adaptations, coupled with air-gaping, are responsible for the vertical penetration of Modiolus into the intertidal zone and its horizontal migration over an extensive geographic range.","author":[{"dropping-particle":"","family":"Lent","given":"Charles M.","non-dropping-particle":"","parse-names":false,"suffix":""}],"container-title":"Integrative and Comparative Biology","id":"ITEM-1","issue":"2","issued":{"date-parts":[["1969"]]},"page":"283-292","title":"Adaptations of the ribbed mussel, Modiolus demissus (Dillvvyn), to the intertidal habitat","type":"article-journal","volume":"9"},"uris":["http://www.mendeley.com/documents/?uuid=5b6fad41-68ab-47d5-b7d9-73c004395440"]}],"mendeley":{"formattedCitation":"(Lent 1969)","plainTextFormattedCitation":"(Lent 1969)","previouslyFormattedCitation":"(Lent 1969)"},"properties":{"noteIndex":0},"schema":"https://github.com/citation-style-language/schema/raw/master/csl-citation.json"}</w:instrText>
      </w:r>
      <w:r w:rsidR="00256FFE">
        <w:fldChar w:fldCharType="separate"/>
      </w:r>
      <w:r w:rsidR="00207E2D" w:rsidRPr="00207E2D">
        <w:rPr>
          <w:noProof/>
        </w:rPr>
        <w:t>(Lent 1969)</w:t>
      </w:r>
      <w:r w:rsidR="00256FFE">
        <w:fldChar w:fldCharType="end"/>
      </w:r>
      <w:r w:rsidR="00B7600D">
        <w:t xml:space="preserve">. While most often found at the marsh edge, ribbed mussels can be </w:t>
      </w:r>
      <w:r w:rsidR="00BE4BBB">
        <w:t>found higher up in the intertidal zone as well</w:t>
      </w:r>
      <w:r w:rsidR="00F916FE">
        <w:t xml:space="preserve"> </w:t>
      </w:r>
      <w:r w:rsidR="00256FFE">
        <w:fldChar w:fldCharType="begin" w:fldLock="1"/>
      </w:r>
      <w:r w:rsidR="00207E2D">
        <w:instrText>ADDIN CSL_CITATION {"citationItems":[{"id":"ITEM-1","itemData":{"author":[{"dropping-particle":"","family":"Coen","given":"Loren D","non-dropping-particle":"","parse-names":false,"suffix":""},{"dropping-particle":"","family":"Grizzle","given":"Raymond E","non-dropping-particle":"","parse-names":false,"suffix":""}],"container-title":"Atlantic States Marine Fisheries Commission","id":"ITEM-1","issued":{"date-parts":[["2007"]]},"title":"The Importance of Habitat Created by Molluscan Shellfish to Managed Species along the Atlantic Coast of the United States","type":"article-journal","volume":"Habitat Ma"},"uris":["http://www.mendeley.com/documents/?uuid=93334370-8fe8-4344-b7b8-02f433ef41fe"]}],"mendeley":{"formattedCitation":"(Coen &amp; Grizzle 2007)","plainTextFormattedCitation":"(Coen &amp; Grizzle 2007)","previouslyFormattedCitation":"(Coen &amp; Grizzle 2007)"},"properties":{"noteIndex":0},"schema":"https://github.com/citation-style-language/schema/raw/master/csl-citation.json"}</w:instrText>
      </w:r>
      <w:r w:rsidR="00256FFE">
        <w:fldChar w:fldCharType="separate"/>
      </w:r>
      <w:r w:rsidR="00207E2D" w:rsidRPr="00207E2D">
        <w:rPr>
          <w:noProof/>
        </w:rPr>
        <w:t>(Coen &amp; Grizzle 2007)</w:t>
      </w:r>
      <w:r w:rsidR="00256FFE">
        <w:fldChar w:fldCharType="end"/>
      </w:r>
      <w:r w:rsidR="00256FFE">
        <w:t>.</w:t>
      </w:r>
      <w:r>
        <w:t xml:space="preserve"> They </w:t>
      </w:r>
      <w:r w:rsidR="00BE4BBB">
        <w:t>exhibits the rare behavior of “air-gaping” by opening its two shells when the tide is out, which is thought to help thermoregulate the animal</w:t>
      </w:r>
      <w:r w:rsidR="00F916FE">
        <w:t xml:space="preserve">, and as a mechanism of respiration and oxygen consumption  </w:t>
      </w:r>
      <w:r w:rsidR="00F916FE">
        <w:fldChar w:fldCharType="begin" w:fldLock="1"/>
      </w:r>
      <w:r w:rsidR="00207E2D">
        <w:instrText>ADDIN CSL_CITATION {"citationItems":[{"id":"ITEM-1","itemData":{"DOI":"doi:10.4319/lo.1961.6.2.0191","ISSN":"0024-3590","abstract":"Modiolus demissus Dillwyn was studied near Sapelo Island, Georgia. The size distribution of the mussels was bimodal with maximum numbers in the dry weight (body) classes 0?24 mg and 400?599 mg. The total weight of mussels smaller than 200 mg was less than 2% of the total population weight. Random samples gave an estimated population density of 7.8/m2 for the entire inhabited marsh; the estimated organic biomass was 11.5 gm/m2, one third of which was body and two thirds was shell conchiolin. The population was most dense near the heads of small creeks, averaging 32 mussels/m2. The mussels, however, were not only more abundant in some types of marsh than in others, they were also clumped within areas of uniform marsh. Shell growth occurred throughout the year, especially in small and medium-sized individuals, but it was more rapid during the warm months. The height-to-weight ratio changed with the seasons, the mussels being heaviest prior to spawning. Growth and mortality of mussels in flower pots in the marsh indicated a net annual population growth of 445 mg/m2 (dry body weight) and a net annual mortality loss of 1200 mg/m2. Allowance for bias would place the steady state growth-mortality rate necessary to just maintain the population somewhere between these two estimates. Population growth and gamete production accounted for an energy flux of about 13.9 and 2.8 kg-cal/m2/yr, respectively. Respiration by the population accounted for approximately 39 kg-cal/m2/yr, over two thirds of which took place in air during ebb tide. Total assimilation amounted to 56 kg-cal/m2/yr.","author":[{"dropping-particle":"","family":"Kuenzler","given":"Edward J","non-dropping-particle":"","parse-names":false,"suffix":""}],"container-title":"Limnology and Oceanography","id":"ITEM-1","issue":"2","issued":{"date-parts":[["1961"]]},"page":"191-204","title":"Structure and energy flow of a mussel population in a Georgia salt marsh","type":"article-journal","volume":"6"},"uris":["http://www.mendeley.com/documents/?uuid=b00c3496-3c01-4844-ad86-8400a1087543"]}],"mendeley":{"formattedCitation":"(Kuenzler 1961)","plainTextFormattedCitation":"(Kuenzler 1961)","previouslyFormattedCitation":"(Kuenzler 1961)"},"properties":{"noteIndex":0},"schema":"https://github.com/citation-style-language/schema/raw/master/csl-citation.json"}</w:instrText>
      </w:r>
      <w:r w:rsidR="00F916FE">
        <w:fldChar w:fldCharType="separate"/>
      </w:r>
      <w:r w:rsidR="00207E2D" w:rsidRPr="00207E2D">
        <w:rPr>
          <w:noProof/>
        </w:rPr>
        <w:t>(Kuenzler 1961)</w:t>
      </w:r>
      <w:r w:rsidR="00F916FE">
        <w:fldChar w:fldCharType="end"/>
      </w:r>
      <w:r w:rsidR="00BE4BBB">
        <w:t xml:space="preserve">. Most of the literature on the Atlantic ribbed mussel is from before the genomics revolution for non-model organisms. With such interesting behavior, mutualism </w:t>
      </w:r>
      <w:r w:rsidR="00167A7C">
        <w:t>in</w:t>
      </w:r>
      <w:r w:rsidR="00BE4BBB">
        <w:t xml:space="preserve"> cornerstone environment, and physiological capabilities, </w:t>
      </w:r>
      <w:r w:rsidR="00BE4BBB" w:rsidRPr="00167A7C">
        <w:t xml:space="preserve">the ribbed mussel has </w:t>
      </w:r>
      <w:r w:rsidR="00167A7C">
        <w:t xml:space="preserve">been neglected in the age of NGS research. </w:t>
      </w:r>
    </w:p>
    <w:p w:rsidR="00323115" w:rsidRDefault="00323115" w:rsidP="00673F09">
      <w:pPr>
        <w:jc w:val="both"/>
      </w:pPr>
    </w:p>
    <w:p w:rsidR="00BC53A8" w:rsidRPr="00B06243" w:rsidRDefault="007C5056" w:rsidP="00673F09">
      <w:pPr>
        <w:jc w:val="both"/>
        <w:rPr>
          <w:b/>
          <w:bCs/>
        </w:rPr>
      </w:pPr>
      <w:r w:rsidRPr="00B06243">
        <w:rPr>
          <w:b/>
          <w:bCs/>
        </w:rPr>
        <w:t xml:space="preserve">2. </w:t>
      </w:r>
      <w:r w:rsidR="00323115" w:rsidRPr="00B06243">
        <w:rPr>
          <w:b/>
          <w:bCs/>
        </w:rPr>
        <w:t>Specific Aims:</w:t>
      </w:r>
      <w:r w:rsidR="00B61AF2" w:rsidRPr="00B06243">
        <w:rPr>
          <w:b/>
          <w:bCs/>
        </w:rPr>
        <w:t xml:space="preserve"> </w:t>
      </w:r>
    </w:p>
    <w:p w:rsidR="00323115" w:rsidRPr="005E3331" w:rsidRDefault="00B61AF2" w:rsidP="00673F09">
      <w:pPr>
        <w:jc w:val="both"/>
      </w:pPr>
      <w:r>
        <w:t xml:space="preserve">The objectives of this proposal are to </w:t>
      </w:r>
      <w:r w:rsidR="00016338">
        <w:t xml:space="preserve">apply population genomics techniques to determine the </w:t>
      </w:r>
      <w:r>
        <w:t>population diversity</w:t>
      </w:r>
      <w:r w:rsidR="00016338">
        <w:t>, structure,</w:t>
      </w:r>
      <w:r>
        <w:t xml:space="preserve"> and connectivity of the Atlantic ribbed mussel</w:t>
      </w:r>
      <w:r w:rsidR="00016338">
        <w:rPr>
          <w:i/>
          <w:iCs/>
        </w:rPr>
        <w:t xml:space="preserve"> </w:t>
      </w:r>
      <w:r w:rsidR="00016338" w:rsidRPr="00016338">
        <w:t xml:space="preserve">across </w:t>
      </w:r>
      <w:r w:rsidR="00682D5B">
        <w:t>the majority of its</w:t>
      </w:r>
      <w:r w:rsidR="00016338">
        <w:t xml:space="preserve"> native range: from the </w:t>
      </w:r>
      <w:r w:rsidR="00682D5B">
        <w:t>coast of Maine</w:t>
      </w:r>
      <w:r w:rsidR="00016338">
        <w:t xml:space="preserve"> to Florida. </w:t>
      </w:r>
      <w:r w:rsidR="00F2441F">
        <w:t xml:space="preserve">A broader outcome of such a large-scale </w:t>
      </w:r>
      <w:r w:rsidR="00F2441F">
        <w:lastRenderedPageBreak/>
        <w:t xml:space="preserve">population genomic survey is to open up the ribbed mussel to an array of genomic techniques and questions that it is uniquely ripe for study. </w:t>
      </w:r>
      <w:r w:rsidR="00D62626">
        <w:t xml:space="preserve">Additionally, salt marsh die-off in many New England marshes </w:t>
      </w:r>
      <w:r w:rsidR="00435952">
        <w:t xml:space="preserve">occurs within the cordgrass, the marsh grass most closely associated </w:t>
      </w:r>
      <w:r w:rsidR="001035D5">
        <w:t>with the ribbed mussel</w:t>
      </w:r>
      <w:r w:rsidR="00435952">
        <w:rPr>
          <w:i/>
          <w:iCs/>
        </w:rPr>
        <w:t xml:space="preserve">. </w:t>
      </w:r>
      <w:r w:rsidR="00435952">
        <w:t xml:space="preserve">We aim to determine </w:t>
      </w:r>
      <w:r w:rsidR="005E3331">
        <w:t xml:space="preserve">the relationship between presence and density </w:t>
      </w:r>
      <w:r w:rsidR="001035D5">
        <w:t>or the ribbed mussel</w:t>
      </w:r>
      <w:r w:rsidR="005E3331">
        <w:rPr>
          <w:i/>
          <w:iCs/>
        </w:rPr>
        <w:t xml:space="preserve"> </w:t>
      </w:r>
      <w:r w:rsidR="005E3331">
        <w:t>and degree of salt marsh die-off.</w:t>
      </w:r>
    </w:p>
    <w:p w:rsidR="00016338" w:rsidRPr="00016338" w:rsidRDefault="00016338" w:rsidP="00673F09">
      <w:pPr>
        <w:jc w:val="both"/>
      </w:pPr>
    </w:p>
    <w:p w:rsidR="00323115" w:rsidRDefault="00323115" w:rsidP="00944221">
      <w:pPr>
        <w:jc w:val="both"/>
      </w:pPr>
      <w:r w:rsidRPr="00B06243">
        <w:rPr>
          <w:b/>
          <w:bCs/>
        </w:rPr>
        <w:t>Aim 1</w:t>
      </w:r>
      <w:r>
        <w:t>.</w:t>
      </w:r>
      <w:r w:rsidR="00B06243">
        <w:t xml:space="preserve"> </w:t>
      </w:r>
      <w:r>
        <w:t xml:space="preserve">To determine the population structure </w:t>
      </w:r>
      <w:r w:rsidR="00944221">
        <w:t xml:space="preserve">and diversity </w:t>
      </w:r>
      <w:r>
        <w:t xml:space="preserve">of </w:t>
      </w:r>
      <w:r w:rsidRPr="00323115">
        <w:rPr>
          <w:i/>
          <w:iCs/>
        </w:rPr>
        <w:t>Geukensia demissa</w:t>
      </w:r>
      <w:r>
        <w:rPr>
          <w:i/>
          <w:iCs/>
        </w:rPr>
        <w:t xml:space="preserve"> </w:t>
      </w:r>
      <w:r>
        <w:t>on the Atlantic coast and infer any population connectivity that may exist.</w:t>
      </w:r>
    </w:p>
    <w:p w:rsidR="006E1B3C" w:rsidRPr="00F22417" w:rsidRDefault="00323115" w:rsidP="00526964">
      <w:pPr>
        <w:jc w:val="both"/>
      </w:pPr>
      <w:r w:rsidRPr="00B06243">
        <w:rPr>
          <w:b/>
          <w:bCs/>
        </w:rPr>
        <w:t>Aim 2.</w:t>
      </w:r>
      <w:r w:rsidR="006E1B3C">
        <w:t xml:space="preserve"> </w:t>
      </w:r>
      <w:r w:rsidR="00390FF5">
        <w:t xml:space="preserve">To involve </w:t>
      </w:r>
      <w:r w:rsidR="00944221">
        <w:t>local minority communities</w:t>
      </w:r>
      <w:r w:rsidR="00390FF5">
        <w:t xml:space="preserve"> in</w:t>
      </w:r>
      <w:r w:rsidR="00F22417">
        <w:t xml:space="preserve"> determin</w:t>
      </w:r>
      <w:r w:rsidR="00390FF5">
        <w:t>ing</w:t>
      </w:r>
      <w:r w:rsidR="00F22417">
        <w:t xml:space="preserve"> if </w:t>
      </w:r>
      <w:r w:rsidR="00F22417" w:rsidRPr="00323115">
        <w:rPr>
          <w:i/>
          <w:iCs/>
        </w:rPr>
        <w:t>Geukensia demissa</w:t>
      </w:r>
      <w:r w:rsidR="00F22417">
        <w:rPr>
          <w:i/>
          <w:iCs/>
        </w:rPr>
        <w:t xml:space="preserve"> </w:t>
      </w:r>
      <w:r w:rsidR="00390FF5">
        <w:t>plays</w:t>
      </w:r>
      <w:r w:rsidR="00F22417">
        <w:t xml:space="preserve"> a role in attenuating salt marsh die-off by conducting surveys in New England of salt marshes and correlating level of die-off and abundance of </w:t>
      </w:r>
      <w:r w:rsidR="00F22417" w:rsidRPr="00F22417">
        <w:rPr>
          <w:i/>
          <w:iCs/>
        </w:rPr>
        <w:t>G. demissa</w:t>
      </w:r>
      <w:r w:rsidR="00F22417">
        <w:t xml:space="preserve">. </w:t>
      </w:r>
    </w:p>
    <w:p w:rsidR="00F22417" w:rsidRDefault="00F22417" w:rsidP="00673F09">
      <w:pPr>
        <w:jc w:val="both"/>
      </w:pPr>
    </w:p>
    <w:p w:rsidR="00F22417" w:rsidRPr="00B06243" w:rsidRDefault="007C5056" w:rsidP="00673F09">
      <w:pPr>
        <w:jc w:val="both"/>
        <w:rPr>
          <w:b/>
          <w:bCs/>
        </w:rPr>
      </w:pPr>
      <w:r w:rsidRPr="00B06243">
        <w:rPr>
          <w:b/>
          <w:bCs/>
        </w:rPr>
        <w:t xml:space="preserve">3. Population Structure of </w:t>
      </w:r>
      <w:r w:rsidRPr="00B06243">
        <w:rPr>
          <w:b/>
          <w:bCs/>
          <w:i/>
          <w:iCs/>
        </w:rPr>
        <w:t xml:space="preserve">Geukensia demissa </w:t>
      </w:r>
      <w:r w:rsidRPr="00B06243">
        <w:rPr>
          <w:b/>
          <w:bCs/>
        </w:rPr>
        <w:t>(Aim 1)</w:t>
      </w:r>
      <w:r w:rsidR="00287CC8" w:rsidRPr="00B06243">
        <w:rPr>
          <w:b/>
          <w:bCs/>
        </w:rPr>
        <w:t xml:space="preserve"> </w:t>
      </w:r>
    </w:p>
    <w:p w:rsidR="00673F09" w:rsidRDefault="00287CC8" w:rsidP="00673F09">
      <w:pPr>
        <w:jc w:val="both"/>
      </w:pPr>
      <w:r>
        <w:rPr>
          <w:noProof/>
        </w:rPr>
        <w:drawing>
          <wp:anchor distT="0" distB="0" distL="114300" distR="114300" simplePos="0" relativeHeight="251661312" behindDoc="0" locked="0" layoutInCell="1" allowOverlap="1">
            <wp:simplePos x="0" y="0"/>
            <wp:positionH relativeFrom="margin">
              <wp:posOffset>3126105</wp:posOffset>
            </wp:positionH>
            <wp:positionV relativeFrom="margin">
              <wp:posOffset>3622040</wp:posOffset>
            </wp:positionV>
            <wp:extent cx="2638425" cy="3167380"/>
            <wp:effectExtent l="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15 at 9.16.3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8425" cy="3167380"/>
                    </a:xfrm>
                    <a:prstGeom prst="rect">
                      <a:avLst/>
                    </a:prstGeom>
                  </pic:spPr>
                </pic:pic>
              </a:graphicData>
            </a:graphic>
            <wp14:sizeRelH relativeFrom="margin">
              <wp14:pctWidth>0</wp14:pctWidth>
            </wp14:sizeRelH>
            <wp14:sizeRelV relativeFrom="margin">
              <wp14:pctHeight>0</wp14:pctHeight>
            </wp14:sizeRelV>
          </wp:anchor>
        </w:drawing>
      </w:r>
      <w:r w:rsidR="00944221">
        <w:t>We</w:t>
      </w:r>
      <w:r w:rsidR="007C5056">
        <w:t xml:space="preserve"> will investigate </w:t>
      </w:r>
      <w:r w:rsidR="00BC53A8">
        <w:t>the</w:t>
      </w:r>
      <w:r w:rsidR="007C5056">
        <w:t xml:space="preserve"> population structure in the ribbed mussel across most of its geographical range using genomic data</w:t>
      </w:r>
      <w:r w:rsidR="00E61F67">
        <w:t>.</w:t>
      </w:r>
      <w:r w:rsidR="00213388" w:rsidRPr="00213388">
        <w:t xml:space="preserve"> </w:t>
      </w:r>
      <w:r w:rsidR="00213388">
        <w:t xml:space="preserve">The Atlantic ribbed mussel represents a sessile intertidal bivalve that has not been farmed or a part of a fishery </w:t>
      </w:r>
      <w:r w:rsidR="00213388">
        <w:fldChar w:fldCharType="begin" w:fldLock="1"/>
      </w:r>
      <w:r w:rsidR="00207E2D">
        <w:instrText>ADDIN CSL_CITATION {"citationItems":[{"id":"ITEM-1","itemData":{"ISBN":"9780967897707","author":[{"dropping-particle":"","family":"Massie","given":"F D","non-dropping-particle":"","parse-names":false,"suffix":""},{"dropping-particle":"","family":"Young","given":"R","non-dropping-particle":"","parse-names":false,"suffix":""}],"id":"ITEM-1","issued":{"date-parts":[["1998"]]},"publisher":"Save The Bay, Incorporated","title":"The Uncommon Guide to Common Life of Narragansett Bay","type":"book"},"uris":["http://www.mendeley.com/documents/?uuid=049648f5-3620-4293-9278-b95d2b8f315a"]}],"mendeley":{"formattedCitation":"(Massie &amp; Young 1998)","plainTextFormattedCitation":"(Massie &amp; Young 1998)","previouslyFormattedCitation":"(Massie &amp; Young 1998)"},"properties":{"noteIndex":0},"schema":"https://github.com/citation-style-language/schema/raw/master/csl-citation.json"}</w:instrText>
      </w:r>
      <w:r w:rsidR="00213388">
        <w:fldChar w:fldCharType="separate"/>
      </w:r>
      <w:r w:rsidR="00207E2D" w:rsidRPr="00207E2D">
        <w:rPr>
          <w:noProof/>
        </w:rPr>
        <w:t>(Massie &amp; Young 1998)</w:t>
      </w:r>
      <w:r w:rsidR="00213388">
        <w:fldChar w:fldCharType="end"/>
      </w:r>
      <w:r w:rsidR="00213388">
        <w:t>, and thus an opportunity to investigate population structure and connectivity of such a group without the previous history of human-motivated movement.</w:t>
      </w:r>
      <w:r w:rsidR="00E61F67">
        <w:t xml:space="preserve"> </w:t>
      </w:r>
      <w:r w:rsidR="00BC53A8">
        <w:t>Large genomic</w:t>
      </w:r>
      <w:r w:rsidR="00E61F67">
        <w:t xml:space="preserve"> data</w:t>
      </w:r>
      <w:r w:rsidR="00BC53A8">
        <w:t>sets are the</w:t>
      </w:r>
      <w:r w:rsidR="00E61F67">
        <w:t xml:space="preserve"> cutting edge of the field of population genomics, ecology, and evolutionary biology.</w:t>
      </w:r>
      <w:r w:rsidR="00BC53A8">
        <w:t xml:space="preserve"> Thirty sampling sites spanning the geographic range of </w:t>
      </w:r>
      <w:r w:rsidR="00BC53A8" w:rsidRPr="00F22417">
        <w:rPr>
          <w:i/>
          <w:iCs/>
        </w:rPr>
        <w:t>G. demissa</w:t>
      </w:r>
      <w:r w:rsidR="00BC53A8">
        <w:rPr>
          <w:i/>
          <w:iCs/>
        </w:rPr>
        <w:t xml:space="preserve"> </w:t>
      </w:r>
      <w:r w:rsidR="00BC53A8">
        <w:t>are proposed (Fig. 2). At each location, a random sample of 10 individuals will be taken whole and then flash frozen to preserve</w:t>
      </w:r>
      <w:r w:rsidR="00944221">
        <w:t xml:space="preserve"> their DNA</w:t>
      </w:r>
      <w:r w:rsidR="00BC53A8">
        <w:t xml:space="preserve">. Tissue biopsies from mantle will be used for DNA extraction, and DNA will be processed for sequencing with a double digest Restriction Sites Associated DNA </w:t>
      </w:r>
      <w:r w:rsidR="003D0111">
        <w:t xml:space="preserve">(ddRAD) </w:t>
      </w:r>
      <w:r w:rsidR="00BC53A8">
        <w:t>sequencin</w:t>
      </w:r>
      <w:r w:rsidR="003D0111">
        <w:t>g</w:t>
      </w:r>
      <w:r w:rsidR="00BC53A8">
        <w:t xml:space="preserve"> </w:t>
      </w:r>
      <w:r w:rsidR="003D0111">
        <w:t>protocol (Peterson et. al 2012). ddRAD is a relatively inexpensive method for Next Generation Sequencing (NGS), which is i</w:t>
      </w:r>
      <w:r w:rsidR="00944221">
        <w:t>deal for</w:t>
      </w:r>
      <w:r w:rsidR="003D0111">
        <w:t xml:space="preserve"> this study with a proposed number of 300 individuals to be sequenced. The large number of individuals is necessary to elucidate fine scale population structure that may be present and to be statistically replicable. A dual set of restrict</w:t>
      </w:r>
      <w:r w:rsidR="00944221">
        <w:t>ion</w:t>
      </w:r>
      <w:r w:rsidR="003D0111">
        <w:t xml:space="preserve"> enzymes reduces the size of the genome in a largely un-biased fashion, </w:t>
      </w:r>
      <w:r w:rsidR="005641B4">
        <w:t>which leads to the same loci being sequenced after a size selection step. This method a</w:t>
      </w:r>
      <w:r w:rsidR="003D0111">
        <w:t>llow</w:t>
      </w:r>
      <w:r w:rsidR="005641B4">
        <w:t xml:space="preserve">s </w:t>
      </w:r>
      <w:r w:rsidR="003D0111">
        <w:t xml:space="preserve">for detection of genomic variants, most commonly single nucleotide polymorphisms </w:t>
      </w:r>
      <w:r w:rsidR="005641B4">
        <w:t xml:space="preserve">(SNPs), from the same loci across all individuals. Such a dataset has incredible genomic power, and SNPs from RAD datasets, or the very similar Genotype By Sequencing, has been used widely in population genomic literature across </w:t>
      </w:r>
      <w:r w:rsidR="00526964">
        <w:t>all</w:t>
      </w:r>
      <w:r w:rsidR="005641B4">
        <w:t xml:space="preserve"> taxa (see </w:t>
      </w:r>
      <w:r w:rsidR="002D2851">
        <w:fldChar w:fldCharType="begin" w:fldLock="1"/>
      </w:r>
      <w:r w:rsidR="00207E2D">
        <w:instrText>ADDIN CSL_CITATION {"citationItems":[{"id":"ITEM-1","itemData":{"DOI":"10.1111/eva.12766","abstract":"7 Effective management of threatened and exploited species requires an understanding of both the genetic connectivity among populations and local adaptation. The Olympia oyster (Ostrea lurida), patchily distributed from Baja California to the central coast of Canada, has a long history of population declines due to anthropogenic stressors. For such coastal marine species, demographic population structure could follow a continuous isolation-by-distance model, contain regional blocks of genetic similarity separated by barriers to gene flow, or be consistent with a null model of no population structure. To distinguish between these hypotheses in O. lurida, 13,444 single-nucleotide polymorphisms (SNPs) were used to characterize rangewide population structure, genetic connectivity, and adaptive divergence. Samples were collected across the species range on the west coast of North America, from southern California to Vancouver Island. A conservative approach for detecting putative loci under selection identified 168 SNPs across 97 loci, which were functionally annotated and analyzed separately from the remaining neutral loci. Strong population structure was observed on a regional scale in both neutral and outlier markers. Geographic regions of reduced gene flow aligned with known marine biogeographic barriers, such as Cape Mendocino, Monterey Bay, and the currents around Cape Flattery. The outlier loci identified as under putative selection included genes involved in developmental regulation, sensory information processing, energy metabolism, immune response, and muscle contraction. These loci are excellent candidates for future research and may provide targets for genetic monitoring programs. Beyond specific applications for restoration and management of the Olympia oyster, this study lends to the growing body of evidence for both population structure and adaptive differentiation across a range of marine species exhibiting the potential for panmixia. Computational notebooks are available to facilitate reproducibility and future open-sourced research on the population structure of O. lurida. 8","author":[{"dropping-particle":"","family":"Silliman","given":"Katherine","non-dropping-particle":"","parse-names":false,"suffix":""}],"container-title":"Evolutionary Applications","id":"ITEM-1","issue":"December 2018","issued":{"date-parts":[["2019"]]},"page":"1-17","title":" Population structure, genetic connectivity, and adaptation in the Olympia oyster ( Ostrea lurida ) along the west coast of North America ","type":"article-journal"},"uris":["http://www.mendeley.com/documents/?uuid=ec8aeea5-91fc-4aac-8015-7fc8b2aa8785"]}],"mendeley":{"formattedCitation":"(Silliman 2019)","manualFormatting":"Silliman (2019)","plainTextFormattedCitation":"(Silliman 2019)","previouslyFormattedCitation":"(Silliman 2019)"},"properties":{"noteIndex":0},"schema":"https://github.com/citation-style-language/schema/raw/master/csl-citation.json"}</w:instrText>
      </w:r>
      <w:r w:rsidR="002D2851">
        <w:fldChar w:fldCharType="separate"/>
      </w:r>
      <w:r w:rsidR="002D2851" w:rsidRPr="002D2851">
        <w:rPr>
          <w:noProof/>
        </w:rPr>
        <w:t xml:space="preserve">Silliman </w:t>
      </w:r>
      <w:r w:rsidR="002D2851">
        <w:rPr>
          <w:noProof/>
        </w:rPr>
        <w:t>(</w:t>
      </w:r>
      <w:r w:rsidR="002D2851" w:rsidRPr="002D2851">
        <w:rPr>
          <w:noProof/>
        </w:rPr>
        <w:t>2019)</w:t>
      </w:r>
      <w:r w:rsidR="002D2851">
        <w:fldChar w:fldCharType="end"/>
      </w:r>
      <w:r w:rsidR="005641B4">
        <w:t xml:space="preserve">, </w:t>
      </w:r>
      <w:r w:rsidR="002D2851">
        <w:fldChar w:fldCharType="begin" w:fldLock="1"/>
      </w:r>
      <w:r w:rsidR="00207E2D">
        <w:instrText>ADDIN CSL_CITATION {"citationItems":[{"id":"ITEM-1","itemData":{"DOI":"10.1038/srep36095","ISSN":"20452322","abstract":"Conservation and management of exploited species depends on accurate knowledge of how genetic variation is partitioned across a fishery, especially as it relates to recruitment. Using double-digest restriction-site associated DNA sequencing, we surveyed variation in 7,382 single nucleotide polymorphisms (SNPs) in red snapper (Lutjanus campechanus) young-of-the-year (YOY) sampled at six localities and in adults sampled at two localities in the northern Gulf of Mexico. Significant genetic heterogeneity was detected between the two adult samples, separated by ~600 km, and at spatial scales less than five kilometers among samples of  YOY. Genetic differences between YOY samples and between YOY samples and adult samples were not associated with geographic distance, and a genome scan revealed no evidence of loci under selection. Estimates of the effective number of breeders, allelic richness, and relatedness within YOY samples were not consistent with sweepstakes recruitment. Instead, the data demonstrate, at least within one recruitment season, that multiple pulses of recruits originate from distinct groups of spawning adults, even at small spatial scales. For exploited species with this type of recruitment pattern, protection of spawning adults over wide geographic areas may be critical for ensuring productivity and stability of the fishery by maintaining larval supply and connectivity.","author":[{"dropping-particle":"","family":"Puritz","given":"Jonathan B.","non-dropping-particle":"","parse-names":false,"suffix":""},{"dropping-particle":"","family":"Gold","given":"John R.","non-dropping-particle":"","parse-names":false,"suffix":""},{"dropping-particle":"","family":"Portnoy","given":"David S.","non-dropping-particle":"","parse-names":false,"suffix":""}],"container-title":"Scientific Reports","id":"ITEM-1","issue":"April","issued":{"date-parts":[["2016"]]},"page":"1-6","publisher":"Nature Publishing Group","title":"Fine-scale partitioning of genomic variation among recruits in an exploited fishery: Causes and consequences","type":"article-journal","volume":"6"},"uris":["http://www.mendeley.com/documents/?uuid=69b06b09-1c3a-4af5-b9f0-689859566381"]}],"mendeley":{"formattedCitation":"(Puritz et al. 2016)","manualFormatting":"Puritz et al. (2016)","plainTextFormattedCitation":"(Puritz et al. 2016)","previouslyFormattedCitation":"(Puritz et al. 2016)"},"properties":{"noteIndex":0},"schema":"https://github.com/citation-style-language/schema/raw/master/csl-citation.json"}</w:instrText>
      </w:r>
      <w:r w:rsidR="002D2851">
        <w:fldChar w:fldCharType="separate"/>
      </w:r>
      <w:r w:rsidR="002D2851" w:rsidRPr="002D2851">
        <w:rPr>
          <w:noProof/>
        </w:rPr>
        <w:t xml:space="preserve">Puritz et al. </w:t>
      </w:r>
      <w:r w:rsidR="002D2851">
        <w:rPr>
          <w:noProof/>
        </w:rPr>
        <w:t>(</w:t>
      </w:r>
      <w:r w:rsidR="002D2851" w:rsidRPr="002D2851">
        <w:rPr>
          <w:noProof/>
        </w:rPr>
        <w:t>2016)</w:t>
      </w:r>
      <w:r w:rsidR="002D2851">
        <w:fldChar w:fldCharType="end"/>
      </w:r>
      <w:r w:rsidR="002D2851">
        <w:t xml:space="preserve">, </w:t>
      </w:r>
      <w:r w:rsidR="002D2851">
        <w:fldChar w:fldCharType="begin" w:fldLock="1"/>
      </w:r>
      <w:r w:rsidR="00207E2D">
        <w:instrText>ADDIN CSL_CITATION {"citationItems":[{"id":"ITEM-1","itemData":{"DOI":"10.1093/auk/ukz015","abstract":"Evolutionary biologists have long used behavioral, ecological, and genetic data from contact zones between closely related species to study various phases of the speciation continuum. North America has several concentrations of avian contact zones, where multiple pairs of sister lineages meet, with or without hybridization. In a southern California contact zone, 2 species of woodpeckers, Nuttall’s Woodpecker (Dryobates nuttallii) and the Ladder-backed Woodpecker (D. scalaris), occasionally hybridize. We sampled these 2 species in a transect across this contact zone and included samples of their closest relative, the Downy Woodpecker (D. pubescens), to obtain large single nucleotide polymorphism panels using restriction-site associated DNA sequencing (RAD-seq). Furthermore, we used whole-genome resequencing data for 2 individuals per species to identify whether patterns of diversity inferred from RAD-seq were representative of whole-genome diversity. We found that these 3 woodpecker species are genomically distinct. Although low levels of gene flow occur between D. nuttallii and D. scalaris across the contact zone, there was no evidence for widespread genomic introgression between these 2 species. Overall patterns of genomic diversity from the RAD-seq and wholegenome datasets appear to be related to distributional range size and, by extension, are likely related to effective population sizes for each species.","author":[{"dropping-particle":"","family":"Manthey","given":"Joseph D","non-dropping-particle":"","parse-names":false,"suffix":""},{"dropping-particle":"","family":"Boissinot","given":"Stéphane","non-dropping-particle":"","parse-names":false,"suffix":""},{"dropping-particle":"","family":"Moyle","given":"Robert G","non-dropping-particle":"","parse-names":false,"suffix":""}],"id":"ITEM-1","issued":{"date-parts":[["2019","4","13"]]},"title":"Biodiversity genomics of North American Dryobates woodpeckers reveals little gene flow across the D. nuttallii x D. scalaris contact zone","type":"article-journal"},"uris":["http://www.mendeley.com/documents/?uuid=bf5c81b3-2543-4fa2-86af-e7d4012614b3"]}],"mendeley":{"formattedCitation":"(Manthey et al. 2019)","manualFormatting":"Manthey et al. (2019)","plainTextFormattedCitation":"(Manthey et al. 2019)","previouslyFormattedCitation":"(Manthey et al. 2019)"},"properties":{"noteIndex":0},"schema":"https://github.com/citation-style-language/schema/raw/master/csl-citation.json"}</w:instrText>
      </w:r>
      <w:r w:rsidR="002D2851">
        <w:fldChar w:fldCharType="separate"/>
      </w:r>
      <w:r w:rsidR="002D2851" w:rsidRPr="002D2851">
        <w:rPr>
          <w:noProof/>
        </w:rPr>
        <w:t xml:space="preserve">Manthey et al. </w:t>
      </w:r>
      <w:r w:rsidR="007B6ADD">
        <w:rPr>
          <w:noProof/>
        </w:rPr>
        <w:t>(</w:t>
      </w:r>
      <w:r w:rsidR="002D2851" w:rsidRPr="002D2851">
        <w:rPr>
          <w:noProof/>
        </w:rPr>
        <w:t>2019)</w:t>
      </w:r>
      <w:r w:rsidR="002D2851">
        <w:fldChar w:fldCharType="end"/>
      </w:r>
      <w:r w:rsidR="007B6ADD">
        <w:t>,</w:t>
      </w:r>
      <w:r w:rsidR="002D2851">
        <w:t xml:space="preserve"> </w:t>
      </w:r>
      <w:r w:rsidR="005641B4">
        <w:t xml:space="preserve">and many more). </w:t>
      </w:r>
      <w:r w:rsidR="002C689B">
        <w:t xml:space="preserve">While no genomic resources currently exist for the ribbed mussel, the genome of the Mediterranean Mussel </w:t>
      </w:r>
      <w:proofErr w:type="spellStart"/>
      <w:r w:rsidR="002C689B" w:rsidRPr="00673F09">
        <w:rPr>
          <w:i/>
          <w:iCs/>
        </w:rPr>
        <w:t>Mytilus</w:t>
      </w:r>
      <w:proofErr w:type="spellEnd"/>
      <w:r w:rsidR="002C689B" w:rsidRPr="00673F09">
        <w:rPr>
          <w:i/>
          <w:iCs/>
        </w:rPr>
        <w:t xml:space="preserve"> </w:t>
      </w:r>
      <w:proofErr w:type="spellStart"/>
      <w:r w:rsidR="002C689B" w:rsidRPr="00673F09">
        <w:rPr>
          <w:i/>
          <w:iCs/>
        </w:rPr>
        <w:t>galloprovincialis</w:t>
      </w:r>
      <w:proofErr w:type="spellEnd"/>
      <w:r w:rsidR="002C689B">
        <w:t xml:space="preserve"> </w:t>
      </w:r>
      <w:r w:rsidR="00B15B83">
        <w:fldChar w:fldCharType="begin" w:fldLock="1"/>
      </w:r>
      <w:r w:rsidR="00207E2D">
        <w:instrText>ADDIN CSL_CITATION {"citationItems":[{"id":"ITEM-1","itemData":{"DOI":"10.1371/journal.pone.0151561","abstract":"Mussels belong to the phylum Mollusca, one of the largest and most diverse taxa in the animal kingdom. Despite their importance in aquaculture and in biology in general, genomic resources from mussels are still scarce. To broaden and increase the genomic knowledge in this family, we carried out a whole-genome sequencing study of the cosmopolitan Mediterranean mussel (Mytilus galloprovincialis). We sequenced its genome (32X depth of coverage) on the Illumina platform using three pair-end libraries with different insert sizes. The large number of contigs obtained pointed out a highly complex genome of 1.6 Gb where repeated elements seem to be widespread (~30% of the genome), a feature that is also shared with other marine molluscs. Notwithstanding the limitations of our genome sequencing, we were able to reconstruct two mitochondrial genomes and predict 10,891 putative genes. A comparative analysis with other molluscs revealed a gene enrichment of gene ontology categories related to multixenobiotic resistance, glutamate biosynthetic process, and the maintenance of ciliary structures.","author":[{"dropping-particle":"","family":"Murgarella","given":"Maria","non-dropping-particle":"","parse-names":false,"suffix":""},{"dropping-particle":"","family":"Puiu","given":"Daniela","non-dropping-particle":"","parse-names":false,"suffix":""},{"dropping-particle":"","family":"Novoa","given":"Beatriz","non-dropping-particle":"","parse-names":false,"suffix":""},{"dropping-particle":"","family":"Figueras","given":"Antonio","non-dropping-particle":"","parse-names":false,"suffix":""},{"dropping-particle":"","family":"Posada","given":"David","non-dropping-particle":"","parse-names":false,"suffix":""},{"dropping-particle":"","family":"Canchaya","given":"Carlos","non-dropping-particle":"","parse-names":false,"suffix":""}],"container-title":"PLOS ONE","id":"ITEM-1","issue":"3","issued":{"date-parts":[["2016"]]},"page":"1-22","publisher":"Public Library of Science","title":"A First Insight into the Genome of the Filter-Feeder Mussel Mytilus galloprovincialis","type":"article-journal","volume":"11"},"uris":["http://www.mendeley.com/documents/?uuid=17dca987-d47f-4602-bf54-d2c0cec73e29"]}],"mendeley":{"formattedCitation":"(Murgarella et al. 2016)","plainTextFormattedCitation":"(Murgarella et al. 2016)","previouslyFormattedCitation":"(Murgarella et al. 2016)"},"properties":{"noteIndex":0},"schema":"https://github.com/citation-style-language/schema/raw/master/csl-citation.json"}</w:instrText>
      </w:r>
      <w:r w:rsidR="00B15B83">
        <w:fldChar w:fldCharType="separate"/>
      </w:r>
      <w:r w:rsidR="00207E2D" w:rsidRPr="00207E2D">
        <w:rPr>
          <w:noProof/>
        </w:rPr>
        <w:t>(Murgarella et al. 2016)</w:t>
      </w:r>
      <w:r w:rsidR="00B15B83">
        <w:fldChar w:fldCharType="end"/>
      </w:r>
      <w:r w:rsidR="00B15B83">
        <w:t xml:space="preserve">, as well as pipelines with efficient </w:t>
      </w:r>
      <w:r w:rsidR="00B15B83" w:rsidRPr="00B15B83">
        <w:rPr>
          <w:i/>
          <w:iCs/>
        </w:rPr>
        <w:t>de novo</w:t>
      </w:r>
      <w:r w:rsidR="00B15B83">
        <w:t xml:space="preserve"> assembly </w:t>
      </w:r>
      <w:r w:rsidR="00B15B83">
        <w:fldChar w:fldCharType="begin" w:fldLock="1"/>
      </w:r>
      <w:r w:rsidR="00207E2D">
        <w:instrText>ADDIN CSL_CITATION {"citationItems":[{"id":"ITEM-1","itemData":{"DOI":"10.7717/peerj.431","ISSN":"2167-8359","abstract":"Restriction-site associated DNA sequencing (RADseq) has become a powerful and useful approach for population genomics. Currently, no software exists that utilizes both paired-end reads from RADseq data to efficiently produce population-informative variant calls, especially for non-model organisms with large effective population sizes and high levels of genetic polymorphism. dDocent is an analysis pipeline with a user-friendly, command-line interface designed to process individually barcoded RADseq data (with double cut sites) into informative SNPs/Indels for population-level analyses. The pipeline, written in BASH, uses data reduction techniques and other stand-alone software packages to perform quality trimming and adapter removal, de novo assembly of RAD loci, read mapping, SNP and Indel calling, and baseline data filtering. Double-digest RAD data from population pairings of three different marine fishes were used to compare dDocent with Stacks, the first generally available, widely used pipeline for analysis of RADseq data. dDocent consistently identified more SNPs shared across greater numbers of individuals and with higher levels of coverage. This is due to the fact that dDocent quality trims instead of filtering, incorporates both forward and reverse reads (including reads with INDEL polymorphisms) in assembly, mapping, and SNP calling. The pipeline and a comprehensive user guide can be found at http://dDocent.wordpress.com.","author":[{"dropping-particle":"","family":"Puritz","given":"Jonathan B","non-dropping-particle":"","parse-names":false,"suffix":""},{"dropping-particle":"","family":"Hollenbeck","given":"Christopher M","non-dropping-particle":"","parse-names":false,"suffix":""},{"dropping-particle":"","family":"Gold","given":"John R","non-dropping-particle":"","parse-names":false,"suffix":""}],"container-title":"PeerJ","id":"ITEM-1","issued":{"date-parts":[["2014","6","10"]]},"language":"eng","page":"e431-e431","publisher":"PeerJ Inc.","title":"dDocent: a RADseq, variant-calling pipeline designed for population genomics of non-model organisms","type":"article-journal","volume":"2"},"uris":["http://www.mendeley.com/documents/?uuid=b3a027d2-310b-4940-a8e0-49c6444ce319"]}],"mendeley":{"formattedCitation":"(Puritz et al. 2014)","manualFormatting":"(see Puritz et al. 2014)","plainTextFormattedCitation":"(Puritz et al. 2014)","previouslyFormattedCitation":"(Puritz et al. 2014)"},"properties":{"noteIndex":0},"schema":"https://github.com/citation-style-language/schema/raw/master/csl-citation.json"}</w:instrText>
      </w:r>
      <w:r w:rsidR="00B15B83">
        <w:fldChar w:fldCharType="separate"/>
      </w:r>
      <w:r w:rsidR="00B15B83" w:rsidRPr="00B15B83">
        <w:rPr>
          <w:noProof/>
        </w:rPr>
        <w:t>(</w:t>
      </w:r>
      <w:r w:rsidR="00B15B83">
        <w:rPr>
          <w:noProof/>
        </w:rPr>
        <w:t xml:space="preserve">see </w:t>
      </w:r>
      <w:r w:rsidR="00B15B83" w:rsidRPr="00B15B83">
        <w:rPr>
          <w:noProof/>
        </w:rPr>
        <w:t>Puritz et al. 2014)</w:t>
      </w:r>
      <w:r w:rsidR="00B15B83">
        <w:fldChar w:fldCharType="end"/>
      </w:r>
      <w:r w:rsidR="00B15B83">
        <w:t xml:space="preserve"> will be used. </w:t>
      </w:r>
    </w:p>
    <w:p w:rsidR="009D72D5" w:rsidRDefault="009D72D5" w:rsidP="00673F09">
      <w:pPr>
        <w:jc w:val="both"/>
      </w:pPr>
    </w:p>
    <w:p w:rsidR="0006566E" w:rsidRPr="0006566E" w:rsidRDefault="00213111" w:rsidP="0006566E">
      <w:pPr>
        <w:jc w:val="both"/>
      </w:pPr>
      <w:r>
        <w:lastRenderedPageBreak/>
        <w:t xml:space="preserve">Population structure, diversity, and connectivity will be determined with the SNP dataset generated from ddRAD sequencing. Clustering analysis such as Principle Components Analyses (PCAs) will be used to </w:t>
      </w:r>
      <w:r w:rsidR="0030373E">
        <w:t xml:space="preserve">see if populations group genetically based on no prior assumptions. </w:t>
      </w:r>
      <w:r w:rsidR="0006566E">
        <w:t xml:space="preserve">Population connectivity and historical migration will be investigated with programs </w:t>
      </w:r>
      <w:r w:rsidR="00EF607F">
        <w:t>such as</w:t>
      </w:r>
      <w:r w:rsidR="0006566E">
        <w:t xml:space="preserve"> ADMIXTURE and </w:t>
      </w:r>
      <w:proofErr w:type="spellStart"/>
      <w:r w:rsidR="0006566E">
        <w:t>TreeMix</w:t>
      </w:r>
      <w:proofErr w:type="spellEnd"/>
      <w:r w:rsidR="0006566E">
        <w:t xml:space="preserve">. This information will provide insight in the long-term viability of the species as their habitat declines, and if there are any distinct </w:t>
      </w:r>
      <w:r w:rsidR="00B15B83">
        <w:t>populations</w:t>
      </w:r>
      <w:r w:rsidR="0006566E">
        <w:t xml:space="preserve">. </w:t>
      </w:r>
      <w:r w:rsidR="00B15B83">
        <w:t>We will also</w:t>
      </w:r>
      <w:r w:rsidR="0006566E">
        <w:t xml:space="preserve"> assess whether the morphological distinctness of the one proposed subspecies </w:t>
      </w:r>
      <w:r w:rsidR="0006566E" w:rsidRPr="0006566E">
        <w:rPr>
          <w:i/>
          <w:iCs/>
        </w:rPr>
        <w:t xml:space="preserve">G. d. </w:t>
      </w:r>
      <w:proofErr w:type="spellStart"/>
      <w:r w:rsidR="0006566E" w:rsidRPr="0006566E">
        <w:rPr>
          <w:i/>
          <w:iCs/>
        </w:rPr>
        <w:t>granosissima</w:t>
      </w:r>
      <w:proofErr w:type="spellEnd"/>
      <w:r w:rsidR="0006566E" w:rsidRPr="0006566E">
        <w:t> (Sowerby, 1914)</w:t>
      </w:r>
      <w:r w:rsidR="0006566E">
        <w:t xml:space="preserve"> </w:t>
      </w:r>
      <w:r w:rsidR="00B06243">
        <w:fldChar w:fldCharType="begin" w:fldLock="1"/>
      </w:r>
      <w:r w:rsidR="00207E2D">
        <w:instrText>ADDIN CSL_CITATION {"citationItems":[{"id":"ITEM-1","itemData":{"DOI":"10.1007/BF00349163","ISSN":"00253162","abstract":"Ribbed mussels (232 in all) representing the nominal species Geukensia demissa (Dillwyn, 1817) were collected at nine coastal North American locations (two Pacific, four Atlantic and three Gulf Coast locations) between January 1990 and September 1991, and exam-ined for nine shell characters and for variation at 18 allozyme loci. Two genetically-differentiated groups were identified and called demissa-type and granosissima-type mussels, based on similarity of geographic range to previ-ously recognized subspecies of G. demissa. There was very little genetic differentiation of populations over moderate to large (3000 kin) distances along the Atlantic coast (for demissa-type mussels), along the Gulf Coast (for granosissima-type mussels), or between Pacific and Atlantic populations of demissa-type mussels. The two types of mussels were differentiated genetically (Nei's un-biased genetic distance = 0.55 _+ 0.20) at a level charac-teristic of separate species in other molluscan taxa, and to a lesser extent were differentiated morphologically. We recommend that the two types of mussels be treated as separate species within the genus Geukensia: G. demissa (Dillwyn, 1817) and G. granosissima (Sowerby, 1914).","author":[{"dropping-particle":"","family":"Sarver","given":"S. K.","non-dropping-particle":"","parse-names":false,"suffix":""},{"dropping-particle":"","family":"Landrum","given":"M. C.","non-dropping-particle":"","parse-names":false,"suffix":""},{"dropping-particle":"","family":"Foltz","given":"D. W.","non-dropping-particle":"","parse-names":false,"suffix":""}],"container-title":"Marine Biology","id":"ITEM-1","issue":"3","issued":{"date-parts":[["1992"]]},"page":"385-390","title":"Genetics and taxonomy of ribbed mussels (Geukensia spp.)","type":"article-journal","volume":"113"},"uris":["http://www.mendeley.com/documents/?uuid=4a653ae6-0bcf-4c74-ba67-95a44c8ec172"]}],"mendeley":{"formattedCitation":"(Sarver et al. 1992)","plainTextFormattedCitation":"(Sarver et al. 1992)","previouslyFormattedCitation":"(Sarver et al. 1992)"},"properties":{"noteIndex":0},"schema":"https://github.com/citation-style-language/schema/raw/master/csl-citation.json"}</w:instrText>
      </w:r>
      <w:r w:rsidR="00B06243">
        <w:fldChar w:fldCharType="separate"/>
      </w:r>
      <w:r w:rsidR="00207E2D" w:rsidRPr="00207E2D">
        <w:rPr>
          <w:noProof/>
        </w:rPr>
        <w:t>(Sarver et al. 1992)</w:t>
      </w:r>
      <w:r w:rsidR="00B06243">
        <w:fldChar w:fldCharType="end"/>
      </w:r>
      <w:r w:rsidR="00944221">
        <w:t xml:space="preserve"> </w:t>
      </w:r>
      <w:r w:rsidR="0006566E">
        <w:t>from Florida is distinct genetically</w:t>
      </w:r>
      <w:r w:rsidR="00B06243">
        <w:t xml:space="preserve"> </w:t>
      </w:r>
      <w:r w:rsidR="00B06243">
        <w:fldChar w:fldCharType="begin" w:fldLock="1"/>
      </w:r>
      <w:r w:rsidR="00207E2D">
        <w:instrText>ADDIN CSL_CITATION {"citationItems":[{"id":"ITEM-1","itemData":{"DOI":"10.1007/BF00349163","ISSN":"00253162","abstract":"Ribbed mussels (232 in all) representing the nominal species Geukensia demissa (Dillwyn, 1817) were collected at nine coastal North American locations (two Pacific, four Atlantic and three Gulf Coast locations) between January 1990 and September 1991, and exam-ined for nine shell characters and for variation at 18 allozyme loci. Two genetically-differentiated groups were identified and called demissa-type and granosissima-type mussels, based on similarity of geographic range to previ-ously recognized subspecies of G. demissa. There was very little genetic differentiation of populations over moderate to large (3000 kin) distances along the Atlantic coast (for demissa-type mussels), along the Gulf Coast (for granosissima-type mussels), or between Pacific and Atlantic populations of demissa-type mussels. The two types of mussels were differentiated genetically (Nei's un-biased genetic distance = 0.55 _+ 0.20) at a level charac-teristic of separate species in other molluscan taxa, and to a lesser extent were differentiated morphologically. We recommend that the two types of mussels be treated as separate species within the genus Geukensia: G. demissa (Dillwyn, 1817) and G. granosissima (Sowerby, 1914).","author":[{"dropping-particle":"","family":"Sarver","given":"S. K.","non-dropping-particle":"","parse-names":false,"suffix":""},{"dropping-particle":"","family":"Landrum","given":"M. C.","non-dropping-particle":"","parse-names":false,"suffix":""},{"dropping-particle":"","family":"Foltz","given":"D. W.","non-dropping-particle":"","parse-names":false,"suffix":""}],"container-title":"Marine Biology","id":"ITEM-1","issue":"3","issued":{"date-parts":[["1992"]]},"page":"385-390","title":"Genetics and taxonomy of ribbed mussels (Geukensia spp.)","type":"article-journal","volume":"113"},"uris":["http://www.mendeley.com/documents/?uuid=4a653ae6-0bcf-4c74-ba67-95a44c8ec172"]}],"mendeley":{"formattedCitation":"(Sarver et al. 1992)","plainTextFormattedCitation":"(Sarver et al. 1992)","previouslyFormattedCitation":"(Sarver et al. 1992)"},"properties":{"noteIndex":0},"schema":"https://github.com/citation-style-language/schema/raw/master/csl-citation.json"}</w:instrText>
      </w:r>
      <w:r w:rsidR="00B06243">
        <w:fldChar w:fldCharType="separate"/>
      </w:r>
      <w:r w:rsidR="00207E2D" w:rsidRPr="00207E2D">
        <w:rPr>
          <w:noProof/>
        </w:rPr>
        <w:t>(Sarver et al. 1992)</w:t>
      </w:r>
      <w:r w:rsidR="00B06243">
        <w:fldChar w:fldCharType="end"/>
      </w:r>
      <w:r w:rsidR="0006566E">
        <w:t>. Genetic studies ha</w:t>
      </w:r>
      <w:r w:rsidR="00EF607F">
        <w:t>ve</w:t>
      </w:r>
      <w:r w:rsidR="0006566E">
        <w:t xml:space="preserve"> both confirmed and refuted </w:t>
      </w:r>
      <w:r w:rsidR="00B15B83">
        <w:t xml:space="preserve">previous </w:t>
      </w:r>
      <w:r w:rsidR="0006566E">
        <w:t xml:space="preserve">subspecies </w:t>
      </w:r>
      <w:r w:rsidR="00B15B83">
        <w:t xml:space="preserve">and species </w:t>
      </w:r>
      <w:r w:rsidR="0006566E">
        <w:t xml:space="preserve">designations </w:t>
      </w:r>
      <w:r w:rsidR="00B15B83">
        <w:t xml:space="preserve">for </w:t>
      </w:r>
      <w:r w:rsidR="0006566E">
        <w:t xml:space="preserve">many species </w:t>
      </w:r>
      <w:r w:rsidR="00B15B83">
        <w:fldChar w:fldCharType="begin" w:fldLock="1"/>
      </w:r>
      <w:r w:rsidR="00207E2D">
        <w:instrText>ADDIN CSL_CITATION {"citationItems":[{"id":"ITEM-1","itemData":{"DOI":"10.1186/s13059-018-1520-3","ISSN":"1474-760X","abstract":"``Conservation genomics'' encompasses the idea that genome-scale data will improve the capacity of resource managers to protect species. Although genetic approaches have long been used in conservation research, it has only recently become tractable to generate genome-wide data at a scale that is useful for conservation. In this Review, we discuss how genome-scale data can inform species delineation in the face of admixture, facilitate evolution through the identification of adaptive alleles, and enhance evolutionary rescue based on genomic patterns of inbreeding. As genomic approaches become more widely adopted in conservation, we expect that they will have a positive impact on management and policy decisions.","author":[{"dropping-particle":"","family":"Supple","given":"Megan A","non-dropping-particle":"","parse-names":false,"suffix":""},{"dropping-particle":"","family":"Shapiro","given":"Beth","non-dropping-particle":"","parse-names":false,"suffix":""}],"container-title":"Genome Biology","id":"ITEM-1","issue":"1","issued":{"date-parts":[["2018","9"]]},"page":"131","title":"Conservation of biodiversity in the genomics era","type":"article-journal","volume":"19"},"uris":["http://www.mendeley.com/documents/?uuid=ca6e2913-efcb-4d25-be3c-e511e0dfa05b"]}],"mendeley":{"formattedCitation":"(Supple &amp; Shapiro 2018)","plainTextFormattedCitation":"(Supple &amp; Shapiro 2018)","previouslyFormattedCitation":"(Supple &amp; Shapiro 2018)"},"properties":{"noteIndex":0},"schema":"https://github.com/citation-style-language/schema/raw/master/csl-citation.json"}</w:instrText>
      </w:r>
      <w:r w:rsidR="00B15B83">
        <w:fldChar w:fldCharType="separate"/>
      </w:r>
      <w:r w:rsidR="00207E2D" w:rsidRPr="00207E2D">
        <w:rPr>
          <w:noProof/>
        </w:rPr>
        <w:t>(Supple &amp; Shapiro 2018)</w:t>
      </w:r>
      <w:r w:rsidR="00B15B83">
        <w:fldChar w:fldCharType="end"/>
      </w:r>
      <w:r w:rsidR="0006566E">
        <w:t xml:space="preserve">. </w:t>
      </w:r>
    </w:p>
    <w:p w:rsidR="007C5056" w:rsidRDefault="007C5056" w:rsidP="00673F09">
      <w:pPr>
        <w:jc w:val="both"/>
      </w:pPr>
    </w:p>
    <w:p w:rsidR="0006566E" w:rsidRPr="00B06243" w:rsidRDefault="0006566E" w:rsidP="00673F09">
      <w:pPr>
        <w:jc w:val="both"/>
        <w:rPr>
          <w:b/>
          <w:bCs/>
        </w:rPr>
      </w:pPr>
      <w:r w:rsidRPr="00B06243">
        <w:rPr>
          <w:b/>
          <w:bCs/>
        </w:rPr>
        <w:t xml:space="preserve">4. Role of </w:t>
      </w:r>
      <w:r w:rsidRPr="00B06243">
        <w:rPr>
          <w:b/>
          <w:bCs/>
          <w:i/>
          <w:iCs/>
        </w:rPr>
        <w:t xml:space="preserve">Geukensia demissa </w:t>
      </w:r>
      <w:r w:rsidRPr="00B06243">
        <w:rPr>
          <w:b/>
          <w:bCs/>
        </w:rPr>
        <w:t>in die-back of New England salt marshes</w:t>
      </w:r>
      <w:r w:rsidR="00287CC8" w:rsidRPr="00B06243">
        <w:rPr>
          <w:b/>
          <w:bCs/>
        </w:rPr>
        <w:t xml:space="preserve"> (Aim 2)</w:t>
      </w:r>
    </w:p>
    <w:p w:rsidR="00EF607F" w:rsidRDefault="00944221" w:rsidP="00673F09">
      <w:pPr>
        <w:jc w:val="both"/>
      </w:pPr>
      <w:r>
        <w:rPr>
          <w:noProof/>
        </w:rPr>
        <w:drawing>
          <wp:anchor distT="0" distB="0" distL="114300" distR="114300" simplePos="0" relativeHeight="251660288" behindDoc="0" locked="0" layoutInCell="1" allowOverlap="1">
            <wp:simplePos x="0" y="0"/>
            <wp:positionH relativeFrom="margin">
              <wp:posOffset>17780</wp:posOffset>
            </wp:positionH>
            <wp:positionV relativeFrom="margin">
              <wp:posOffset>5445847</wp:posOffset>
            </wp:positionV>
            <wp:extent cx="5943600" cy="235331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15 at 9.13.26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53310"/>
                    </a:xfrm>
                    <a:prstGeom prst="rect">
                      <a:avLst/>
                    </a:prstGeom>
                  </pic:spPr>
                </pic:pic>
              </a:graphicData>
            </a:graphic>
            <wp14:sizeRelH relativeFrom="margin">
              <wp14:pctWidth>0</wp14:pctWidth>
            </wp14:sizeRelH>
            <wp14:sizeRelV relativeFrom="margin">
              <wp14:pctHeight>0</wp14:pctHeight>
            </wp14:sizeRelV>
          </wp:anchor>
        </w:drawing>
      </w:r>
      <w:r w:rsidR="00EF607F">
        <w:t xml:space="preserve">Salt marshes </w:t>
      </w:r>
      <w:r w:rsidR="001C282A">
        <w:t xml:space="preserve">represent a productive, ecologically and economically important ecosystem, and while there are not reliable estimates on the monetary value of the ecosystem service of erosion control, it is often cited as one of the most important resources marshes provide </w:t>
      </w:r>
      <w:r w:rsidR="001C282A">
        <w:fldChar w:fldCharType="begin" w:fldLock="1"/>
      </w:r>
      <w:r w:rsidR="00207E2D">
        <w:instrText>ADDIN CSL_CITATION {"citationItems":[{"id":"ITEM-1","itemData":{"DOI":"10.1890/10-1510.1","ISSN":"00129615","abstract":"The global decline in estuarine and coastal ecosystems (ECEs) is affecting anumber of critical beneﬁts, or ecosystem services. We review the main ecological servicesacross a variety of ECEs, including marshes, mangroves, nearshore coral reefs, seagrass beds,and sand beaches and dunes. Where possible, we indicate estimates of the key economic valuesarising from these services, and discuss how the natural variability of ECEs impacts theirbeneﬁts, the synergistic relationships of ECEs across seascapes, and management implications.Although reliable valuation estimates are beginning to emerge for the key services of someECEs, such as coral reefs, salt marshes, and mangroves, many of the important beneﬁts ofseagrass beds and sand dunes and beaches have not been assessed properly. Even for coralreefs, marshes, and mangroves, important ecological services have yet to be valued reliably,such as cross-ecosystem nutrient transfer (coral reefs), erosion control (marshes), andpollution control (mangroves). An important issue for valuing certain ECE services, such ascoastal protection and habitat–ﬁshery linkages, is that the ecological functions underlyingthese services vary spatially and temporally. Allowing for the connectivity between ECEhabitats also may have important implications for assessing the ecological functionsunderlying key ecosystems s ervic es, such coastal protection, control of erosion, andhabitat–ﬁshery linkages. Finally, we conclude by suggesting an action plan for protectingand/or enhancing the immediate and longer-term values of ECE services. Because theconnectivity of ECEs across land–sea gradients also inﬂuences the provision of certainecosystem services, management of the entire seascape will be necessary to preserve suchsynergistic effects. Other key elements of an action plan include further ecological andeconomic collaborative research on valuing ECE services, improving institutional and legalframeworks for management, controlling and regulating destructive economic activities, anddeveloping ecological restoration options.","author":[{"dropping-particle":"","family":"Barbier","given":"Edward B.","non-dropping-particle":"","parse-names":false,"suffix":""},{"dropping-particle":"","family":"Hacker","given":"Sally D.","non-dropping-particle":"","parse-names":false,"suffix":""},{"dropping-particle":"","family":"Kennedy","given":"Chris","non-dropping-particle":"","parse-names":false,"suffix":""},{"dropping-particle":"","family":"Koch","given":"Evamaria W.","non-dropping-particle":"","parse-names":false,"suffix":""},{"dropping-particle":"","family":"Stier","given":"Adrian C.","non-dropping-particle":"","parse-names":false,"suffix":""},{"dropping-particle":"","family":"Silliman","given":"Brian R.","non-dropping-particle":"","parse-names":false,"suffix":""}],"container-title":"Ecological Monographs","id":"ITEM-1","issue":"2","issued":{"date-parts":[["2011"]]},"page":"169-193","title":"The value of estuarine and coastal ecosystem services","type":"article-journal","volume":"81"},"uris":["http://www.mendeley.com/documents/?uuid=7f676c9e-480b-4cc1-bdaa-fb0bcb5e2168"]}],"mendeley":{"formattedCitation":"(Barbier et al. 2011)","plainTextFormattedCitation":"(Barbier et al. 2011)","previouslyFormattedCitation":"(Barbier et al. 2011)"},"properties":{"noteIndex":0},"schema":"https://github.com/citation-style-language/schema/raw/master/csl-citation.json"}</w:instrText>
      </w:r>
      <w:r w:rsidR="001C282A">
        <w:fldChar w:fldCharType="separate"/>
      </w:r>
      <w:r w:rsidR="00207E2D" w:rsidRPr="00207E2D">
        <w:rPr>
          <w:noProof/>
        </w:rPr>
        <w:t>(Barbier et al. 2011)</w:t>
      </w:r>
      <w:r w:rsidR="001C282A">
        <w:fldChar w:fldCharType="end"/>
      </w:r>
      <w:r w:rsidR="001C282A">
        <w:t xml:space="preserve">. </w:t>
      </w:r>
      <w:r>
        <w:t>Unfortunately, s</w:t>
      </w:r>
      <w:r w:rsidR="001C282A">
        <w:t xml:space="preserve">alt marshes in the Western Atlantic, and particularly close to home, in New England are experiencing salt marsh die-off </w:t>
      </w:r>
      <w:r w:rsidR="001C282A">
        <w:fldChar w:fldCharType="begin" w:fldLock="1"/>
      </w:r>
      <w:r w:rsidR="00207E2D">
        <w:instrText>ADDIN CSL_CITATION {"citationItems":[{"id":"ITEM-1","itemData":{"DOI":"doi:10.1111/j.1523-1739.2008.00962.x","ISSN":"0888-8892","abstract":"Abstract:? Salt marsh ecosystems are widely considered to be controlled exclusively by bottom?up forces, but there is mounting evidence that human disturbances are triggering consumer control in western Atlantic salt marshes, often with catastrophic consequences. In other marine ecosystems, human disturbances routinely dampen (e.g., coral reefs, sea grass beds) and strengthen (e.g., kelps) consumer control, but current marsh theory predicts little potential interaction between humans and marsh consumers. Thus, human modification of top?down control in salt marshes was not anticipated and was even discounted in current marsh theory, despite loud warnings about the potential for cascading human impacts from work in other marine ecosystems. In spite of recent experiments that have challenged established marsh dogma and demonstrated consumer-driven die-off of salt marsh ecosystems, government agencies and nongovernmental organizations continue to manage marsh die-offs under the old theoretical framework and only consider bottom?up forces as causal agents. This intellectual dependency of many coastal ecologists and managers on system-specific theory (i.e., marsh bottom?up theory) has the potential to have grave repercussions for coastal ecosystem management and conservation in the face of increasing human threats. We stress that marine vascular plant communities (salt marshes, sea grass beds, mangroves) are likely more vulnerable to runaway grazing and consumer-driven collapse than is currently recognized by theory, particularly in low-diversity ecosystems like Atlantic salt marshes.","author":[{"dropping-particle":"","family":"Bertness","given":"Mark D.","non-dropping-particle":"","parse-names":false,"suffix":""},{"dropping-particle":"","family":"Silliman","given":"Brian R.","non-dropping-particle":"","parse-names":false,"suffix":""}],"container-title":"Conservation Biology","id":"ITEM-1","issue":"3","issued":{"date-parts":[["2008"]]},"page":"618-623","title":"Consumer Control of Salt Marshes Driven by Human Disturbance","type":"article-journal","volume":"22"},"uris":["http://www.mendeley.com/documents/?uuid=9a4149b7-01bc-4302-8da5-b47853abfed5"]}],"mendeley":{"formattedCitation":"(Bertness &amp; Silliman 2008)","plainTextFormattedCitation":"(Bertness &amp; Silliman 2008)","previouslyFormattedCitation":"(Bertness &amp; Silliman 2008)"},"properties":{"noteIndex":0},"schema":"https://github.com/citation-style-language/schema/raw/master/csl-citation.json"}</w:instrText>
      </w:r>
      <w:r w:rsidR="001C282A">
        <w:fldChar w:fldCharType="separate"/>
      </w:r>
      <w:r w:rsidR="00207E2D" w:rsidRPr="00207E2D">
        <w:rPr>
          <w:noProof/>
        </w:rPr>
        <w:t>(Bertness &amp; Silliman 2008)</w:t>
      </w:r>
      <w:r w:rsidR="001C282A">
        <w:fldChar w:fldCharType="end"/>
      </w:r>
      <w:r w:rsidR="006107C8">
        <w:t xml:space="preserve">. Within the last ten years, salt marsh die-off has been newly reported in Narragansett Bay </w:t>
      </w:r>
      <w:r w:rsidR="006107C8">
        <w:fldChar w:fldCharType="begin" w:fldLock="1"/>
      </w:r>
      <w:r w:rsidR="00207E2D">
        <w:instrText>ADDIN CSL_CITATION {"citationItems":[{"id":"ITEM-1","itemData":{"DOI":"10.1371/journal.pone.0092916","ISSN":"19326203","abstract":"Salt marsh die-off is a Western Atlantic conservation problem that has recently spread into Narragansett Bay, Rhode Island, USA. It has been hypothesized to be driven by: 1) eutrophication decreasing plant investment into belowground biomass causing plant collapse, 2) boat wakes eroding creek banks, 3) pollution or disease affecting plant health, 4) substrate hardness controlling herbivorous crab distributions and 5) trophic dysfunction releasing herbivorous crabs from predator control. To distinguish between these hypotheses we quantified these variables at 14 Narragansett Bay salt marshes where die-off intensity ranged from &lt;5% to nearly 98%. Nitrogen availability, wave intensity and plant growth did not explain any variation in die-off. Herbivory explained 73% of inter-site variation in die-off and predator control of herbivores and substrate hardness also varied significantly with die-off. This suggests that salt marsh die-off is being largely driven by intense herbivory via the release of herbivorous crabs from predator control. Our results and those from other marsh systems suggest that consumer control may not simply be a factor to consider in marsh conservation, but with widespread predator depletion impacting near shore habitats globally, trophic dysfunction and runaway consumption may be the largest and most urgent management challenge for salt marsh conservation.","author":[{"dropping-particle":"","family":"Bertness","given":"Mark D.","non-dropping-particle":"","parse-names":false,"suffix":""},{"dropping-particle":"","family":"Brisson","given":"Caitlin P.","non-dropping-particle":"","parse-names":false,"suffix":""},{"dropping-particle":"","family":"Bevil","given":"Matthew C.","non-dropping-particle":"","parse-names":false,"suffix":""},{"dropping-particle":"","family":"Crotty","given":"Sinead M.","non-dropping-particle":"","parse-names":false,"suffix":""}],"container-title":"PLoS ONE","id":"ITEM-1","issue":"3","issued":{"date-parts":[["2014"]]},"title":"Herbivory drives the spread of salt marsh die-off","type":"article-journal","volume":"9"},"uris":["http://www.mendeley.com/documents/?uuid=e68503d6-e810-49b6-9bfb-c2c8d82283c2"]}],"mendeley":{"formattedCitation":"(Bertness et al. 2014)","plainTextFormattedCitation":"(Bertness et al. 2014)","previouslyFormattedCitation":"(Bertness et al. 2014)"},"properties":{"noteIndex":0},"schema":"https://github.com/citation-style-language/schema/raw/master/csl-citation.json"}</w:instrText>
      </w:r>
      <w:r w:rsidR="006107C8">
        <w:fldChar w:fldCharType="separate"/>
      </w:r>
      <w:r w:rsidR="00207E2D" w:rsidRPr="00207E2D">
        <w:rPr>
          <w:noProof/>
        </w:rPr>
        <w:t>(Bertness et al. 2014)</w:t>
      </w:r>
      <w:r w:rsidR="006107C8">
        <w:fldChar w:fldCharType="end"/>
      </w:r>
      <w:r w:rsidR="006107C8">
        <w:t xml:space="preserve">. </w:t>
      </w:r>
      <w:r w:rsidR="00B06243">
        <w:t>Multiple</w:t>
      </w:r>
      <w:r w:rsidR="006107C8">
        <w:t xml:space="preserve"> stud</w:t>
      </w:r>
      <w:r w:rsidR="00B06243">
        <w:t>ies</w:t>
      </w:r>
      <w:r w:rsidR="006107C8">
        <w:t xml:space="preserve"> found strong suggestions that the release of crabs from predator control, mediated by humans, correlated with increased herbivory of cordgrass and burrowing</w:t>
      </w:r>
      <w:r>
        <w:t>, and causing declines in marsh habitats</w:t>
      </w:r>
      <w:r w:rsidR="006107C8">
        <w:t xml:space="preserve"> </w:t>
      </w:r>
      <w:r w:rsidR="006107C8">
        <w:fldChar w:fldCharType="begin" w:fldLock="1"/>
      </w:r>
      <w:r w:rsidR="00207E2D">
        <w:instrText>ADDIN CSL_CITATION {"citationItems":[{"id":"ITEM-1","itemData":{"DOI":"10.1371/journal.pone.0092916","ISSN":"19326203","abstract":"Salt marsh die-off is a Western Atlantic conservation problem that has recently spread into Narragansett Bay, Rhode Island, USA. It has been hypothesized to be driven by: 1) eutrophication decreasing plant investment into belowground biomass causing plant collapse, 2) boat wakes eroding creek banks, 3) pollution or disease affecting plant health, 4) substrate hardness controlling herbivorous crab distributions and 5) trophic dysfunction releasing herbivorous crabs from predator control. To distinguish between these hypotheses we quantified these variables at 14 Narragansett Bay salt marshes where die-off intensity ranged from &lt;5% to nearly 98%. Nitrogen availability, wave intensity and plant growth did not explain any variation in die-off. Herbivory explained 73% of inter-site variation in die-off and predator control of herbivores and substrate hardness also varied significantly with die-off. This suggests that salt marsh die-off is being largely driven by intense herbivory via the release of herbivorous crabs from predator control. Our results and those from other marsh systems suggest that consumer control may not simply be a factor to consider in marsh conservation, but with widespread predator depletion impacting near shore habitats globally, trophic dysfunction and runaway consumption may be the largest and most urgent management challenge for salt marsh conservation.","author":[{"dropping-particle":"","family":"Bertness","given":"Mark D.","non-dropping-particle":"","parse-names":false,"suffix":""},{"dropping-particle":"","family":"Brisson","given":"Caitlin P.","non-dropping-particle":"","parse-names":false,"suffix":""},{"dropping-particle":"","family":"Bevil","given":"Matthew C.","non-dropping-particle":"","parse-names":false,"suffix":""},{"dropping-particle":"","family":"Crotty","given":"Sinead M.","non-dropping-particle":"","parse-names":false,"suffix":""}],"container-title":"PLoS ONE","id":"ITEM-1","issue":"3","issued":{"date-parts":[["2014"]]},"title":"Herbivory drives the spread of salt marsh die-off","type":"article-journal","volume":"9"},"uris":["http://www.mendeley.com/documents/?uuid=e68503d6-e810-49b6-9bfb-c2c8d82283c2"]},{"id":"ITEM-2","itemData":{"DOI":"doi:10.1890/12-2150.1","ISSN":"0012-9658","abstract":"With global increases in human impacts, invasive species have become a major threat to ecosystems worldwide. While they have been traditionally viewed as harmful, invasive species may facilitate the restoration of degraded ecosystems outside their native ranges. In New England (USA) overfishing has depleted salt marsh predators, allowing the herbivorous crab Sesarma reticulatum to denude hundreds of hectares of low marsh. Here, using multiple site surveys and field caging experiments, we show that the subsequent invasion of green crabs, Carcinus maenas, into heavily burrowed marshes partially reverses decades of cordgrass die-off. By consuming Sesarma, eliciting a nonlethal escape response, and evicting Sesarma from burrows, Carcinus reduces Sesarma herbivory and promotes cordgrass recovery. These results suggest that invasive species can contribute to restoring degraded ecosystems and underscores the potential for invasive species to return ecological functions lost to human impacts.","author":[{"dropping-particle":"","family":"Bertness","given":"Mark D","non-dropping-particle":"","parse-names":false,"suffix":""},{"dropping-particle":"","family":"Coverdale","given":"Tyler C","non-dropping-particle":"","parse-names":false,"suffix":""}],"container-title":"Ecology","id":"ITEM-2","issue":"9","issued":{"date-parts":[["2013"]]},"page":"1937-1943","title":"An invasive species facilitates the recovery of salt marsh ecosystems on Cape Cod","type":"article-journal","volume":"94"},"uris":["http://www.mendeley.com/documents/?uuid=02bc0acc-e5e3-4367-8942-0f46be2c9787"]},{"id":"ITEM-3","itemData":{"DOI":"doi:10.1890/12-0010.1","ISSN":"0012-9658","abstract":"Belowground herbivory is commonly overlooked as a mechanism of top-down control in vegetated habitats, particularly in aquatic ecosystems. Recent research has revealed that increased densities of the herbivorous crab Sesarma reticulatum have led to runaway herbivory and widespread salt marsh die-off on Cape Cod, Massachusetts, USA. Aboveground herbivory is a major driver of this cordgrass habitat loss, but the role of belowground grazing is poorly understood. Sesarma live in communal burrows typically consisting of 1?2 openings and containing 2?3 crabs. However, at die-off sites, burrow complexes can cover &gt;90% of the low marsh zone, with crab densities as high as 50 crabs/m2 and burrow opening densities of 170 openings/m2. The magnitude of belowground Sesarma activity in association with salt marsh die-off provides an excellent opportunity to extend our knowledge of belowground herbivory impacts in coastal wetlands. Since Sesarma burrows allow access to cordgrass roots and rhizomes, and Sesarma are frequently restricted to burrows by thermal stress and predation, we hypothesized that belowground herbivory would be widespread in die-off areas. We experimentally demonstrate that Sesarma readily eat belowground roots and rhizomes in addition to aboveground cordgrass leaves. We then partitioned above- and belowground herbivory with field manipulations and found that belowground grazing is not only common, but can cause total plant mortality. Additional experiments revealed that plants remain vulnerable to belowground herbivory even after reaching a size refuge from aboveground grazing. This suggests that belowground herbivory contributes to salt marsh die-offs and adds to growing evidence that belowground herbivory is a widespread structuring force in plant communities that can limit habitat persistence.","author":[{"dropping-particle":"","family":"Coverdale","given":"Tyler C","non-dropping-particle":"","parse-names":false,"suffix":""},{"dropping-particle":"","family":"Altieri","given":"Andrew H","non-dropping-particle":"","parse-names":false,"suffix":""},{"dropping-particle":"","family":"Bertness","given":"Mark D","non-dropping-particle":"","parse-names":false,"suffix":""}],"container-title":"Ecology","id":"ITEM-3","issue":"9","issued":{"date-parts":[["2012"]]},"page":"2085-2094","title":"Belowground herbivory increases vulnerability of New England salt marshes to die-off","type":"article-journal","volume":"93"},"uris":["http://www.mendeley.com/documents/?uuid=9a562749-2fb2-4916-86c2-852cfc8d971a"]}],"mendeley":{"formattedCitation":"(Bertness et al. 2014; Bertness &amp; Coverdale 2013; Coverdale et al. 2012)","plainTextFormattedCitation":"(Bertness et al. 2014; Bertness &amp; Coverdale 2013; Coverdale et al. 2012)","previouslyFormattedCitation":"(Bertness et al. 2014; Bertness &amp; Coverdale 2013; Coverdale et al. 2012)"},"properties":{"noteIndex":0},"schema":"https://github.com/citation-style-language/schema/raw/master/csl-citation.json"}</w:instrText>
      </w:r>
      <w:r w:rsidR="006107C8">
        <w:fldChar w:fldCharType="separate"/>
      </w:r>
      <w:r w:rsidR="00207E2D" w:rsidRPr="00207E2D">
        <w:rPr>
          <w:noProof/>
        </w:rPr>
        <w:t>(Bertness et al. 2014; Bertness &amp; Coverdale 2013; Coverdale et al. 2012)</w:t>
      </w:r>
      <w:r w:rsidR="006107C8">
        <w:fldChar w:fldCharType="end"/>
      </w:r>
      <w:r w:rsidR="006107C8">
        <w:t xml:space="preserve">. The loss of cordgrass biomass in turn increases erosion and sediment loss. </w:t>
      </w:r>
      <w:r w:rsidR="00E61E08">
        <w:t xml:space="preserve">Burrowing crabs and ribbed mussels have been categorized as facilitators of the salt marsh environment, and they both have significant interactions and effects on cordgrass. Hughes et al (2013) highlight that when taking into account the complexity of marsh environments, multiple organisms need to be considered. However, there is a significant knowledge gap in the understanding of herbivory as a key </w:t>
      </w:r>
      <w:r>
        <w:t xml:space="preserve">cause </w:t>
      </w:r>
      <w:r w:rsidR="00E61E08">
        <w:t xml:space="preserve">for the decline of New England salt marshes. </w:t>
      </w:r>
      <w:proofErr w:type="spellStart"/>
      <w:r w:rsidR="00E61E08">
        <w:t>Bertness</w:t>
      </w:r>
      <w:proofErr w:type="spellEnd"/>
      <w:r w:rsidR="00E61E08">
        <w:t xml:space="preserve"> et a</w:t>
      </w:r>
      <w:r w:rsidR="008D4F9F">
        <w:t>l</w:t>
      </w:r>
      <w:r w:rsidR="00E61E08">
        <w:t>. (2014) made no mention of the ribbed mussel in their discussion of salt marsh decline, yet it is no unrealistic leap to wonder if the presence of aggregating ribbed mussels might protect cordgrass from herbivory pressure and undermining of the sediment</w:t>
      </w:r>
      <w:r w:rsidR="008D4F9F">
        <w:t xml:space="preserve">. </w:t>
      </w:r>
    </w:p>
    <w:p w:rsidR="009D72D5" w:rsidRDefault="009D72D5" w:rsidP="00673F09">
      <w:pPr>
        <w:jc w:val="both"/>
      </w:pPr>
    </w:p>
    <w:p w:rsidR="008D4F9F" w:rsidRDefault="008D4F9F" w:rsidP="00673F09">
      <w:pPr>
        <w:jc w:val="both"/>
      </w:pPr>
      <w:r>
        <w:t xml:space="preserve">Re-surveys of the fourteen sites in Narragansett Bay used in the </w:t>
      </w:r>
      <w:proofErr w:type="spellStart"/>
      <w:r>
        <w:t>Bertness</w:t>
      </w:r>
      <w:proofErr w:type="spellEnd"/>
      <w:r>
        <w:t xml:space="preserve"> et al. (2014) study will be undertaken with the two-fold explicit purposes of determining the role of the ribbed mussel in </w:t>
      </w:r>
      <w:r>
        <w:lastRenderedPageBreak/>
        <w:t xml:space="preserve">the extent of salt marsh die off, and involving a local </w:t>
      </w:r>
      <w:r w:rsidR="00944221">
        <w:t>Rhode Island</w:t>
      </w:r>
      <w:r>
        <w:t xml:space="preserve"> high school with a high underserved minority population (yet to be determined) with every step of the process. Students, as well as community and family members, will have a significant role in the planning, implementation, data collection, data analysis, and writing and publication of any findings from the surveys. Involvement of minorities in STEM </w:t>
      </w:r>
      <w:proofErr w:type="gramStart"/>
      <w:r w:rsidR="007E2D66">
        <w:t>research, and</w:t>
      </w:r>
      <w:proofErr w:type="gramEnd"/>
      <w:r w:rsidR="007E2D66">
        <w:t xml:space="preserve"> giving them the credit deserved for effort put in, should not be an after-thought, and studies that involve high school students and underserved minorities do produce academically rigorous work worthy of publication. Preliminary satellite imagery of marshes in Narragansett Bay show an increase in salt marsh die-off </w:t>
      </w:r>
      <w:r w:rsidR="00B4077B">
        <w:t xml:space="preserve">since the study by </w:t>
      </w:r>
      <w:proofErr w:type="spellStart"/>
      <w:r w:rsidR="00B4077B">
        <w:t>Bertness</w:t>
      </w:r>
      <w:proofErr w:type="spellEnd"/>
      <w:r w:rsidR="00B4077B">
        <w:t xml:space="preserve"> et al. (2014) (Fig. 3), showing the necessity of further research on the causes and mediation of die-off. </w:t>
      </w:r>
    </w:p>
    <w:p w:rsidR="0006566E" w:rsidRPr="0006566E" w:rsidRDefault="0006566E" w:rsidP="00673F09">
      <w:pPr>
        <w:jc w:val="both"/>
      </w:pPr>
    </w:p>
    <w:p w:rsidR="007C5056" w:rsidRPr="00B06243" w:rsidRDefault="00A72F2E" w:rsidP="00673F09">
      <w:pPr>
        <w:jc w:val="both"/>
        <w:rPr>
          <w:b/>
          <w:bCs/>
        </w:rPr>
      </w:pPr>
      <w:r w:rsidRPr="00B06243">
        <w:rPr>
          <w:b/>
          <w:bCs/>
        </w:rPr>
        <w:t>Intellectual Mer</w:t>
      </w:r>
      <w:r w:rsidR="00EF607F" w:rsidRPr="00B06243">
        <w:rPr>
          <w:b/>
          <w:bCs/>
        </w:rPr>
        <w:t xml:space="preserve">it </w:t>
      </w:r>
    </w:p>
    <w:p w:rsidR="00EF607F" w:rsidRPr="007C5056" w:rsidRDefault="007E2D66" w:rsidP="00673F09">
      <w:pPr>
        <w:jc w:val="both"/>
      </w:pPr>
      <w:r>
        <w:t xml:space="preserve">As to date, research on the Atlantic ribbed mussel has not been thrust into the burgeoning field of genomics. Only one </w:t>
      </w:r>
      <w:r w:rsidR="00B4077B">
        <w:t xml:space="preserve">almost thirty year old study </w:t>
      </w:r>
      <w:r>
        <w:t xml:space="preserve">has used genetic markers on this species, and the authors only used </w:t>
      </w:r>
      <w:r w:rsidR="00B4077B">
        <w:t>four</w:t>
      </w:r>
      <w:r>
        <w:t xml:space="preserve"> samples and the antiquated method of alloenzymes in their analysis </w:t>
      </w:r>
      <w:r w:rsidR="00B4077B">
        <w:fldChar w:fldCharType="begin" w:fldLock="1"/>
      </w:r>
      <w:r w:rsidR="00207E2D">
        <w:instrText>ADDIN CSL_CITATION {"citationItems":[{"id":"ITEM-1","itemData":{"DOI":"10.1007/BF00349163","ISSN":"00253162","abstract":"Ribbed mussels (232 in all) representing the nominal species Geukensia demissa (Dillwyn, 1817) were collected at nine coastal North American locations (two Pacific, four Atlantic and three Gulf Coast locations) between January 1990 and September 1991, and exam-ined for nine shell characters and for variation at 18 allozyme loci. Two genetically-differentiated groups were identified and called demissa-type and granosissima-type mussels, based on similarity of geographic range to previ-ously recognized subspecies of G. demissa. There was very little genetic differentiation of populations over moderate to large (3000 kin) distances along the Atlantic coast (for demissa-type mussels), along the Gulf Coast (for granosissima-type mussels), or between Pacific and Atlantic populations of demissa-type mussels. The two types of mussels were differentiated genetically (Nei's un-biased genetic distance = 0.55 _+ 0.20) at a level charac-teristic of separate species in other molluscan taxa, and to a lesser extent were differentiated morphologically. We recommend that the two types of mussels be treated as separate species within the genus Geukensia: G. demissa (Dillwyn, 1817) and G. granosissima (Sowerby, 1914).","author":[{"dropping-particle":"","family":"Sarver","given":"S. K.","non-dropping-particle":"","parse-names":false,"suffix":""},{"dropping-particle":"","family":"Landrum","given":"M. C.","non-dropping-particle":"","parse-names":false,"suffix":""},{"dropping-particle":"","family":"Foltz","given":"D. W.","non-dropping-particle":"","parse-names":false,"suffix":""}],"container-title":"Marine Biology","id":"ITEM-1","issue":"3","issued":{"date-parts":[["1992"]]},"page":"385-390","title":"Genetics and taxonomy of ribbed mussels (Geukensia spp.)","type":"article-journal","volume":"113"},"uris":["http://www.mendeley.com/documents/?uuid=4a653ae6-0bcf-4c74-ba67-95a44c8ec172"]}],"mendeley":{"formattedCitation":"(Sarver et al. 1992)","plainTextFormattedCitation":"(Sarver et al. 1992)","previouslyFormattedCitation":"(Sarver et al. 1992)"},"properties":{"noteIndex":0},"schema":"https://github.com/citation-style-language/schema/raw/master/csl-citation.json"}</w:instrText>
      </w:r>
      <w:r w:rsidR="00B4077B">
        <w:fldChar w:fldCharType="separate"/>
      </w:r>
      <w:r w:rsidR="00207E2D" w:rsidRPr="00207E2D">
        <w:rPr>
          <w:noProof/>
        </w:rPr>
        <w:t>(Sarver et al. 1992)</w:t>
      </w:r>
      <w:r w:rsidR="00B4077B">
        <w:fldChar w:fldCharType="end"/>
      </w:r>
      <w:r w:rsidR="00B4077B">
        <w:t xml:space="preserve">. </w:t>
      </w:r>
      <w:r w:rsidR="006F6307">
        <w:t xml:space="preserve">Despite this, we suggest that the ribbed mussel is a species ripe for extensive study based on its connection to an essential and declining habitat, its ubiquity along the entire Atlantic coast of the United States, and its impressive physiological capabilities. However, management, research, and decisions </w:t>
      </w:r>
      <w:r w:rsidR="00944221">
        <w:t>aimed at the</w:t>
      </w:r>
      <w:r w:rsidR="006F6307">
        <w:t xml:space="preserve"> conservation of vulnerable salt marshes need to be informed by knowledge of population structure, diversity, and connectivity</w:t>
      </w:r>
      <w:r w:rsidR="009D72D5">
        <w:t xml:space="preserve"> </w:t>
      </w:r>
      <w:r w:rsidR="009D72D5">
        <w:fldChar w:fldCharType="begin" w:fldLock="1"/>
      </w:r>
      <w:r w:rsidR="00207E2D">
        <w:instrText>ADDIN CSL_CITATION {"citationItems":[{"id":"ITEM-1","itemData":{"DOI":"doi:10.1111/j.1523-1739.2008.00985.x","ISSN":"0888-8892","abstract":"Abstract:? High-latitude coral reefs (HLRs) are potentially vulnerable marine ecosystems facing well-documented threats to tropical reefs and exposure to suboptimal temperatures and insolation. In addition, because of their geographic isolation, HLRs may have poor or erratic larval connections to tropical reefs and a reduced genetic diversity and capacity to respond to environmental change. On Australia's east coast, a system of marine protected areas (MPAs) has been established with the aim of conserving HLRs in part by providing sources of colonizing larvae. To examine the effectiveness of existing MPAs as networks for dispersal, we compared genetic diversity within and among the HLRs in MPAs and between these HLRs and tropical reefs on the southern Great Barrier Reef (GBR). The 2 coral species best represented on Australian HLRs (the brooding Pocillopora damicornis and the broadcast-spawning Goniastrea australensis) exhibited sharply contrasting patterns of diversity and connectedness. For P. damicornis, the 8-locus genetic and genotypic diversity declined dramatically with increasing latitude (Na= 3.6?1.2, He= 0.3?0.03, Ng:N = 0.87?0.06), although population structure was consistent with recruitment derived largely from sexual reproduction (Go:Ge= 1.28?0.55). Genetic differentiation was high among the HLRs (FST[SD]= 0.32 [0.08], p &lt; 0.05) and between the GBR and the HLRs (FST= 0.24 [0.06], p &lt; 0.05), which indicates these temperate populations are effectively closed. In contrast for G. australensis, 9-locus genetic diversity was more consistent across reefs (Na= 4.2?3.9, He= 0.3?0.26, Ng:N = 1?0.61), and there was no differentiation among regions (FST= 0.00 [0.004], p &gt; 0.05), which implies the HLRs and the southern GBR are strongly interconnected. Our results demonstrate that although the current MPAs appear to capture most of the genetic diversity present within the HLR systems for these 2 species, their sharply contrasting patterns of connectivity indicate some taxa, such as P. damicornis, will be more vulnerable than others, and this disparity will provide challenges for future management.","author":[{"dropping-particle":"","family":"Miller","given":"Karen J","non-dropping-particle":"","parse-names":false,"suffix":""},{"dropping-particle":"","family":"Ayre","given":"David J","non-dropping-particle":"","parse-names":false,"suffix":""}],"container-title":"Conservation Biology","id":"ITEM-1","issue":"5","issued":{"date-parts":[["2008"]]},"page":"1245-1254","title":"Protection of Genetic Diversity and Maintenance of Connectivity among Reef Corals within Marine Protected Areas","type":"article-journal","volume":"22"},"uris":["http://www.mendeley.com/documents/?uuid=3978fa6e-0d58-4d39-bd31-9fcdfab00cef"]}],"mendeley":{"formattedCitation":"(Miller &amp; Ayre 2008)","plainTextFormattedCitation":"(Miller &amp; Ayre 2008)","previouslyFormattedCitation":"(Miller &amp; Ayre 2008)"},"properties":{"noteIndex":0},"schema":"https://github.com/citation-style-language/schema/raw/master/csl-citation.json"}</w:instrText>
      </w:r>
      <w:r w:rsidR="009D72D5">
        <w:fldChar w:fldCharType="separate"/>
      </w:r>
      <w:r w:rsidR="00207E2D" w:rsidRPr="00207E2D">
        <w:rPr>
          <w:noProof/>
        </w:rPr>
        <w:t>(Miller &amp; Ayre 2008)</w:t>
      </w:r>
      <w:r w:rsidR="009D72D5">
        <w:fldChar w:fldCharType="end"/>
      </w:r>
      <w:r w:rsidR="006F6307">
        <w:t xml:space="preserve">. This study aims to lay the groundwork for many further studies on the ribbed mussel </w:t>
      </w:r>
      <w:r w:rsidR="004C064E">
        <w:t>by providing necessary background on the population composition of the Atlantic ribbed mussel. As NGS and other molecular techniques are becoming part of the ecologist’s, conservation biologist’s, and evolutionary biologist’s toolkit, the utility of non-model organisms</w:t>
      </w:r>
      <w:r w:rsidR="00D10EF0">
        <w:t xml:space="preserve"> like the ribbed mussel</w:t>
      </w:r>
      <w:r w:rsidR="004C064E">
        <w:t xml:space="preserve"> </w:t>
      </w:r>
      <w:r w:rsidR="00D10EF0">
        <w:t xml:space="preserve">are becoming apparent in studies based on climate change and adaptation. </w:t>
      </w:r>
    </w:p>
    <w:p w:rsidR="007C5056" w:rsidRDefault="007C5056" w:rsidP="00673F09">
      <w:pPr>
        <w:jc w:val="both"/>
      </w:pPr>
    </w:p>
    <w:p w:rsidR="00D10EF0" w:rsidRPr="00B06243" w:rsidRDefault="00D10EF0" w:rsidP="00673F09">
      <w:pPr>
        <w:jc w:val="both"/>
        <w:rPr>
          <w:b/>
          <w:bCs/>
        </w:rPr>
      </w:pPr>
      <w:r w:rsidRPr="00B06243">
        <w:rPr>
          <w:b/>
          <w:bCs/>
        </w:rPr>
        <w:t>Broader Impacts</w:t>
      </w:r>
    </w:p>
    <w:p w:rsidR="00D10EF0" w:rsidRPr="007C5056" w:rsidRDefault="00D10EF0" w:rsidP="00673F09">
      <w:pPr>
        <w:jc w:val="both"/>
      </w:pPr>
      <w:r>
        <w:t xml:space="preserve">The broader goals of this proposal are multi-faceted. Firstly, all raw genetic data will be made publicly available to facilitate re-analysis and reproducibility of the proposed research. In this vein, a GitHub repository will be curated to include all trimmed and filtered reads, all SNP datasets, and well-documented and annotated </w:t>
      </w:r>
      <w:r w:rsidR="009D72D5">
        <w:t xml:space="preserve">files that describe and include all steps taken during the analysis of the genomic data proposed to be generated. A representative section of the data will be </w:t>
      </w:r>
      <w:proofErr w:type="spellStart"/>
      <w:r w:rsidR="009D72D5">
        <w:t>subsetted</w:t>
      </w:r>
      <w:proofErr w:type="spellEnd"/>
      <w:r w:rsidR="009D72D5">
        <w:t xml:space="preserve"> to generate a tutorial of all </w:t>
      </w:r>
      <w:r w:rsidR="00167328">
        <w:t>population structure and connectivity analys</w:t>
      </w:r>
      <w:r w:rsidR="0025714C">
        <w:t>e</w:t>
      </w:r>
      <w:r w:rsidR="00167328">
        <w:t>s</w:t>
      </w:r>
      <w:r w:rsidR="0025714C">
        <w:t>,</w:t>
      </w:r>
      <w:r w:rsidR="00167328">
        <w:t xml:space="preserve"> as </w:t>
      </w:r>
      <w:r w:rsidR="00187D18">
        <w:t xml:space="preserve">methods proposed </w:t>
      </w:r>
      <w:r w:rsidR="0032282D">
        <w:t xml:space="preserve">are </w:t>
      </w:r>
      <w:r w:rsidR="00187D18">
        <w:t>typical of population genomics courses</w:t>
      </w:r>
      <w:r w:rsidR="0025714C">
        <w:t xml:space="preserve">, they lend themselves to be a valuable teaching </w:t>
      </w:r>
      <w:r w:rsidR="00B15B83">
        <w:t>resource</w:t>
      </w:r>
      <w:r w:rsidR="00187D18">
        <w:t xml:space="preserve">. Generation of this data has the secondary goal of becoming a teaching dataset that students, courses, and other institutions can use as real and well-documented data analysis as an alternative to uninformative, unrealistic, and non-relevant simulated datasets. Secondly, the proposed re-survey of salt marshes in Rhode Island has the explicit goal of involving the underserved minority communities of RI in every step of planning, generating, and analyzing rigorous and ecological relevant </w:t>
      </w:r>
      <w:r w:rsidR="0025714C">
        <w:t xml:space="preserve">research. Minorities are not only woefully underrepresented in all STEM </w:t>
      </w:r>
      <w:proofErr w:type="gramStart"/>
      <w:r w:rsidR="0025714C">
        <w:t>fields, but</w:t>
      </w:r>
      <w:proofErr w:type="gramEnd"/>
      <w:r w:rsidR="0025714C">
        <w:t xml:space="preserve"> </w:t>
      </w:r>
      <w:r w:rsidR="0032282D">
        <w:t xml:space="preserve">are </w:t>
      </w:r>
      <w:r w:rsidR="0025714C">
        <w:t>also often significantly left out in areas such as environmental education, outdoor recreation, and conservation (see LatinoOutdoors</w:t>
      </w:r>
      <w:r w:rsidR="000146DF">
        <w:t>.org</w:t>
      </w:r>
      <w:r w:rsidR="0025714C">
        <w:t xml:space="preserve"> and Latour</w:t>
      </w:r>
      <w:r w:rsidR="00B15B83">
        <w:t>,</w:t>
      </w:r>
      <w:r w:rsidR="0025714C">
        <w:t xml:space="preserve"> </w:t>
      </w:r>
      <w:r w:rsidR="00B15B83">
        <w:t>(</w:t>
      </w:r>
      <w:r w:rsidR="0025714C">
        <w:t>2014</w:t>
      </w:r>
      <w:r w:rsidR="00B15B83">
        <w:t>)</w:t>
      </w:r>
      <w:r w:rsidR="0025714C">
        <w:t xml:space="preserve">). </w:t>
      </w:r>
      <w:r w:rsidR="000553EE">
        <w:t xml:space="preserve">Although </w:t>
      </w:r>
      <w:r w:rsidR="00DB046C">
        <w:t xml:space="preserve">the surveys would be conducted a few times, an ultimate goal would be to foster a strong sense of community responsibility, concern, and stewardship for local salt marsh habitats that continues after the study has concluded, results been published, and the role of these researchers concluded. </w:t>
      </w:r>
    </w:p>
    <w:p w:rsidR="00B06243" w:rsidRDefault="00B06243" w:rsidP="00323115"/>
    <w:p w:rsidR="00B06243" w:rsidRDefault="00991100" w:rsidP="00323115">
      <w:r>
        <w:lastRenderedPageBreak/>
        <w:t>References</w:t>
      </w:r>
    </w:p>
    <w:p w:rsidR="00991100" w:rsidRDefault="00991100" w:rsidP="00323115"/>
    <w:p w:rsidR="00207E2D" w:rsidRPr="00207E2D" w:rsidRDefault="00991100" w:rsidP="00207E2D">
      <w:pPr>
        <w:widowControl w:val="0"/>
        <w:autoSpaceDE w:val="0"/>
        <w:autoSpaceDN w:val="0"/>
        <w:adjustRightInd w:val="0"/>
        <w:spacing w:line="360" w:lineRule="auto"/>
        <w:ind w:left="480" w:hanging="480"/>
        <w:rPr>
          <w:noProof/>
        </w:rPr>
      </w:pPr>
      <w:r>
        <w:fldChar w:fldCharType="begin" w:fldLock="1"/>
      </w:r>
      <w:r>
        <w:instrText xml:space="preserve">ADDIN Mendeley Bibliography CSL_BIBLIOGRAPHY </w:instrText>
      </w:r>
      <w:r>
        <w:fldChar w:fldCharType="separate"/>
      </w:r>
      <w:r w:rsidR="00207E2D" w:rsidRPr="00207E2D">
        <w:rPr>
          <w:noProof/>
        </w:rPr>
        <w:t xml:space="preserve">Abernethy, B. &amp; Rutherfurd, I.D., 2000. The effect of riparian tree roots on the mass-stability of riverbanks. </w:t>
      </w:r>
      <w:r w:rsidR="00207E2D" w:rsidRPr="00207E2D">
        <w:rPr>
          <w:i/>
          <w:iCs/>
          <w:noProof/>
        </w:rPr>
        <w:t>Earth Surface Processes and Landforms</w:t>
      </w:r>
      <w:r w:rsidR="00207E2D" w:rsidRPr="00207E2D">
        <w:rPr>
          <w:noProof/>
        </w:rPr>
        <w:t>, 25(9), pp.921–937. Available at: https://doi.org/10.1002/1096-9837(200008)25:9%3C921::AID-ESP93%3E3.0.CO.</w:t>
      </w:r>
    </w:p>
    <w:p w:rsidR="00207E2D" w:rsidRPr="00207E2D" w:rsidRDefault="00207E2D" w:rsidP="00207E2D">
      <w:pPr>
        <w:widowControl w:val="0"/>
        <w:autoSpaceDE w:val="0"/>
        <w:autoSpaceDN w:val="0"/>
        <w:adjustRightInd w:val="0"/>
        <w:spacing w:line="360" w:lineRule="auto"/>
        <w:ind w:left="480" w:hanging="480"/>
        <w:rPr>
          <w:noProof/>
        </w:rPr>
      </w:pPr>
      <w:r w:rsidRPr="00207E2D">
        <w:rPr>
          <w:noProof/>
        </w:rPr>
        <w:t xml:space="preserve">Barbier, E.B., 2011. Progress and Challenges in Valuing Coastal and Marine Ecosystem Services. </w:t>
      </w:r>
      <w:r w:rsidRPr="00207E2D">
        <w:rPr>
          <w:i/>
          <w:iCs/>
          <w:noProof/>
        </w:rPr>
        <w:t>Review of Environmental Economics and Policy</w:t>
      </w:r>
      <w:r w:rsidRPr="00207E2D">
        <w:rPr>
          <w:noProof/>
        </w:rPr>
        <w:t>, 6(1), pp.1–19. Available at: https://doi.org/10.1093/reep/rer017.</w:t>
      </w:r>
    </w:p>
    <w:p w:rsidR="00207E2D" w:rsidRPr="00207E2D" w:rsidRDefault="00207E2D" w:rsidP="00207E2D">
      <w:pPr>
        <w:widowControl w:val="0"/>
        <w:autoSpaceDE w:val="0"/>
        <w:autoSpaceDN w:val="0"/>
        <w:adjustRightInd w:val="0"/>
        <w:spacing w:line="360" w:lineRule="auto"/>
        <w:ind w:left="480" w:hanging="480"/>
        <w:rPr>
          <w:noProof/>
        </w:rPr>
      </w:pPr>
      <w:r w:rsidRPr="00207E2D">
        <w:rPr>
          <w:noProof/>
        </w:rPr>
        <w:t xml:space="preserve">Barbier, E.B. et al., 2011. The value of estuarine and coastal ecosystem services. </w:t>
      </w:r>
      <w:r w:rsidRPr="00207E2D">
        <w:rPr>
          <w:i/>
          <w:iCs/>
          <w:noProof/>
        </w:rPr>
        <w:t>Ecological Monographs</w:t>
      </w:r>
      <w:r w:rsidRPr="00207E2D">
        <w:rPr>
          <w:noProof/>
        </w:rPr>
        <w:t>, 81(2), pp.169–193.</w:t>
      </w:r>
    </w:p>
    <w:p w:rsidR="00207E2D" w:rsidRPr="00207E2D" w:rsidRDefault="00207E2D" w:rsidP="00207E2D">
      <w:pPr>
        <w:widowControl w:val="0"/>
        <w:autoSpaceDE w:val="0"/>
        <w:autoSpaceDN w:val="0"/>
        <w:adjustRightInd w:val="0"/>
        <w:spacing w:line="360" w:lineRule="auto"/>
        <w:ind w:left="480" w:hanging="480"/>
        <w:rPr>
          <w:noProof/>
        </w:rPr>
      </w:pPr>
      <w:r w:rsidRPr="00207E2D">
        <w:rPr>
          <w:noProof/>
        </w:rPr>
        <w:t xml:space="preserve">Bertness, M.D. et al., 2014. Herbivory drives the spread of salt marsh die-off. </w:t>
      </w:r>
      <w:r w:rsidRPr="00207E2D">
        <w:rPr>
          <w:i/>
          <w:iCs/>
          <w:noProof/>
        </w:rPr>
        <w:t>PLoS ONE</w:t>
      </w:r>
      <w:r w:rsidRPr="00207E2D">
        <w:rPr>
          <w:noProof/>
        </w:rPr>
        <w:t>, 9(3).</w:t>
      </w:r>
    </w:p>
    <w:p w:rsidR="00207E2D" w:rsidRPr="00207E2D" w:rsidRDefault="00207E2D" w:rsidP="00207E2D">
      <w:pPr>
        <w:widowControl w:val="0"/>
        <w:autoSpaceDE w:val="0"/>
        <w:autoSpaceDN w:val="0"/>
        <w:adjustRightInd w:val="0"/>
        <w:spacing w:line="360" w:lineRule="auto"/>
        <w:ind w:left="480" w:hanging="480"/>
        <w:rPr>
          <w:noProof/>
        </w:rPr>
      </w:pPr>
      <w:r w:rsidRPr="00207E2D">
        <w:rPr>
          <w:noProof/>
        </w:rPr>
        <w:t xml:space="preserve">Bertness, M.D. &amp; Coverdale, T.C., 2013. An invasive species facilitates the recovery of salt marsh ecosystems on Cape Cod. </w:t>
      </w:r>
      <w:r w:rsidRPr="00207E2D">
        <w:rPr>
          <w:i/>
          <w:iCs/>
          <w:noProof/>
        </w:rPr>
        <w:t>Ecology</w:t>
      </w:r>
      <w:r w:rsidRPr="00207E2D">
        <w:rPr>
          <w:noProof/>
        </w:rPr>
        <w:t>, 94(9), pp.1937–1943. Available at: https://doi.org/10.1890/12-2150.1.</w:t>
      </w:r>
    </w:p>
    <w:p w:rsidR="00207E2D" w:rsidRPr="00207E2D" w:rsidRDefault="00207E2D" w:rsidP="00207E2D">
      <w:pPr>
        <w:widowControl w:val="0"/>
        <w:autoSpaceDE w:val="0"/>
        <w:autoSpaceDN w:val="0"/>
        <w:adjustRightInd w:val="0"/>
        <w:spacing w:line="360" w:lineRule="auto"/>
        <w:ind w:left="480" w:hanging="480"/>
        <w:rPr>
          <w:noProof/>
        </w:rPr>
      </w:pPr>
      <w:r w:rsidRPr="00207E2D">
        <w:rPr>
          <w:noProof/>
        </w:rPr>
        <w:t xml:space="preserve">Bertness, M.D. &amp; Grosholz, E., 2009. Population Dynamics of the Ribbed Mussel , Geukensia demissa : The Costs and Benefits of an Aggregated Distribution. </w:t>
      </w:r>
      <w:r w:rsidRPr="00207E2D">
        <w:rPr>
          <w:i/>
          <w:iCs/>
          <w:noProof/>
        </w:rPr>
        <w:t>Ecology</w:t>
      </w:r>
      <w:r w:rsidRPr="00207E2D">
        <w:rPr>
          <w:noProof/>
        </w:rPr>
        <w:t>, 67(I 985), pp.192–204.</w:t>
      </w:r>
    </w:p>
    <w:p w:rsidR="00207E2D" w:rsidRPr="00207E2D" w:rsidRDefault="00207E2D" w:rsidP="00207E2D">
      <w:pPr>
        <w:widowControl w:val="0"/>
        <w:autoSpaceDE w:val="0"/>
        <w:autoSpaceDN w:val="0"/>
        <w:adjustRightInd w:val="0"/>
        <w:spacing w:line="360" w:lineRule="auto"/>
        <w:ind w:left="480" w:hanging="480"/>
        <w:rPr>
          <w:noProof/>
        </w:rPr>
      </w:pPr>
      <w:r w:rsidRPr="00207E2D">
        <w:rPr>
          <w:noProof/>
        </w:rPr>
        <w:t xml:space="preserve">Bertness, M.D. &amp; Silliman, B.R., 2008. Consumer Control of Salt Marshes Driven by Human Disturbance. </w:t>
      </w:r>
      <w:r w:rsidRPr="00207E2D">
        <w:rPr>
          <w:i/>
          <w:iCs/>
          <w:noProof/>
        </w:rPr>
        <w:t>Conservation Biology</w:t>
      </w:r>
      <w:r w:rsidRPr="00207E2D">
        <w:rPr>
          <w:noProof/>
        </w:rPr>
        <w:t>, 22(3), pp.618–623. Available at: https://doi.org/10.1111/j.1523-1739.2008.00962.x.</w:t>
      </w:r>
    </w:p>
    <w:p w:rsidR="00207E2D" w:rsidRPr="00207E2D" w:rsidRDefault="00207E2D" w:rsidP="00207E2D">
      <w:pPr>
        <w:widowControl w:val="0"/>
        <w:autoSpaceDE w:val="0"/>
        <w:autoSpaceDN w:val="0"/>
        <w:adjustRightInd w:val="0"/>
        <w:spacing w:line="360" w:lineRule="auto"/>
        <w:ind w:left="480" w:hanging="480"/>
        <w:rPr>
          <w:noProof/>
        </w:rPr>
      </w:pPr>
      <w:r w:rsidRPr="00207E2D">
        <w:rPr>
          <w:noProof/>
        </w:rPr>
        <w:t xml:space="preserve">Coen, L.D. &amp; Grizzle, R.E., 2007. The Importance of Habitat Created by Molluscan Shellfish to Managed Species along the Atlantic Coast of the United States. </w:t>
      </w:r>
      <w:r w:rsidRPr="00207E2D">
        <w:rPr>
          <w:i/>
          <w:iCs/>
          <w:noProof/>
        </w:rPr>
        <w:t>Atlantic States Marine Fisheries Commission</w:t>
      </w:r>
      <w:r w:rsidRPr="00207E2D">
        <w:rPr>
          <w:noProof/>
        </w:rPr>
        <w:t>, Habitat Ma.</w:t>
      </w:r>
    </w:p>
    <w:p w:rsidR="00207E2D" w:rsidRPr="00207E2D" w:rsidRDefault="00207E2D" w:rsidP="00207E2D">
      <w:pPr>
        <w:widowControl w:val="0"/>
        <w:autoSpaceDE w:val="0"/>
        <w:autoSpaceDN w:val="0"/>
        <w:adjustRightInd w:val="0"/>
        <w:spacing w:line="360" w:lineRule="auto"/>
        <w:ind w:left="480" w:hanging="480"/>
        <w:rPr>
          <w:noProof/>
        </w:rPr>
      </w:pPr>
      <w:r w:rsidRPr="00207E2D">
        <w:rPr>
          <w:noProof/>
        </w:rPr>
        <w:t xml:space="preserve">Coverdale, T.C., Altieri, A.H. &amp; Bertness, M.D., 2012. Belowground herbivory increases vulnerability of New England salt marshes to die-off. </w:t>
      </w:r>
      <w:r w:rsidRPr="00207E2D">
        <w:rPr>
          <w:i/>
          <w:iCs/>
          <w:noProof/>
        </w:rPr>
        <w:t>Ecology</w:t>
      </w:r>
      <w:r w:rsidRPr="00207E2D">
        <w:rPr>
          <w:noProof/>
        </w:rPr>
        <w:t>, 93(9), pp.2085–2094. Available at: https://doi.org/10.1890/12-0010.1.</w:t>
      </w:r>
    </w:p>
    <w:p w:rsidR="00207E2D" w:rsidRPr="00207E2D" w:rsidRDefault="00207E2D" w:rsidP="00207E2D">
      <w:pPr>
        <w:widowControl w:val="0"/>
        <w:autoSpaceDE w:val="0"/>
        <w:autoSpaceDN w:val="0"/>
        <w:adjustRightInd w:val="0"/>
        <w:spacing w:line="360" w:lineRule="auto"/>
        <w:ind w:left="480" w:hanging="480"/>
        <w:rPr>
          <w:noProof/>
        </w:rPr>
      </w:pPr>
      <w:r w:rsidRPr="00207E2D">
        <w:rPr>
          <w:noProof/>
        </w:rPr>
        <w:t xml:space="preserve">Duarte, C.M. et al., 2013. The role of coastal plant communities for climate change mitigation and adaptation. </w:t>
      </w:r>
      <w:r w:rsidRPr="00207E2D">
        <w:rPr>
          <w:i/>
          <w:iCs/>
          <w:noProof/>
        </w:rPr>
        <w:t>Nature Climate Change</w:t>
      </w:r>
      <w:r w:rsidRPr="00207E2D">
        <w:rPr>
          <w:noProof/>
        </w:rPr>
        <w:t>, 3, p.961. Available at: https://doi.org/10.1038/nclimate1970.</w:t>
      </w:r>
    </w:p>
    <w:p w:rsidR="00207E2D" w:rsidRPr="00207E2D" w:rsidRDefault="00207E2D" w:rsidP="00207E2D">
      <w:pPr>
        <w:widowControl w:val="0"/>
        <w:autoSpaceDE w:val="0"/>
        <w:autoSpaceDN w:val="0"/>
        <w:adjustRightInd w:val="0"/>
        <w:spacing w:line="360" w:lineRule="auto"/>
        <w:ind w:left="480" w:hanging="480"/>
        <w:rPr>
          <w:noProof/>
        </w:rPr>
      </w:pPr>
      <w:r w:rsidRPr="00207E2D">
        <w:rPr>
          <w:noProof/>
        </w:rPr>
        <w:t xml:space="preserve">Kreeger, D.A. &amp; Newell, R.I.E., 2001. Seasonal utilization of different seston carbon sources by the ribbed mussel, Geukensia demissa (Dillwyn) in a mid-Atlantic salt marsh. </w:t>
      </w:r>
      <w:r w:rsidRPr="00207E2D">
        <w:rPr>
          <w:i/>
          <w:iCs/>
          <w:noProof/>
        </w:rPr>
        <w:t>Journal of Experimental Marine Biology and Ecology</w:t>
      </w:r>
      <w:r w:rsidRPr="00207E2D">
        <w:rPr>
          <w:noProof/>
        </w:rPr>
        <w:t>, 260(1), pp.71–91.</w:t>
      </w:r>
    </w:p>
    <w:p w:rsidR="00207E2D" w:rsidRPr="00207E2D" w:rsidRDefault="00207E2D" w:rsidP="00207E2D">
      <w:pPr>
        <w:widowControl w:val="0"/>
        <w:autoSpaceDE w:val="0"/>
        <w:autoSpaceDN w:val="0"/>
        <w:adjustRightInd w:val="0"/>
        <w:spacing w:line="360" w:lineRule="auto"/>
        <w:ind w:left="480" w:hanging="480"/>
        <w:rPr>
          <w:noProof/>
        </w:rPr>
      </w:pPr>
      <w:r w:rsidRPr="00207E2D">
        <w:rPr>
          <w:noProof/>
        </w:rPr>
        <w:lastRenderedPageBreak/>
        <w:t xml:space="preserve">Kuenzler, E.J., 1961. Structure and energy flow of a mussel population in a Georgia salt marsh. </w:t>
      </w:r>
      <w:r w:rsidRPr="00207E2D">
        <w:rPr>
          <w:i/>
          <w:iCs/>
          <w:noProof/>
        </w:rPr>
        <w:t>Limnology and Oceanography</w:t>
      </w:r>
      <w:r w:rsidRPr="00207E2D">
        <w:rPr>
          <w:noProof/>
        </w:rPr>
        <w:t>, 6(2), pp.191–204. Available at: https://doi.org/10.4319/lo.1961.6.2.0191.</w:t>
      </w:r>
    </w:p>
    <w:p w:rsidR="00207E2D" w:rsidRPr="00207E2D" w:rsidRDefault="00207E2D" w:rsidP="00207E2D">
      <w:pPr>
        <w:widowControl w:val="0"/>
        <w:autoSpaceDE w:val="0"/>
        <w:autoSpaceDN w:val="0"/>
        <w:adjustRightInd w:val="0"/>
        <w:spacing w:line="360" w:lineRule="auto"/>
        <w:ind w:left="480" w:hanging="480"/>
        <w:rPr>
          <w:noProof/>
        </w:rPr>
      </w:pPr>
      <w:r w:rsidRPr="00207E2D">
        <w:rPr>
          <w:noProof/>
        </w:rPr>
        <w:t xml:space="preserve">Lent, C.M., 1969. Adaptations of the ribbed mussel, Modiolus demissus (Dillvvyn), to the intertidal habitat. </w:t>
      </w:r>
      <w:r w:rsidRPr="00207E2D">
        <w:rPr>
          <w:i/>
          <w:iCs/>
          <w:noProof/>
        </w:rPr>
        <w:t>Integrative and Comparative Biology</w:t>
      </w:r>
      <w:r w:rsidRPr="00207E2D">
        <w:rPr>
          <w:noProof/>
        </w:rPr>
        <w:t>, 9(2), pp.283–292.</w:t>
      </w:r>
    </w:p>
    <w:p w:rsidR="00207E2D" w:rsidRPr="00207E2D" w:rsidRDefault="00207E2D" w:rsidP="00207E2D">
      <w:pPr>
        <w:widowControl w:val="0"/>
        <w:autoSpaceDE w:val="0"/>
        <w:autoSpaceDN w:val="0"/>
        <w:adjustRightInd w:val="0"/>
        <w:spacing w:line="360" w:lineRule="auto"/>
        <w:ind w:left="480" w:hanging="480"/>
        <w:rPr>
          <w:noProof/>
        </w:rPr>
      </w:pPr>
      <w:r w:rsidRPr="00207E2D">
        <w:rPr>
          <w:noProof/>
        </w:rPr>
        <w:t>Manthey, J.D., Boissinot, S. &amp; Moyle, R.G., 2019. Biodiversity genomics of North American Dryobates woodpeckers reveals little gene flow across the D. nuttallii x D. scalaris contact zone. Available at: https://doi.org/10.1093/auk/ukz015.</w:t>
      </w:r>
    </w:p>
    <w:p w:rsidR="00207E2D" w:rsidRPr="00207E2D" w:rsidRDefault="00207E2D" w:rsidP="00207E2D">
      <w:pPr>
        <w:widowControl w:val="0"/>
        <w:autoSpaceDE w:val="0"/>
        <w:autoSpaceDN w:val="0"/>
        <w:adjustRightInd w:val="0"/>
        <w:spacing w:line="360" w:lineRule="auto"/>
        <w:ind w:left="480" w:hanging="480"/>
        <w:rPr>
          <w:noProof/>
        </w:rPr>
      </w:pPr>
      <w:r w:rsidRPr="00207E2D">
        <w:rPr>
          <w:noProof/>
        </w:rPr>
        <w:t xml:space="preserve">Massie, F.D. &amp; Young, R., 1998. </w:t>
      </w:r>
      <w:r w:rsidRPr="00207E2D">
        <w:rPr>
          <w:i/>
          <w:iCs/>
          <w:noProof/>
        </w:rPr>
        <w:t>The Uncommon Guide to Common Life of Narragansett Bay</w:t>
      </w:r>
      <w:r w:rsidRPr="00207E2D">
        <w:rPr>
          <w:noProof/>
        </w:rPr>
        <w:t>, Save The Bay, Incorporated. Available at: https://books.google.com/books?id=K1d3tAEACAAJ.</w:t>
      </w:r>
    </w:p>
    <w:p w:rsidR="00207E2D" w:rsidRPr="00207E2D" w:rsidRDefault="00207E2D" w:rsidP="00207E2D">
      <w:pPr>
        <w:widowControl w:val="0"/>
        <w:autoSpaceDE w:val="0"/>
        <w:autoSpaceDN w:val="0"/>
        <w:adjustRightInd w:val="0"/>
        <w:spacing w:line="360" w:lineRule="auto"/>
        <w:ind w:left="480" w:hanging="480"/>
        <w:rPr>
          <w:noProof/>
        </w:rPr>
      </w:pPr>
      <w:r w:rsidRPr="00207E2D">
        <w:rPr>
          <w:noProof/>
        </w:rPr>
        <w:t xml:space="preserve">Miller, K.J. &amp; Ayre, D.J., 2008. Protection of Genetic Diversity and Maintenance of Connectivity among Reef Corals within Marine Protected Areas. </w:t>
      </w:r>
      <w:r w:rsidRPr="00207E2D">
        <w:rPr>
          <w:i/>
          <w:iCs/>
          <w:noProof/>
        </w:rPr>
        <w:t>Conservation Biology</w:t>
      </w:r>
      <w:r w:rsidRPr="00207E2D">
        <w:rPr>
          <w:noProof/>
        </w:rPr>
        <w:t>, 22(5), pp.1245–1254. Available at: https://doi.org/10.1111/j.1523-1739.2008.00985.x.</w:t>
      </w:r>
    </w:p>
    <w:p w:rsidR="00207E2D" w:rsidRPr="00207E2D" w:rsidRDefault="00207E2D" w:rsidP="00207E2D">
      <w:pPr>
        <w:widowControl w:val="0"/>
        <w:autoSpaceDE w:val="0"/>
        <w:autoSpaceDN w:val="0"/>
        <w:adjustRightInd w:val="0"/>
        <w:spacing w:line="360" w:lineRule="auto"/>
        <w:ind w:left="480" w:hanging="480"/>
        <w:rPr>
          <w:noProof/>
        </w:rPr>
      </w:pPr>
      <w:r w:rsidRPr="00207E2D">
        <w:rPr>
          <w:noProof/>
        </w:rPr>
        <w:t xml:space="preserve">Murgarella, M. et al., 2016. A First Insight into the Genome of the Filter-Feeder Mussel Mytilus galloprovincialis. </w:t>
      </w:r>
      <w:r w:rsidRPr="00207E2D">
        <w:rPr>
          <w:i/>
          <w:iCs/>
          <w:noProof/>
        </w:rPr>
        <w:t>PLOS ONE</w:t>
      </w:r>
      <w:r w:rsidRPr="00207E2D">
        <w:rPr>
          <w:noProof/>
        </w:rPr>
        <w:t>, 11(3), pp.1–22. Available at: https://doi.org/10.1371/journal.pone.0151561.</w:t>
      </w:r>
    </w:p>
    <w:p w:rsidR="00207E2D" w:rsidRPr="00207E2D" w:rsidRDefault="00207E2D" w:rsidP="00207E2D">
      <w:pPr>
        <w:widowControl w:val="0"/>
        <w:autoSpaceDE w:val="0"/>
        <w:autoSpaceDN w:val="0"/>
        <w:adjustRightInd w:val="0"/>
        <w:spacing w:line="360" w:lineRule="auto"/>
        <w:ind w:left="480" w:hanging="480"/>
        <w:rPr>
          <w:noProof/>
        </w:rPr>
      </w:pPr>
      <w:r w:rsidRPr="00207E2D">
        <w:rPr>
          <w:noProof/>
        </w:rPr>
        <w:t xml:space="preserve">Puritz, J.B., Gold, J.R. &amp; Portnoy, D.S., 2016. Fine-scale partitioning of genomic variation among recruits in an exploited fishery: Causes and consequences. </w:t>
      </w:r>
      <w:r w:rsidRPr="00207E2D">
        <w:rPr>
          <w:i/>
          <w:iCs/>
          <w:noProof/>
        </w:rPr>
        <w:t>Scientific Reports</w:t>
      </w:r>
      <w:r w:rsidRPr="00207E2D">
        <w:rPr>
          <w:noProof/>
        </w:rPr>
        <w:t>, 6(April), pp.1–6. Available at: http://dx.doi.org/10.1038/srep36095.</w:t>
      </w:r>
    </w:p>
    <w:p w:rsidR="00207E2D" w:rsidRPr="00207E2D" w:rsidRDefault="00207E2D" w:rsidP="00207E2D">
      <w:pPr>
        <w:widowControl w:val="0"/>
        <w:autoSpaceDE w:val="0"/>
        <w:autoSpaceDN w:val="0"/>
        <w:adjustRightInd w:val="0"/>
        <w:spacing w:line="360" w:lineRule="auto"/>
        <w:ind w:left="480" w:hanging="480"/>
        <w:rPr>
          <w:noProof/>
        </w:rPr>
      </w:pPr>
      <w:r w:rsidRPr="00207E2D">
        <w:rPr>
          <w:noProof/>
        </w:rPr>
        <w:t xml:space="preserve">Puritz, J.B., Hollenbeck, C.M. &amp; Gold, J.R., 2014. dDocent: a RADseq, variant-calling pipeline designed for population genomics of non-model organisms. </w:t>
      </w:r>
      <w:r w:rsidRPr="00207E2D">
        <w:rPr>
          <w:i/>
          <w:iCs/>
          <w:noProof/>
        </w:rPr>
        <w:t>PeerJ</w:t>
      </w:r>
      <w:r w:rsidRPr="00207E2D">
        <w:rPr>
          <w:noProof/>
        </w:rPr>
        <w:t>, 2, pp.e431–e431. Available at: https://www.ncbi.nlm.nih.gov/pubmed/24949246.</w:t>
      </w:r>
    </w:p>
    <w:p w:rsidR="00207E2D" w:rsidRPr="00207E2D" w:rsidRDefault="00207E2D" w:rsidP="00207E2D">
      <w:pPr>
        <w:widowControl w:val="0"/>
        <w:autoSpaceDE w:val="0"/>
        <w:autoSpaceDN w:val="0"/>
        <w:adjustRightInd w:val="0"/>
        <w:spacing w:line="360" w:lineRule="auto"/>
        <w:ind w:left="480" w:hanging="480"/>
        <w:rPr>
          <w:noProof/>
        </w:rPr>
      </w:pPr>
      <w:r w:rsidRPr="00207E2D">
        <w:rPr>
          <w:noProof/>
        </w:rPr>
        <w:t xml:space="preserve">Sarver, S.K., Landrum, M.C. &amp; Foltz, D.W., 1992. Genetics and taxonomy of ribbed mussels (Geukensia spp.). </w:t>
      </w:r>
      <w:r w:rsidRPr="00207E2D">
        <w:rPr>
          <w:i/>
          <w:iCs/>
          <w:noProof/>
        </w:rPr>
        <w:t>Marine Biology</w:t>
      </w:r>
      <w:r w:rsidRPr="00207E2D">
        <w:rPr>
          <w:noProof/>
        </w:rPr>
        <w:t>, 113(3), pp.385–390.</w:t>
      </w:r>
    </w:p>
    <w:p w:rsidR="00207E2D" w:rsidRPr="00207E2D" w:rsidRDefault="00207E2D" w:rsidP="00207E2D">
      <w:pPr>
        <w:widowControl w:val="0"/>
        <w:autoSpaceDE w:val="0"/>
        <w:autoSpaceDN w:val="0"/>
        <w:adjustRightInd w:val="0"/>
        <w:spacing w:line="360" w:lineRule="auto"/>
        <w:ind w:left="480" w:hanging="480"/>
        <w:rPr>
          <w:noProof/>
        </w:rPr>
      </w:pPr>
      <w:r w:rsidRPr="00207E2D">
        <w:rPr>
          <w:noProof/>
        </w:rPr>
        <w:t xml:space="preserve">Silliman, K., 2019.  Population structure, genetic connectivity, and adaptation in the Olympia oyster ( Ostrea lurida ) along the west coast of North America . </w:t>
      </w:r>
      <w:r w:rsidRPr="00207E2D">
        <w:rPr>
          <w:i/>
          <w:iCs/>
          <w:noProof/>
        </w:rPr>
        <w:t>Evolutionary Applications</w:t>
      </w:r>
      <w:r w:rsidRPr="00207E2D">
        <w:rPr>
          <w:noProof/>
        </w:rPr>
        <w:t>, (December 2018), pp.1–17.</w:t>
      </w:r>
    </w:p>
    <w:p w:rsidR="00207E2D" w:rsidRPr="00207E2D" w:rsidRDefault="00207E2D" w:rsidP="00207E2D">
      <w:pPr>
        <w:widowControl w:val="0"/>
        <w:autoSpaceDE w:val="0"/>
        <w:autoSpaceDN w:val="0"/>
        <w:adjustRightInd w:val="0"/>
        <w:spacing w:line="360" w:lineRule="auto"/>
        <w:ind w:left="480" w:hanging="480"/>
        <w:rPr>
          <w:noProof/>
        </w:rPr>
      </w:pPr>
      <w:r w:rsidRPr="00207E2D">
        <w:rPr>
          <w:noProof/>
        </w:rPr>
        <w:t xml:space="preserve">Supple, M.A. &amp; Shapiro, B., 2018. Conservation of biodiversity in the genomics era. </w:t>
      </w:r>
      <w:r w:rsidRPr="00207E2D">
        <w:rPr>
          <w:i/>
          <w:iCs/>
          <w:noProof/>
        </w:rPr>
        <w:t>Genome Biology</w:t>
      </w:r>
      <w:r w:rsidRPr="00207E2D">
        <w:rPr>
          <w:noProof/>
        </w:rPr>
        <w:t>, 19(1), p.131. Available at: https://doi.org/10.1186/s13059-018-1520-3.</w:t>
      </w:r>
    </w:p>
    <w:p w:rsidR="00991100" w:rsidRPr="00323115" w:rsidRDefault="00991100" w:rsidP="00207E2D">
      <w:pPr>
        <w:widowControl w:val="0"/>
        <w:autoSpaceDE w:val="0"/>
        <w:autoSpaceDN w:val="0"/>
        <w:adjustRightInd w:val="0"/>
        <w:spacing w:line="360" w:lineRule="auto"/>
        <w:ind w:left="480" w:hanging="480"/>
      </w:pPr>
      <w:r>
        <w:fldChar w:fldCharType="end"/>
      </w:r>
    </w:p>
    <w:sectPr w:rsidR="00991100" w:rsidRPr="00323115" w:rsidSect="004600D6">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04C8" w:rsidRDefault="002804C8" w:rsidP="007E2D66">
      <w:r>
        <w:separator/>
      </w:r>
    </w:p>
  </w:endnote>
  <w:endnote w:type="continuationSeparator" w:id="0">
    <w:p w:rsidR="002804C8" w:rsidRDefault="002804C8" w:rsidP="007E2D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3560323"/>
      <w:docPartObj>
        <w:docPartGallery w:val="Page Numbers (Bottom of Page)"/>
        <w:docPartUnique/>
      </w:docPartObj>
    </w:sdtPr>
    <w:sdtContent>
      <w:p w:rsidR="00944221" w:rsidRDefault="00944221" w:rsidP="0094422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44221" w:rsidRDefault="009442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27296925"/>
      <w:docPartObj>
        <w:docPartGallery w:val="Page Numbers (Bottom of Page)"/>
        <w:docPartUnique/>
      </w:docPartObj>
    </w:sdtPr>
    <w:sdtContent>
      <w:p w:rsidR="00944221" w:rsidRDefault="00944221" w:rsidP="0094422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944221" w:rsidRDefault="009442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04C8" w:rsidRDefault="002804C8" w:rsidP="007E2D66">
      <w:r>
        <w:separator/>
      </w:r>
    </w:p>
  </w:footnote>
  <w:footnote w:type="continuationSeparator" w:id="0">
    <w:p w:rsidR="002804C8" w:rsidRDefault="002804C8" w:rsidP="007E2D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C8602F"/>
    <w:multiLevelType w:val="hybridMultilevel"/>
    <w:tmpl w:val="04F6BDC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E6085F"/>
    <w:multiLevelType w:val="hybridMultilevel"/>
    <w:tmpl w:val="87AC7CF8"/>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F32CBF"/>
    <w:multiLevelType w:val="hybridMultilevel"/>
    <w:tmpl w:val="47448614"/>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BA7986"/>
    <w:multiLevelType w:val="hybridMultilevel"/>
    <w:tmpl w:val="0D7A6730"/>
    <w:lvl w:ilvl="0" w:tplc="6CA8FAE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7E1198"/>
    <w:multiLevelType w:val="hybridMultilevel"/>
    <w:tmpl w:val="98CEA248"/>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BAC"/>
    <w:rsid w:val="000123C5"/>
    <w:rsid w:val="000146DF"/>
    <w:rsid w:val="00016338"/>
    <w:rsid w:val="000553EE"/>
    <w:rsid w:val="0006566E"/>
    <w:rsid w:val="001035D5"/>
    <w:rsid w:val="00104884"/>
    <w:rsid w:val="00167328"/>
    <w:rsid w:val="00167A7C"/>
    <w:rsid w:val="001762A6"/>
    <w:rsid w:val="00187D18"/>
    <w:rsid w:val="001C282A"/>
    <w:rsid w:val="00207E2D"/>
    <w:rsid w:val="00213111"/>
    <w:rsid w:val="00213388"/>
    <w:rsid w:val="00241591"/>
    <w:rsid w:val="00256FFE"/>
    <w:rsid w:val="0025714C"/>
    <w:rsid w:val="00261473"/>
    <w:rsid w:val="002804C8"/>
    <w:rsid w:val="00287CC8"/>
    <w:rsid w:val="002C689B"/>
    <w:rsid w:val="002D2851"/>
    <w:rsid w:val="002F69A1"/>
    <w:rsid w:val="002F7B89"/>
    <w:rsid w:val="0030373E"/>
    <w:rsid w:val="0032282D"/>
    <w:rsid w:val="00323115"/>
    <w:rsid w:val="003568F6"/>
    <w:rsid w:val="00364F14"/>
    <w:rsid w:val="0039097B"/>
    <w:rsid w:val="00390FF5"/>
    <w:rsid w:val="003A4CC6"/>
    <w:rsid w:val="003A4CD0"/>
    <w:rsid w:val="003D0111"/>
    <w:rsid w:val="00435952"/>
    <w:rsid w:val="004600D6"/>
    <w:rsid w:val="004A43A4"/>
    <w:rsid w:val="004C064E"/>
    <w:rsid w:val="00526964"/>
    <w:rsid w:val="005641B4"/>
    <w:rsid w:val="005E3331"/>
    <w:rsid w:val="006107C8"/>
    <w:rsid w:val="00673F09"/>
    <w:rsid w:val="00682D5B"/>
    <w:rsid w:val="00685D38"/>
    <w:rsid w:val="006C3BAC"/>
    <w:rsid w:val="006E1B3C"/>
    <w:rsid w:val="006F6307"/>
    <w:rsid w:val="00734B59"/>
    <w:rsid w:val="00736C99"/>
    <w:rsid w:val="00741880"/>
    <w:rsid w:val="007B6ADD"/>
    <w:rsid w:val="007C5056"/>
    <w:rsid w:val="007E2D66"/>
    <w:rsid w:val="008A3A10"/>
    <w:rsid w:val="008B00F2"/>
    <w:rsid w:val="008D4F9F"/>
    <w:rsid w:val="00903172"/>
    <w:rsid w:val="00944221"/>
    <w:rsid w:val="00991100"/>
    <w:rsid w:val="009D72D5"/>
    <w:rsid w:val="009E095C"/>
    <w:rsid w:val="00A23374"/>
    <w:rsid w:val="00A25737"/>
    <w:rsid w:val="00A70D78"/>
    <w:rsid w:val="00A72F2E"/>
    <w:rsid w:val="00AA0BF0"/>
    <w:rsid w:val="00B06243"/>
    <w:rsid w:val="00B15B83"/>
    <w:rsid w:val="00B17EF0"/>
    <w:rsid w:val="00B30D57"/>
    <w:rsid w:val="00B4077B"/>
    <w:rsid w:val="00B61AF2"/>
    <w:rsid w:val="00B7600D"/>
    <w:rsid w:val="00BC53A8"/>
    <w:rsid w:val="00BE4BBB"/>
    <w:rsid w:val="00C7068E"/>
    <w:rsid w:val="00CA12CD"/>
    <w:rsid w:val="00CD4BDD"/>
    <w:rsid w:val="00D10EF0"/>
    <w:rsid w:val="00D62626"/>
    <w:rsid w:val="00DA271D"/>
    <w:rsid w:val="00DB046C"/>
    <w:rsid w:val="00DC024F"/>
    <w:rsid w:val="00E61E08"/>
    <w:rsid w:val="00E61F67"/>
    <w:rsid w:val="00EC6B4B"/>
    <w:rsid w:val="00EF5EEF"/>
    <w:rsid w:val="00EF607F"/>
    <w:rsid w:val="00F02CE0"/>
    <w:rsid w:val="00F06D2D"/>
    <w:rsid w:val="00F22417"/>
    <w:rsid w:val="00F2441F"/>
    <w:rsid w:val="00F916FE"/>
    <w:rsid w:val="00FA3E9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0683FA"/>
  <w15:chartTrackingRefBased/>
  <w15:docId w15:val="{13CDC506-64C3-8444-A9C0-D1391EA83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B3C"/>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5056"/>
    <w:pPr>
      <w:ind w:left="720"/>
      <w:contextualSpacing/>
    </w:pPr>
  </w:style>
  <w:style w:type="paragraph" w:styleId="BalloonText">
    <w:name w:val="Balloon Text"/>
    <w:basedOn w:val="Normal"/>
    <w:link w:val="BalloonTextChar"/>
    <w:uiPriority w:val="99"/>
    <w:semiHidden/>
    <w:unhideWhenUsed/>
    <w:rsid w:val="00B17EF0"/>
    <w:rPr>
      <w:sz w:val="18"/>
      <w:szCs w:val="18"/>
    </w:rPr>
  </w:style>
  <w:style w:type="character" w:customStyle="1" w:styleId="BalloonTextChar">
    <w:name w:val="Balloon Text Char"/>
    <w:basedOn w:val="DefaultParagraphFont"/>
    <w:link w:val="BalloonText"/>
    <w:uiPriority w:val="99"/>
    <w:semiHidden/>
    <w:rsid w:val="00B17EF0"/>
    <w:rPr>
      <w:rFonts w:ascii="Times New Roman" w:eastAsia="Times New Roman" w:hAnsi="Times New Roman" w:cs="Times New Roman"/>
      <w:sz w:val="18"/>
      <w:szCs w:val="18"/>
    </w:rPr>
  </w:style>
  <w:style w:type="paragraph" w:styleId="Footer">
    <w:name w:val="footer"/>
    <w:basedOn w:val="Normal"/>
    <w:link w:val="FooterChar"/>
    <w:uiPriority w:val="99"/>
    <w:unhideWhenUsed/>
    <w:rsid w:val="007E2D66"/>
    <w:pPr>
      <w:tabs>
        <w:tab w:val="center" w:pos="4680"/>
        <w:tab w:val="right" w:pos="9360"/>
      </w:tabs>
    </w:pPr>
  </w:style>
  <w:style w:type="character" w:customStyle="1" w:styleId="FooterChar">
    <w:name w:val="Footer Char"/>
    <w:basedOn w:val="DefaultParagraphFont"/>
    <w:link w:val="Footer"/>
    <w:uiPriority w:val="99"/>
    <w:rsid w:val="007E2D66"/>
    <w:rPr>
      <w:rFonts w:ascii="Times New Roman" w:eastAsia="Times New Roman" w:hAnsi="Times New Roman" w:cs="Times New Roman"/>
    </w:rPr>
  </w:style>
  <w:style w:type="character" w:styleId="PageNumber">
    <w:name w:val="page number"/>
    <w:basedOn w:val="DefaultParagraphFont"/>
    <w:uiPriority w:val="99"/>
    <w:semiHidden/>
    <w:unhideWhenUsed/>
    <w:rsid w:val="007E2D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296893">
      <w:bodyDiv w:val="1"/>
      <w:marLeft w:val="0"/>
      <w:marRight w:val="0"/>
      <w:marTop w:val="0"/>
      <w:marBottom w:val="0"/>
      <w:divBdr>
        <w:top w:val="none" w:sz="0" w:space="0" w:color="auto"/>
        <w:left w:val="none" w:sz="0" w:space="0" w:color="auto"/>
        <w:bottom w:val="none" w:sz="0" w:space="0" w:color="auto"/>
        <w:right w:val="none" w:sz="0" w:space="0" w:color="auto"/>
      </w:divBdr>
    </w:div>
    <w:div w:id="450828870">
      <w:bodyDiv w:val="1"/>
      <w:marLeft w:val="0"/>
      <w:marRight w:val="0"/>
      <w:marTop w:val="0"/>
      <w:marBottom w:val="0"/>
      <w:divBdr>
        <w:top w:val="none" w:sz="0" w:space="0" w:color="auto"/>
        <w:left w:val="none" w:sz="0" w:space="0" w:color="auto"/>
        <w:bottom w:val="none" w:sz="0" w:space="0" w:color="auto"/>
        <w:right w:val="none" w:sz="0" w:space="0" w:color="auto"/>
      </w:divBdr>
    </w:div>
    <w:div w:id="743331364">
      <w:bodyDiv w:val="1"/>
      <w:marLeft w:val="0"/>
      <w:marRight w:val="0"/>
      <w:marTop w:val="0"/>
      <w:marBottom w:val="0"/>
      <w:divBdr>
        <w:top w:val="none" w:sz="0" w:space="0" w:color="auto"/>
        <w:left w:val="none" w:sz="0" w:space="0" w:color="auto"/>
        <w:bottom w:val="none" w:sz="0" w:space="0" w:color="auto"/>
        <w:right w:val="none" w:sz="0" w:space="0" w:color="auto"/>
      </w:divBdr>
    </w:div>
    <w:div w:id="1429621665">
      <w:bodyDiv w:val="1"/>
      <w:marLeft w:val="0"/>
      <w:marRight w:val="0"/>
      <w:marTop w:val="0"/>
      <w:marBottom w:val="0"/>
      <w:divBdr>
        <w:top w:val="none" w:sz="0" w:space="0" w:color="auto"/>
        <w:left w:val="none" w:sz="0" w:space="0" w:color="auto"/>
        <w:bottom w:val="none" w:sz="0" w:space="0" w:color="auto"/>
        <w:right w:val="none" w:sz="0" w:space="0" w:color="auto"/>
      </w:divBdr>
    </w:div>
    <w:div w:id="1576084321">
      <w:bodyDiv w:val="1"/>
      <w:marLeft w:val="0"/>
      <w:marRight w:val="0"/>
      <w:marTop w:val="0"/>
      <w:marBottom w:val="0"/>
      <w:divBdr>
        <w:top w:val="none" w:sz="0" w:space="0" w:color="auto"/>
        <w:left w:val="none" w:sz="0" w:space="0" w:color="auto"/>
        <w:bottom w:val="none" w:sz="0" w:space="0" w:color="auto"/>
        <w:right w:val="none" w:sz="0" w:space="0" w:color="auto"/>
      </w:divBdr>
    </w:div>
    <w:div w:id="1682853268">
      <w:bodyDiv w:val="1"/>
      <w:marLeft w:val="0"/>
      <w:marRight w:val="0"/>
      <w:marTop w:val="0"/>
      <w:marBottom w:val="0"/>
      <w:divBdr>
        <w:top w:val="none" w:sz="0" w:space="0" w:color="auto"/>
        <w:left w:val="none" w:sz="0" w:space="0" w:color="auto"/>
        <w:bottom w:val="none" w:sz="0" w:space="0" w:color="auto"/>
        <w:right w:val="none" w:sz="0" w:space="0" w:color="auto"/>
      </w:divBdr>
    </w:div>
    <w:div w:id="1804500019">
      <w:bodyDiv w:val="1"/>
      <w:marLeft w:val="0"/>
      <w:marRight w:val="0"/>
      <w:marTop w:val="0"/>
      <w:marBottom w:val="0"/>
      <w:divBdr>
        <w:top w:val="none" w:sz="0" w:space="0" w:color="auto"/>
        <w:left w:val="none" w:sz="0" w:space="0" w:color="auto"/>
        <w:bottom w:val="none" w:sz="0" w:space="0" w:color="auto"/>
        <w:right w:val="none" w:sz="0" w:space="0" w:color="auto"/>
      </w:divBdr>
    </w:div>
    <w:div w:id="1827240072">
      <w:bodyDiv w:val="1"/>
      <w:marLeft w:val="0"/>
      <w:marRight w:val="0"/>
      <w:marTop w:val="0"/>
      <w:marBottom w:val="0"/>
      <w:divBdr>
        <w:top w:val="none" w:sz="0" w:space="0" w:color="auto"/>
        <w:left w:val="none" w:sz="0" w:space="0" w:color="auto"/>
        <w:bottom w:val="none" w:sz="0" w:space="0" w:color="auto"/>
        <w:right w:val="none" w:sz="0" w:space="0" w:color="auto"/>
      </w:divBdr>
    </w:div>
    <w:div w:id="1993218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B204A-4F47-9E4C-86F2-13DAD9155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11846</Words>
  <Characters>67526</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Maggie Schedl</dc:creator>
  <cp:keywords/>
  <dc:description/>
  <cp:lastModifiedBy>Maggie Schedl</cp:lastModifiedBy>
  <cp:revision>3</cp:revision>
  <dcterms:created xsi:type="dcterms:W3CDTF">2019-04-16T12:36:00Z</dcterms:created>
  <dcterms:modified xsi:type="dcterms:W3CDTF">2019-04-16T12:36:00Z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http://www.zotero.org/styles/national-library-of-medicine</vt:lpwstr>
  </property>
  <property fmtid="{D5CDD505-2E9C-101B-9397-08002B2CF9AE}" pid="19" name="Mendeley Recent Style Name 8_1">
    <vt:lpwstr>National Library of Medicine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264bf027-21ed-3d90-91ab-8dafa24fec80</vt:lpwstr>
  </property>
  <property fmtid="{D5CDD505-2E9C-101B-9397-08002B2CF9AE}" pid="24" name="Mendeley Citation Style_1">
    <vt:lpwstr>http://www.zotero.org/styles/harvard1</vt:lpwstr>
  </property>
</Properties>
</file>