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CEA2" w14:textId="4882F8C1" w:rsidR="00DF0644" w:rsidRPr="007604C2" w:rsidRDefault="00C85725">
      <w:pPr>
        <w:rPr>
          <w:rFonts w:cs="Arial"/>
          <w:sz w:val="22"/>
          <w:szCs w:val="22"/>
        </w:rPr>
      </w:pPr>
      <w:r w:rsidRPr="007604C2">
        <w:rPr>
          <w:rFonts w:cs="Arial"/>
          <w:sz w:val="22"/>
          <w:szCs w:val="22"/>
        </w:rPr>
        <w:t>Ian Bishop</w:t>
      </w:r>
    </w:p>
    <w:p w14:paraId="02E83B7C" w14:textId="45EF6B2F" w:rsidR="00777BCF" w:rsidRPr="007604C2" w:rsidRDefault="00BB710B">
      <w:pPr>
        <w:rPr>
          <w:rFonts w:cs="Arial"/>
          <w:sz w:val="22"/>
          <w:szCs w:val="22"/>
        </w:rPr>
      </w:pPr>
      <w:r w:rsidRPr="007604C2">
        <w:rPr>
          <w:rFonts w:cs="Arial"/>
          <w:sz w:val="22"/>
          <w:szCs w:val="22"/>
        </w:rPr>
        <w:t>BIO-594_2019</w:t>
      </w:r>
    </w:p>
    <w:p w14:paraId="52B33148" w14:textId="36AB82B6" w:rsidR="00626A89" w:rsidRPr="007604C2" w:rsidRDefault="00BB710B">
      <w:pPr>
        <w:rPr>
          <w:rFonts w:cs="Arial"/>
          <w:sz w:val="22"/>
          <w:szCs w:val="22"/>
        </w:rPr>
      </w:pPr>
      <w:r w:rsidRPr="007604C2">
        <w:rPr>
          <w:rFonts w:cs="Arial"/>
          <w:sz w:val="22"/>
          <w:szCs w:val="22"/>
        </w:rPr>
        <w:t>4/</w:t>
      </w:r>
      <w:r w:rsidR="008F7A68">
        <w:rPr>
          <w:rFonts w:cs="Arial"/>
          <w:sz w:val="22"/>
          <w:szCs w:val="22"/>
        </w:rPr>
        <w:t>16</w:t>
      </w:r>
      <w:r w:rsidRPr="007604C2">
        <w:rPr>
          <w:rFonts w:cs="Arial"/>
          <w:sz w:val="22"/>
          <w:szCs w:val="22"/>
        </w:rPr>
        <w:t>/19</w:t>
      </w:r>
    </w:p>
    <w:p w14:paraId="1DA38362" w14:textId="77777777" w:rsidR="0001413C" w:rsidRPr="007604C2" w:rsidRDefault="0001413C">
      <w:pPr>
        <w:rPr>
          <w:rFonts w:cs="Arial"/>
          <w:b/>
          <w:sz w:val="22"/>
          <w:szCs w:val="22"/>
        </w:rPr>
      </w:pPr>
    </w:p>
    <w:p w14:paraId="0A706F1E" w14:textId="019DCBE3" w:rsidR="005964DD" w:rsidRPr="007604C2" w:rsidRDefault="005964DD">
      <w:pPr>
        <w:rPr>
          <w:rFonts w:cs="Arial"/>
          <w:b/>
          <w:sz w:val="22"/>
          <w:szCs w:val="22"/>
        </w:rPr>
      </w:pPr>
      <w:r w:rsidRPr="007604C2">
        <w:rPr>
          <w:rFonts w:cs="Arial"/>
          <w:b/>
          <w:sz w:val="22"/>
          <w:szCs w:val="22"/>
        </w:rPr>
        <w:t>Title:</w:t>
      </w:r>
      <w:r w:rsidR="00A66996" w:rsidRPr="007604C2">
        <w:rPr>
          <w:rFonts w:cs="Arial"/>
          <w:b/>
          <w:sz w:val="22"/>
          <w:szCs w:val="22"/>
        </w:rPr>
        <w:t xml:space="preserve"> The adaptive potential of </w:t>
      </w:r>
      <w:r w:rsidR="00C85725" w:rsidRPr="007604C2">
        <w:rPr>
          <w:rFonts w:cs="Arial"/>
          <w:b/>
          <w:sz w:val="22"/>
          <w:szCs w:val="22"/>
        </w:rPr>
        <w:t>Southern Ocean</w:t>
      </w:r>
      <w:r w:rsidR="00A230E7" w:rsidRPr="007604C2">
        <w:rPr>
          <w:rFonts w:cs="Arial"/>
          <w:b/>
          <w:sz w:val="22"/>
          <w:szCs w:val="22"/>
        </w:rPr>
        <w:t xml:space="preserve"> </w:t>
      </w:r>
      <w:r w:rsidR="00A66996" w:rsidRPr="007604C2">
        <w:rPr>
          <w:rFonts w:cs="Arial"/>
          <w:b/>
          <w:sz w:val="22"/>
          <w:szCs w:val="22"/>
        </w:rPr>
        <w:t>phytoplankton</w:t>
      </w:r>
    </w:p>
    <w:p w14:paraId="00F83CF6" w14:textId="77777777" w:rsidR="005964DD" w:rsidRPr="007604C2" w:rsidRDefault="005964DD">
      <w:pPr>
        <w:rPr>
          <w:rFonts w:cs="Arial"/>
          <w:sz w:val="22"/>
          <w:szCs w:val="22"/>
        </w:rPr>
      </w:pPr>
    </w:p>
    <w:p w14:paraId="218794CE" w14:textId="1EAC010C" w:rsidR="005964DD" w:rsidRPr="007604C2" w:rsidRDefault="000E4E95">
      <w:pPr>
        <w:rPr>
          <w:rFonts w:cs="Arial"/>
          <w:b/>
          <w:sz w:val="22"/>
          <w:szCs w:val="22"/>
        </w:rPr>
      </w:pPr>
      <w:r w:rsidRPr="007604C2">
        <w:rPr>
          <w:rFonts w:cs="Arial"/>
          <w:b/>
          <w:sz w:val="22"/>
          <w:szCs w:val="22"/>
        </w:rPr>
        <w:t>Overview</w:t>
      </w:r>
    </w:p>
    <w:p w14:paraId="5672D52D" w14:textId="28051101" w:rsidR="00B16870" w:rsidRPr="007604C2" w:rsidRDefault="00073B89" w:rsidP="007604C2">
      <w:pPr>
        <w:rPr>
          <w:rFonts w:cs="Arial"/>
          <w:i/>
          <w:sz w:val="22"/>
          <w:szCs w:val="22"/>
        </w:rPr>
      </w:pPr>
      <w:r w:rsidRPr="007604C2">
        <w:rPr>
          <w:rFonts w:cs="Arial"/>
          <w:sz w:val="22"/>
          <w:szCs w:val="22"/>
        </w:rPr>
        <w:t>Global climate change is upon us and species must now cope with rapid environmental change</w:t>
      </w:r>
      <w:r w:rsidR="005E0A6F" w:rsidRPr="007604C2">
        <w:rPr>
          <w:rFonts w:cs="Arial"/>
          <w:sz w:val="22"/>
          <w:szCs w:val="22"/>
        </w:rPr>
        <w:t>, especially in polar ecosystems</w:t>
      </w:r>
      <w:r w:rsidRPr="007604C2">
        <w:rPr>
          <w:rFonts w:cs="Arial"/>
          <w:sz w:val="22"/>
          <w:szCs w:val="22"/>
        </w:rPr>
        <w:t>.</w:t>
      </w:r>
      <w:r w:rsidR="005E0A6F" w:rsidRPr="007604C2">
        <w:rPr>
          <w:rFonts w:cs="Arial"/>
          <w:sz w:val="22"/>
          <w:szCs w:val="22"/>
        </w:rPr>
        <w:t xml:space="preserve"> For many cold-adapted species in the Southern Ocean, adaptation, mostly likely via lineage sorting of standing genetic diversity and phenotypic plasticity, is the only way to persist. Diatoms, an ecologically important and highly diverse group of algae, have in recent years been found to maintain extensive intraspecific genetic and phenotypic diversity</w:t>
      </w:r>
      <w:r w:rsidR="00B16870" w:rsidRPr="007604C2">
        <w:rPr>
          <w:rFonts w:cs="Arial"/>
          <w:sz w:val="22"/>
          <w:szCs w:val="22"/>
        </w:rPr>
        <w:t>, yet very little is known about a) how this this selectable variation is structured spatially in the SO</w:t>
      </w:r>
      <w:r w:rsidR="004D5B47" w:rsidRPr="007604C2">
        <w:rPr>
          <w:rFonts w:cs="Arial"/>
          <w:sz w:val="22"/>
          <w:szCs w:val="22"/>
        </w:rPr>
        <w:t>;</w:t>
      </w:r>
      <w:r w:rsidR="00B16870" w:rsidRPr="007604C2">
        <w:rPr>
          <w:rFonts w:cs="Arial"/>
          <w:sz w:val="22"/>
          <w:szCs w:val="22"/>
        </w:rPr>
        <w:t xml:space="preserve"> and b) the extent to which epigenetic processes help determine </w:t>
      </w:r>
      <w:r w:rsidR="004D5B47" w:rsidRPr="007604C2">
        <w:rPr>
          <w:rFonts w:cs="Arial"/>
          <w:sz w:val="22"/>
          <w:szCs w:val="22"/>
        </w:rPr>
        <w:t xml:space="preserve">their </w:t>
      </w:r>
      <w:r w:rsidR="00B16870" w:rsidRPr="007604C2">
        <w:rPr>
          <w:rFonts w:cs="Arial"/>
          <w:sz w:val="22"/>
          <w:szCs w:val="22"/>
        </w:rPr>
        <w:t>adaptive potential. This knowledge gap directly corresponds to the lack of adoption of what are by now well</w:t>
      </w:r>
      <w:r w:rsidR="004D5B47" w:rsidRPr="007604C2">
        <w:rPr>
          <w:rFonts w:cs="Arial"/>
          <w:sz w:val="22"/>
          <w:szCs w:val="22"/>
        </w:rPr>
        <w:t>-</w:t>
      </w:r>
      <w:r w:rsidR="00B16870" w:rsidRPr="007604C2">
        <w:rPr>
          <w:rFonts w:cs="Arial"/>
          <w:sz w:val="22"/>
          <w:szCs w:val="22"/>
        </w:rPr>
        <w:t>established next generation sequencing methods, most notably reduced</w:t>
      </w:r>
      <w:r w:rsidR="004D5B47" w:rsidRPr="007604C2">
        <w:rPr>
          <w:rFonts w:cs="Arial"/>
          <w:sz w:val="22"/>
          <w:szCs w:val="22"/>
        </w:rPr>
        <w:t>-</w:t>
      </w:r>
      <w:r w:rsidR="00B16870" w:rsidRPr="007604C2">
        <w:rPr>
          <w:rFonts w:cs="Arial"/>
          <w:sz w:val="22"/>
          <w:szCs w:val="22"/>
        </w:rPr>
        <w:t xml:space="preserve">representation sequencing (RRS). </w:t>
      </w:r>
      <w:r w:rsidR="004D5B47" w:rsidRPr="007604C2">
        <w:rPr>
          <w:rFonts w:cs="Arial"/>
          <w:i/>
          <w:sz w:val="22"/>
          <w:szCs w:val="22"/>
        </w:rPr>
        <w:t>We</w:t>
      </w:r>
      <w:r w:rsidR="00B16870" w:rsidRPr="007604C2">
        <w:rPr>
          <w:rFonts w:cs="Arial"/>
          <w:i/>
          <w:sz w:val="22"/>
          <w:szCs w:val="22"/>
        </w:rPr>
        <w:t xml:space="preserve"> propose to examine the abundance and spatial distribution of critical determinants of adaptive potential, namely genetic and epigenetic polymorphism. We intend to develop and implement both common genomic and developing epigenomic methods, neither of which have been utilized in eukaryotic photoautotrophs.</w:t>
      </w:r>
    </w:p>
    <w:p w14:paraId="1B5AF313" w14:textId="2576B7B8" w:rsidR="005E0A6F" w:rsidRPr="007604C2" w:rsidRDefault="005E0A6F">
      <w:pPr>
        <w:rPr>
          <w:rFonts w:cs="Arial"/>
          <w:i/>
          <w:sz w:val="22"/>
          <w:szCs w:val="22"/>
        </w:rPr>
      </w:pPr>
    </w:p>
    <w:p w14:paraId="426570E9" w14:textId="07FA0C06" w:rsidR="005964DD" w:rsidRPr="007604C2" w:rsidRDefault="000E4E95">
      <w:pPr>
        <w:rPr>
          <w:rFonts w:cs="Arial"/>
          <w:b/>
          <w:sz w:val="22"/>
          <w:szCs w:val="22"/>
        </w:rPr>
      </w:pPr>
      <w:r w:rsidRPr="007604C2">
        <w:rPr>
          <w:rFonts w:cs="Arial"/>
          <w:b/>
          <w:sz w:val="22"/>
          <w:szCs w:val="22"/>
        </w:rPr>
        <w:t>Intellectual Merit</w:t>
      </w:r>
    </w:p>
    <w:p w14:paraId="25880602" w14:textId="434D7A19" w:rsidR="005964DD" w:rsidRPr="007604C2" w:rsidRDefault="00662BD4" w:rsidP="007604C2">
      <w:pPr>
        <w:rPr>
          <w:rFonts w:cs="Arial"/>
          <w:sz w:val="22"/>
          <w:szCs w:val="22"/>
        </w:rPr>
      </w:pPr>
      <w:r w:rsidRPr="007604C2">
        <w:rPr>
          <w:rFonts w:cs="Arial"/>
          <w:sz w:val="22"/>
          <w:szCs w:val="22"/>
        </w:rPr>
        <w:t xml:space="preserve">Our research effort would advance </w:t>
      </w:r>
      <w:r w:rsidR="00161C26" w:rsidRPr="007604C2">
        <w:rPr>
          <w:rFonts w:cs="Arial"/>
          <w:sz w:val="22"/>
          <w:szCs w:val="22"/>
        </w:rPr>
        <w:t xml:space="preserve">marine </w:t>
      </w:r>
      <w:proofErr w:type="spellStart"/>
      <w:r w:rsidR="00161C26" w:rsidRPr="007604C2">
        <w:rPr>
          <w:rFonts w:cs="Arial"/>
          <w:sz w:val="22"/>
          <w:szCs w:val="22"/>
        </w:rPr>
        <w:t>protistan</w:t>
      </w:r>
      <w:proofErr w:type="spellEnd"/>
      <w:r w:rsidR="00161C26" w:rsidRPr="007604C2">
        <w:rPr>
          <w:rFonts w:cs="Arial"/>
          <w:sz w:val="22"/>
          <w:szCs w:val="22"/>
        </w:rPr>
        <w:t xml:space="preserve"> ecology in several important ways. First, to the best of our knowledge, there have been no published attempts to either: A) apply population genomic methods to eukaryotic </w:t>
      </w:r>
      <w:r w:rsidR="004F6D7F" w:rsidRPr="007604C2">
        <w:rPr>
          <w:rFonts w:cs="Arial"/>
          <w:sz w:val="22"/>
          <w:szCs w:val="22"/>
        </w:rPr>
        <w:t>phytoplankton</w:t>
      </w:r>
      <w:r w:rsidR="00161C26" w:rsidRPr="007604C2">
        <w:rPr>
          <w:rFonts w:cs="Arial"/>
          <w:sz w:val="22"/>
          <w:szCs w:val="22"/>
        </w:rPr>
        <w:t xml:space="preserve">; or B) determine within even an order of magnitude the variation in epigenetic </w:t>
      </w:r>
      <w:r w:rsidR="004F6D7F" w:rsidRPr="007604C2">
        <w:rPr>
          <w:rFonts w:cs="Arial"/>
          <w:sz w:val="22"/>
          <w:szCs w:val="22"/>
        </w:rPr>
        <w:t>markers in populations of eukaryotic phytoplankton</w:t>
      </w:r>
      <w:r w:rsidR="003301D3" w:rsidRPr="007604C2">
        <w:rPr>
          <w:rFonts w:cs="Arial"/>
          <w:sz w:val="22"/>
          <w:szCs w:val="22"/>
        </w:rPr>
        <w:t xml:space="preserve">. </w:t>
      </w:r>
      <w:r w:rsidR="00F862D5" w:rsidRPr="007604C2">
        <w:rPr>
          <w:rFonts w:cs="Arial"/>
          <w:sz w:val="22"/>
          <w:szCs w:val="22"/>
        </w:rPr>
        <w:t>Not only the structural variation findings, but also the o</w:t>
      </w:r>
      <w:r w:rsidR="003301D3" w:rsidRPr="007604C2">
        <w:rPr>
          <w:rFonts w:cs="Arial"/>
          <w:sz w:val="22"/>
          <w:szCs w:val="22"/>
        </w:rPr>
        <w:t>ptimization efforts developed for this project will be published open source</w:t>
      </w:r>
      <w:r w:rsidR="00F862D5" w:rsidRPr="007604C2">
        <w:rPr>
          <w:rFonts w:cs="Arial"/>
          <w:sz w:val="22"/>
          <w:szCs w:val="22"/>
        </w:rPr>
        <w:t xml:space="preserve"> to facilit</w:t>
      </w:r>
      <w:r w:rsidR="004D5B47" w:rsidRPr="007604C2">
        <w:rPr>
          <w:rFonts w:cs="Arial"/>
          <w:sz w:val="22"/>
          <w:szCs w:val="22"/>
        </w:rPr>
        <w:t>at</w:t>
      </w:r>
      <w:r w:rsidR="00F862D5" w:rsidRPr="007604C2">
        <w:rPr>
          <w:rFonts w:cs="Arial"/>
          <w:sz w:val="22"/>
          <w:szCs w:val="22"/>
        </w:rPr>
        <w:t xml:space="preserve">e broader implementation of </w:t>
      </w:r>
      <w:r w:rsidR="004D5B47" w:rsidRPr="007604C2">
        <w:rPr>
          <w:rFonts w:cs="Arial"/>
          <w:sz w:val="22"/>
          <w:szCs w:val="22"/>
        </w:rPr>
        <w:t>such</w:t>
      </w:r>
      <w:r w:rsidR="00F862D5" w:rsidRPr="007604C2">
        <w:rPr>
          <w:rFonts w:cs="Arial"/>
          <w:sz w:val="22"/>
          <w:szCs w:val="22"/>
        </w:rPr>
        <w:t xml:space="preserve"> methods in protist population genomics</w:t>
      </w:r>
      <w:r w:rsidR="003301D3" w:rsidRPr="007604C2">
        <w:rPr>
          <w:rFonts w:cs="Arial"/>
          <w:sz w:val="22"/>
          <w:szCs w:val="22"/>
        </w:rPr>
        <w:t>.</w:t>
      </w:r>
    </w:p>
    <w:p w14:paraId="1083B52E" w14:textId="3BC0BB4A" w:rsidR="00161C26" w:rsidRPr="007604C2" w:rsidRDefault="00547298" w:rsidP="00460B80">
      <w:pPr>
        <w:ind w:firstLine="360"/>
        <w:rPr>
          <w:rFonts w:cs="Arial"/>
          <w:sz w:val="22"/>
          <w:szCs w:val="22"/>
        </w:rPr>
      </w:pPr>
      <w:r w:rsidRPr="007604C2">
        <w:rPr>
          <w:rFonts w:cs="Arial"/>
          <w:sz w:val="22"/>
          <w:szCs w:val="22"/>
        </w:rPr>
        <w:t>Presently, most</w:t>
      </w:r>
      <w:r w:rsidR="00161C26" w:rsidRPr="007604C2">
        <w:rPr>
          <w:rFonts w:cs="Arial"/>
          <w:sz w:val="22"/>
          <w:szCs w:val="22"/>
        </w:rPr>
        <w:t xml:space="preserve"> climate change </w:t>
      </w:r>
      <w:r w:rsidRPr="007604C2">
        <w:rPr>
          <w:rFonts w:cs="Arial"/>
          <w:sz w:val="22"/>
          <w:szCs w:val="22"/>
        </w:rPr>
        <w:t xml:space="preserve">models assessing extinctions, species distribution and diversity </w:t>
      </w:r>
      <w:r w:rsidR="00161C26" w:rsidRPr="007604C2">
        <w:rPr>
          <w:rFonts w:cs="Arial"/>
          <w:sz w:val="22"/>
          <w:szCs w:val="22"/>
        </w:rPr>
        <w:t xml:space="preserve">do not </w:t>
      </w:r>
      <w:r w:rsidRPr="007604C2">
        <w:rPr>
          <w:rFonts w:cs="Arial"/>
          <w:sz w:val="22"/>
          <w:szCs w:val="22"/>
        </w:rPr>
        <w:t>parameterize</w:t>
      </w:r>
      <w:r w:rsidR="00161C26" w:rsidRPr="007604C2">
        <w:rPr>
          <w:rFonts w:cs="Arial"/>
          <w:sz w:val="22"/>
          <w:szCs w:val="22"/>
        </w:rPr>
        <w:t xml:space="preserve"> evolutionar</w:t>
      </w:r>
      <w:r w:rsidRPr="007604C2">
        <w:rPr>
          <w:rFonts w:cs="Arial"/>
          <w:sz w:val="22"/>
          <w:szCs w:val="22"/>
        </w:rPr>
        <w:t>ily important features such as population level (epi)genomic diversity and phenotypic plasticity</w:t>
      </w:r>
      <w:r w:rsidR="00161C26" w:rsidRPr="007604C2">
        <w:rPr>
          <w:rFonts w:cs="Arial"/>
          <w:sz w:val="22"/>
          <w:szCs w:val="22"/>
        </w:rPr>
        <w:t>, even though their influence on phytoplankton standing stock may be substantial and may adjust the scale of several climate</w:t>
      </w:r>
      <w:r w:rsidRPr="007604C2">
        <w:rPr>
          <w:rFonts w:cs="Arial"/>
          <w:sz w:val="22"/>
          <w:szCs w:val="22"/>
        </w:rPr>
        <w:t>-related</w:t>
      </w:r>
      <w:r w:rsidR="00161C26" w:rsidRPr="007604C2">
        <w:rPr>
          <w:rFonts w:cs="Arial"/>
          <w:sz w:val="22"/>
          <w:szCs w:val="22"/>
        </w:rPr>
        <w:t xml:space="preserve"> biogeochemical feedback loops. Even a co</w:t>
      </w:r>
      <w:r w:rsidRPr="007604C2">
        <w:rPr>
          <w:rFonts w:cs="Arial"/>
          <w:sz w:val="22"/>
          <w:szCs w:val="22"/>
        </w:rPr>
        <w:t>a</w:t>
      </w:r>
      <w:r w:rsidR="00161C26" w:rsidRPr="007604C2">
        <w:rPr>
          <w:rFonts w:cs="Arial"/>
          <w:sz w:val="22"/>
          <w:szCs w:val="22"/>
        </w:rPr>
        <w:t>rse understanding of the raw material (genetic and epigenetic variation) of adaptation, where and how it varies in the Southern Ocean, has much to contribute t</w:t>
      </w:r>
      <w:r w:rsidRPr="007604C2">
        <w:rPr>
          <w:rFonts w:cs="Arial"/>
          <w:sz w:val="22"/>
          <w:szCs w:val="22"/>
        </w:rPr>
        <w:t>o this effort.</w:t>
      </w:r>
    </w:p>
    <w:p w14:paraId="08B4D4D3" w14:textId="77777777" w:rsidR="00EA73AC" w:rsidRPr="007604C2" w:rsidRDefault="00EA73AC">
      <w:pPr>
        <w:rPr>
          <w:rFonts w:cs="Arial"/>
          <w:b/>
          <w:sz w:val="22"/>
          <w:szCs w:val="22"/>
        </w:rPr>
      </w:pPr>
    </w:p>
    <w:p w14:paraId="2C6423CA" w14:textId="19FCA061" w:rsidR="000E4E95" w:rsidRPr="007604C2" w:rsidRDefault="000E4E95">
      <w:pPr>
        <w:rPr>
          <w:rFonts w:cs="Arial"/>
          <w:b/>
          <w:sz w:val="22"/>
          <w:szCs w:val="22"/>
        </w:rPr>
      </w:pPr>
      <w:r w:rsidRPr="007604C2">
        <w:rPr>
          <w:rFonts w:cs="Arial"/>
          <w:b/>
          <w:sz w:val="22"/>
          <w:szCs w:val="22"/>
        </w:rPr>
        <w:t>Broader Impacts</w:t>
      </w:r>
    </w:p>
    <w:p w14:paraId="3C28D880" w14:textId="7A042147" w:rsidR="00136182" w:rsidRPr="007604C2" w:rsidRDefault="00D64AE9" w:rsidP="007604C2">
      <w:pPr>
        <w:rPr>
          <w:rFonts w:cs="Arial"/>
          <w:sz w:val="22"/>
          <w:szCs w:val="22"/>
        </w:rPr>
      </w:pPr>
      <w:r w:rsidRPr="007604C2">
        <w:rPr>
          <w:rFonts w:cs="Arial"/>
          <w:sz w:val="22"/>
          <w:szCs w:val="22"/>
        </w:rPr>
        <w:t>We will reach out to Rhode Island environmental organizations and school age children to increase both awareness and understanding of the local</w:t>
      </w:r>
      <w:r w:rsidR="00103DB8" w:rsidRPr="007604C2">
        <w:rPr>
          <w:rFonts w:cs="Arial"/>
          <w:sz w:val="22"/>
          <w:szCs w:val="22"/>
        </w:rPr>
        <w:t xml:space="preserve"> to</w:t>
      </w:r>
      <w:r w:rsidRPr="007604C2">
        <w:rPr>
          <w:rFonts w:cs="Arial"/>
          <w:sz w:val="22"/>
          <w:szCs w:val="22"/>
        </w:rPr>
        <w:t xml:space="preserve"> global significance of some of the “good microbes”, i.e. microscopic algae. Students, via day events and short internships will have the opportunity to collect and visualize </w:t>
      </w:r>
      <w:r w:rsidR="00103DB8" w:rsidRPr="007604C2">
        <w:rPr>
          <w:rFonts w:cs="Arial"/>
          <w:sz w:val="22"/>
          <w:szCs w:val="22"/>
        </w:rPr>
        <w:t xml:space="preserve">such organisms </w:t>
      </w:r>
      <w:r w:rsidRPr="007604C2">
        <w:rPr>
          <w:rFonts w:cs="Arial"/>
          <w:sz w:val="22"/>
          <w:szCs w:val="22"/>
        </w:rPr>
        <w:t>through high-powered compound microscopes</w:t>
      </w:r>
      <w:r w:rsidR="00103DB8" w:rsidRPr="007604C2">
        <w:rPr>
          <w:rFonts w:cs="Arial"/>
          <w:sz w:val="22"/>
          <w:szCs w:val="22"/>
        </w:rPr>
        <w:t xml:space="preserve"> and SEMs</w:t>
      </w:r>
      <w:r w:rsidRPr="007604C2">
        <w:rPr>
          <w:rFonts w:cs="Arial"/>
          <w:sz w:val="22"/>
          <w:szCs w:val="22"/>
        </w:rPr>
        <w:t xml:space="preserve"> that which they are not able to see on a daily basis but greatly impact our</w:t>
      </w:r>
      <w:r w:rsidR="00C14110" w:rsidRPr="007604C2">
        <w:rPr>
          <w:rFonts w:cs="Arial"/>
          <w:sz w:val="22"/>
          <w:szCs w:val="22"/>
        </w:rPr>
        <w:t xml:space="preserve"> life on earth.</w:t>
      </w:r>
      <w:r w:rsidRPr="007604C2">
        <w:rPr>
          <w:rFonts w:cs="Arial"/>
          <w:sz w:val="22"/>
          <w:szCs w:val="22"/>
        </w:rPr>
        <w:t xml:space="preserve"> </w:t>
      </w:r>
    </w:p>
    <w:p w14:paraId="27DD7B51" w14:textId="271E3C3B" w:rsidR="00136182" w:rsidRDefault="00136182" w:rsidP="00136182">
      <w:pPr>
        <w:ind w:firstLine="540"/>
        <w:rPr>
          <w:rFonts w:cs="Arial"/>
          <w:sz w:val="22"/>
          <w:szCs w:val="22"/>
        </w:rPr>
      </w:pPr>
    </w:p>
    <w:p w14:paraId="4DF971F5" w14:textId="7595ABA0" w:rsidR="007604C2" w:rsidRDefault="007604C2" w:rsidP="00136182">
      <w:pPr>
        <w:ind w:firstLine="540"/>
        <w:rPr>
          <w:rFonts w:cs="Arial"/>
          <w:sz w:val="22"/>
          <w:szCs w:val="22"/>
        </w:rPr>
      </w:pPr>
    </w:p>
    <w:p w14:paraId="09E62159" w14:textId="5C9A0F7F" w:rsidR="007604C2" w:rsidRDefault="007604C2" w:rsidP="00136182">
      <w:pPr>
        <w:ind w:firstLine="540"/>
        <w:rPr>
          <w:rFonts w:cs="Arial"/>
          <w:sz w:val="22"/>
          <w:szCs w:val="22"/>
        </w:rPr>
      </w:pPr>
    </w:p>
    <w:p w14:paraId="1D5175DF" w14:textId="77777777" w:rsidR="007604C2" w:rsidRPr="007604C2" w:rsidRDefault="007604C2" w:rsidP="00136182">
      <w:pPr>
        <w:ind w:firstLine="540"/>
        <w:rPr>
          <w:rFonts w:cs="Arial"/>
          <w:sz w:val="22"/>
          <w:szCs w:val="22"/>
        </w:rPr>
      </w:pPr>
    </w:p>
    <w:p w14:paraId="549494DB" w14:textId="0E51F890" w:rsidR="00136182" w:rsidRPr="007604C2" w:rsidRDefault="00136182" w:rsidP="00136182">
      <w:pPr>
        <w:ind w:firstLine="540"/>
        <w:rPr>
          <w:rFonts w:cs="Arial"/>
          <w:sz w:val="22"/>
          <w:szCs w:val="22"/>
        </w:rPr>
      </w:pPr>
    </w:p>
    <w:p w14:paraId="79B959DE" w14:textId="72E7F2CB" w:rsidR="004D5B47" w:rsidRDefault="004D5B47" w:rsidP="00136182">
      <w:pPr>
        <w:ind w:firstLine="540"/>
        <w:rPr>
          <w:rFonts w:cs="Arial"/>
          <w:sz w:val="22"/>
          <w:szCs w:val="22"/>
        </w:rPr>
      </w:pPr>
    </w:p>
    <w:p w14:paraId="475A4A1C" w14:textId="77777777" w:rsidR="00ED5C87" w:rsidRPr="007604C2" w:rsidRDefault="00ED5C87" w:rsidP="00136182">
      <w:pPr>
        <w:ind w:firstLine="540"/>
        <w:rPr>
          <w:rFonts w:cs="Arial"/>
          <w:sz w:val="22"/>
          <w:szCs w:val="22"/>
        </w:rPr>
      </w:pPr>
    </w:p>
    <w:p w14:paraId="6939312B" w14:textId="6A77B76B" w:rsidR="00626A89" w:rsidRPr="007604C2" w:rsidRDefault="000E4E95" w:rsidP="00136182">
      <w:pPr>
        <w:pStyle w:val="ListParagraph"/>
        <w:numPr>
          <w:ilvl w:val="0"/>
          <w:numId w:val="10"/>
        </w:numPr>
        <w:ind w:left="360"/>
        <w:rPr>
          <w:rFonts w:cs="Arial"/>
          <w:b/>
          <w:sz w:val="22"/>
          <w:szCs w:val="22"/>
        </w:rPr>
      </w:pPr>
      <w:r w:rsidRPr="007604C2">
        <w:rPr>
          <w:rFonts w:cs="Arial"/>
          <w:b/>
          <w:sz w:val="22"/>
          <w:szCs w:val="22"/>
        </w:rPr>
        <w:lastRenderedPageBreak/>
        <w:t>Background</w:t>
      </w:r>
    </w:p>
    <w:p w14:paraId="5F597069" w14:textId="781A7D81" w:rsidR="0033145D" w:rsidRPr="007604C2" w:rsidRDefault="006F0F87" w:rsidP="007604C2">
      <w:pPr>
        <w:rPr>
          <w:rFonts w:eastAsia="Times New Roman" w:cs="Arial"/>
          <w:color w:val="auto"/>
          <w:sz w:val="22"/>
          <w:szCs w:val="22"/>
        </w:rPr>
      </w:pPr>
      <w:r w:rsidRPr="007604C2">
        <w:rPr>
          <w:rFonts w:cs="Arial"/>
          <w:noProof/>
          <w:sz w:val="22"/>
          <w:szCs w:val="22"/>
        </w:rPr>
        <w:drawing>
          <wp:anchor distT="0" distB="0" distL="114300" distR="114300" simplePos="0" relativeHeight="251658240" behindDoc="0" locked="0" layoutInCell="1" allowOverlap="1" wp14:anchorId="09041CF2" wp14:editId="45B50D6B">
            <wp:simplePos x="0" y="0"/>
            <wp:positionH relativeFrom="column">
              <wp:posOffset>-9427</wp:posOffset>
            </wp:positionH>
            <wp:positionV relativeFrom="paragraph">
              <wp:posOffset>1246212</wp:posOffset>
            </wp:positionV>
            <wp:extent cx="3192780" cy="2554605"/>
            <wp:effectExtent l="12700" t="12700" r="7620" b="107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n_maxmu~mean_temp_dot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2780" cy="25546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35230" w:rsidRPr="007604C2">
        <w:rPr>
          <w:rFonts w:cs="Arial"/>
          <w:sz w:val="22"/>
          <w:szCs w:val="22"/>
        </w:rPr>
        <w:t>The Southern Ocean</w:t>
      </w:r>
      <w:r w:rsidR="00843AE1" w:rsidRPr="007604C2">
        <w:rPr>
          <w:rFonts w:cs="Arial"/>
          <w:sz w:val="22"/>
          <w:szCs w:val="22"/>
        </w:rPr>
        <w:t xml:space="preserve"> </w:t>
      </w:r>
      <w:r w:rsidR="00DC6DFE" w:rsidRPr="007604C2">
        <w:rPr>
          <w:rFonts w:cs="Arial"/>
          <w:sz w:val="22"/>
          <w:szCs w:val="22"/>
        </w:rPr>
        <w:t xml:space="preserve">(SO) </w:t>
      </w:r>
      <w:r w:rsidR="00843AE1" w:rsidRPr="007604C2">
        <w:rPr>
          <w:rFonts w:cs="Arial"/>
          <w:sz w:val="22"/>
          <w:szCs w:val="22"/>
        </w:rPr>
        <w:t xml:space="preserve">is central to multiple global biogeochemical cycles, including Si, N, P, </w:t>
      </w:r>
      <w:r w:rsidR="00C14110" w:rsidRPr="007604C2">
        <w:rPr>
          <w:rFonts w:cs="Arial"/>
          <w:sz w:val="22"/>
          <w:szCs w:val="22"/>
        </w:rPr>
        <w:t>&amp;</w:t>
      </w:r>
      <w:r w:rsidR="00843AE1" w:rsidRPr="007604C2">
        <w:rPr>
          <w:rFonts w:cs="Arial"/>
          <w:sz w:val="22"/>
          <w:szCs w:val="22"/>
        </w:rPr>
        <w:t xml:space="preserve"> Zn (</w:t>
      </w:r>
      <w:r w:rsidR="000F5913" w:rsidRPr="007604C2">
        <w:rPr>
          <w:rFonts w:eastAsia="Times New Roman" w:cs="Arial"/>
          <w:color w:val="auto"/>
          <w:sz w:val="22"/>
          <w:szCs w:val="22"/>
        </w:rPr>
        <w:t xml:space="preserve">Tréguer </w:t>
      </w:r>
      <w:r w:rsidR="00C14110" w:rsidRPr="007604C2">
        <w:rPr>
          <w:rFonts w:eastAsia="Times New Roman" w:cs="Arial"/>
          <w:color w:val="auto"/>
          <w:sz w:val="22"/>
          <w:szCs w:val="22"/>
        </w:rPr>
        <w:t>&amp;</w:t>
      </w:r>
      <w:r w:rsidR="000F5913" w:rsidRPr="007604C2">
        <w:rPr>
          <w:rFonts w:eastAsia="Times New Roman" w:cs="Arial"/>
          <w:color w:val="auto"/>
          <w:sz w:val="22"/>
          <w:szCs w:val="22"/>
        </w:rPr>
        <w:t xml:space="preserve"> De La Rocha 2013, </w:t>
      </w:r>
      <w:proofErr w:type="spellStart"/>
      <w:r w:rsidR="00510135" w:rsidRPr="007604C2">
        <w:rPr>
          <w:rFonts w:cs="Arial"/>
          <w:sz w:val="22"/>
          <w:szCs w:val="22"/>
        </w:rPr>
        <w:t>Yool</w:t>
      </w:r>
      <w:proofErr w:type="spellEnd"/>
      <w:r w:rsidR="00510135" w:rsidRPr="007604C2">
        <w:rPr>
          <w:rFonts w:cs="Arial"/>
          <w:sz w:val="22"/>
          <w:szCs w:val="22"/>
        </w:rPr>
        <w:t xml:space="preserve"> </w:t>
      </w:r>
      <w:r w:rsidR="00C14110" w:rsidRPr="007604C2">
        <w:rPr>
          <w:rFonts w:cs="Arial"/>
          <w:sz w:val="22"/>
          <w:szCs w:val="22"/>
        </w:rPr>
        <w:t>&amp;</w:t>
      </w:r>
      <w:r w:rsidR="00510135" w:rsidRPr="007604C2">
        <w:rPr>
          <w:rFonts w:cs="Arial"/>
          <w:sz w:val="22"/>
          <w:szCs w:val="22"/>
        </w:rPr>
        <w:t xml:space="preserve"> Tyrrell 2013</w:t>
      </w:r>
      <w:r w:rsidR="00843AE1" w:rsidRPr="007604C2">
        <w:rPr>
          <w:rFonts w:cs="Arial"/>
          <w:sz w:val="22"/>
          <w:szCs w:val="22"/>
        </w:rPr>
        <w:t>,</w:t>
      </w:r>
      <w:r w:rsidR="00843AE1" w:rsidRPr="007604C2">
        <w:rPr>
          <w:rFonts w:cs="Arial"/>
          <w:b/>
          <w:sz w:val="22"/>
          <w:szCs w:val="22"/>
        </w:rPr>
        <w:t xml:space="preserve"> </w:t>
      </w:r>
      <w:r w:rsidR="00AC3109" w:rsidRPr="00AC3109">
        <w:rPr>
          <w:rFonts w:cs="Arial"/>
          <w:sz w:val="22"/>
          <w:szCs w:val="22"/>
        </w:rPr>
        <w:t>Sarmiento et al. 2004</w:t>
      </w:r>
      <w:r w:rsidR="00843AE1" w:rsidRPr="00AC3109">
        <w:rPr>
          <w:rFonts w:cs="Arial"/>
          <w:sz w:val="22"/>
          <w:szCs w:val="22"/>
        </w:rPr>
        <w:t>,</w:t>
      </w:r>
      <w:r w:rsidR="00843AE1" w:rsidRPr="007604C2">
        <w:rPr>
          <w:rFonts w:cs="Arial"/>
          <w:b/>
          <w:sz w:val="22"/>
          <w:szCs w:val="22"/>
        </w:rPr>
        <w:t xml:space="preserve"> </w:t>
      </w:r>
      <w:r w:rsidR="00234C35" w:rsidRPr="007604C2">
        <w:rPr>
          <w:rFonts w:cs="Arial"/>
          <w:sz w:val="22"/>
          <w:szCs w:val="22"/>
        </w:rPr>
        <w:t>Vance et al. 2017</w:t>
      </w:r>
      <w:r w:rsidR="00843AE1" w:rsidRPr="007604C2">
        <w:rPr>
          <w:rFonts w:cs="Arial"/>
          <w:sz w:val="22"/>
          <w:szCs w:val="22"/>
        </w:rPr>
        <w:t>). It is home to very productive, if patchy, phytoplankton communities, particularly north of the Antarctic Polar Front (APF) and along the</w:t>
      </w:r>
      <w:r w:rsidR="00C14110" w:rsidRPr="007604C2">
        <w:rPr>
          <w:rFonts w:cs="Arial"/>
          <w:sz w:val="22"/>
          <w:szCs w:val="22"/>
        </w:rPr>
        <w:t xml:space="preserve"> Antarctic</w:t>
      </w:r>
      <w:r w:rsidR="00843AE1" w:rsidRPr="007604C2">
        <w:rPr>
          <w:rFonts w:cs="Arial"/>
          <w:sz w:val="22"/>
          <w:szCs w:val="22"/>
        </w:rPr>
        <w:t xml:space="preserve"> continental shelf (</w:t>
      </w:r>
      <w:r w:rsidR="00823F13" w:rsidRPr="007604C2">
        <w:rPr>
          <w:rFonts w:cs="Arial"/>
          <w:sz w:val="22"/>
          <w:szCs w:val="22"/>
        </w:rPr>
        <w:t xml:space="preserve">Moore </w:t>
      </w:r>
      <w:r w:rsidR="00C14110" w:rsidRPr="007604C2">
        <w:rPr>
          <w:rFonts w:cs="Arial"/>
          <w:sz w:val="22"/>
          <w:szCs w:val="22"/>
        </w:rPr>
        <w:t xml:space="preserve">&amp; </w:t>
      </w:r>
      <w:r w:rsidR="00823F13" w:rsidRPr="007604C2">
        <w:rPr>
          <w:rFonts w:cs="Arial"/>
          <w:sz w:val="22"/>
          <w:szCs w:val="22"/>
        </w:rPr>
        <w:t>Abbott 2000</w:t>
      </w:r>
      <w:r w:rsidR="00843AE1" w:rsidRPr="007604C2">
        <w:rPr>
          <w:rFonts w:cs="Arial"/>
          <w:sz w:val="22"/>
          <w:szCs w:val="22"/>
        </w:rPr>
        <w:t xml:space="preserve">). Given this central biogeochemical role, it is vital that we understand the extent to which these communities are at risk from rapid environmental change in the </w:t>
      </w:r>
      <w:r w:rsidR="00B05FEC" w:rsidRPr="007604C2">
        <w:rPr>
          <w:rFonts w:cs="Arial"/>
          <w:sz w:val="22"/>
          <w:szCs w:val="22"/>
        </w:rPr>
        <w:t xml:space="preserve">polar surface ocean. </w:t>
      </w:r>
      <w:r w:rsidR="0033145D" w:rsidRPr="007604C2">
        <w:rPr>
          <w:rFonts w:cs="Arial"/>
          <w:sz w:val="22"/>
          <w:szCs w:val="22"/>
        </w:rPr>
        <w:t>Sea surface temperature, salinity, and sea-ice extent will all shift in the coming century, but magnitude and direction of change will vary by region and depth (Constable et al. 2014).</w:t>
      </w:r>
      <w:r w:rsidR="00B64F9D" w:rsidRPr="007604C2">
        <w:rPr>
          <w:rFonts w:cs="Arial"/>
          <w:sz w:val="22"/>
          <w:szCs w:val="22"/>
        </w:rPr>
        <w:t xml:space="preserve"> </w:t>
      </w:r>
    </w:p>
    <w:p w14:paraId="14B2B656" w14:textId="229806B4" w:rsidR="00002467" w:rsidRPr="007604C2" w:rsidRDefault="006F0F87" w:rsidP="00136182">
      <w:pPr>
        <w:ind w:firstLine="540"/>
        <w:rPr>
          <w:rFonts w:cs="Arial"/>
          <w:sz w:val="22"/>
          <w:szCs w:val="22"/>
        </w:rPr>
      </w:pPr>
      <w:r w:rsidRPr="007604C2">
        <w:rPr>
          <w:rFonts w:cs="Arial"/>
          <w:noProof/>
          <w:sz w:val="22"/>
          <w:szCs w:val="22"/>
        </w:rPr>
        <mc:AlternateContent>
          <mc:Choice Requires="wps">
            <w:drawing>
              <wp:anchor distT="0" distB="0" distL="114300" distR="114300" simplePos="0" relativeHeight="251660288" behindDoc="0" locked="0" layoutInCell="1" allowOverlap="1" wp14:anchorId="6BA73D05" wp14:editId="2BA0F49D">
                <wp:simplePos x="0" y="0"/>
                <wp:positionH relativeFrom="column">
                  <wp:posOffset>-9525</wp:posOffset>
                </wp:positionH>
                <wp:positionV relativeFrom="paragraph">
                  <wp:posOffset>2403719</wp:posOffset>
                </wp:positionV>
                <wp:extent cx="31908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190875" cy="635"/>
                        </a:xfrm>
                        <a:prstGeom prst="rect">
                          <a:avLst/>
                        </a:prstGeom>
                        <a:solidFill>
                          <a:prstClr val="white"/>
                        </a:solidFill>
                        <a:ln>
                          <a:noFill/>
                        </a:ln>
                      </wps:spPr>
                      <wps:txbx>
                        <w:txbxContent>
                          <w:p w14:paraId="3DDC77E8" w14:textId="6C01F00A" w:rsidR="00B844B8" w:rsidRPr="00075175" w:rsidRDefault="00B844B8" w:rsidP="00075175">
                            <w:pPr>
                              <w:pStyle w:val="Caption"/>
                              <w:rPr>
                                <w:rFonts w:ascii="Times New Roman" w:hAnsi="Times New Roman" w:cs="Times New Roman"/>
                                <w:noProof/>
                                <w:color w:val="000000" w:themeColor="text1"/>
                              </w:rPr>
                            </w:pPr>
                            <w:r w:rsidRPr="00075175">
                              <w:rPr>
                                <w:color w:val="000000" w:themeColor="text1"/>
                              </w:rPr>
                              <w:t xml:space="preserve">Figure </w:t>
                            </w:r>
                            <w:r w:rsidRPr="00075175">
                              <w:rPr>
                                <w:color w:val="000000" w:themeColor="text1"/>
                              </w:rPr>
                              <w:fldChar w:fldCharType="begin"/>
                            </w:r>
                            <w:r w:rsidRPr="00075175">
                              <w:rPr>
                                <w:color w:val="000000" w:themeColor="text1"/>
                              </w:rPr>
                              <w:instrText xml:space="preserve"> SEQ Figure \* ARABIC </w:instrText>
                            </w:r>
                            <w:r w:rsidRPr="00075175">
                              <w:rPr>
                                <w:color w:val="000000" w:themeColor="text1"/>
                              </w:rPr>
                              <w:fldChar w:fldCharType="separate"/>
                            </w:r>
                            <w:r>
                              <w:rPr>
                                <w:noProof/>
                                <w:color w:val="000000" w:themeColor="text1"/>
                              </w:rPr>
                              <w:t>1</w:t>
                            </w:r>
                            <w:r w:rsidRPr="00075175">
                              <w:rPr>
                                <w:color w:val="000000" w:themeColor="text1"/>
                              </w:rPr>
                              <w:fldChar w:fldCharType="end"/>
                            </w:r>
                            <w:r w:rsidRPr="00075175">
                              <w:rPr>
                                <w:color w:val="000000" w:themeColor="text1"/>
                              </w:rPr>
                              <w:t>. Forty-eight diatom strains representing 7 Southern Ocean diatom species show extensive variabili</w:t>
                            </w:r>
                            <w:r>
                              <w:rPr>
                                <w:color w:val="000000" w:themeColor="text1"/>
                              </w:rPr>
                              <w:t>t</w:t>
                            </w:r>
                            <w:r w:rsidRPr="00075175">
                              <w:rPr>
                                <w:color w:val="000000" w:themeColor="text1"/>
                              </w:rPr>
                              <w:t>y</w:t>
                            </w:r>
                            <w:r w:rsidRPr="00075175">
                              <w:rPr>
                                <w:noProof/>
                                <w:color w:val="000000" w:themeColor="text1"/>
                              </w:rPr>
                              <w:t xml:space="preserve"> in strain specific thermal optima and maximum growth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A73D05" id="_x0000_t202" coordsize="21600,21600" o:spt="202" path="m,l,21600r21600,l21600,xe">
                <v:stroke joinstyle="miter"/>
                <v:path gradientshapeok="t" o:connecttype="rect"/>
              </v:shapetype>
              <v:shape id="Text Box 2" o:spid="_x0000_s1026" type="#_x0000_t202" style="position:absolute;left:0;text-align:left;margin-left:-.75pt;margin-top:189.25pt;width:251.2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" stroked="f">
                <v:textbox style="mso-fit-shape-to-text:t" inset="0,0,0,0">
                  <w:txbxContent>
                    <w:p w14:paraId="3DDC77E8" w14:textId="6C01F00A" w:rsidR="00B844B8" w:rsidRPr="00075175" w:rsidRDefault="00B844B8" w:rsidP="00075175">
                      <w:pPr>
                        <w:pStyle w:val="Caption"/>
                        <w:rPr>
                          <w:rFonts w:ascii="Times New Roman" w:hAnsi="Times New Roman" w:cs="Times New Roman"/>
                          <w:noProof/>
                          <w:color w:val="000000" w:themeColor="text1"/>
                        </w:rPr>
                      </w:pPr>
                      <w:r w:rsidRPr="00075175">
                        <w:rPr>
                          <w:color w:val="000000" w:themeColor="text1"/>
                        </w:rPr>
                        <w:t xml:space="preserve">Figure </w:t>
                      </w:r>
                      <w:r w:rsidRPr="00075175">
                        <w:rPr>
                          <w:color w:val="000000" w:themeColor="text1"/>
                        </w:rPr>
                        <w:fldChar w:fldCharType="begin"/>
                      </w:r>
                      <w:r w:rsidRPr="00075175">
                        <w:rPr>
                          <w:color w:val="000000" w:themeColor="text1"/>
                        </w:rPr>
                        <w:instrText xml:space="preserve"> SEQ Figure \* ARABIC </w:instrText>
                      </w:r>
                      <w:r w:rsidRPr="00075175">
                        <w:rPr>
                          <w:color w:val="000000" w:themeColor="text1"/>
                        </w:rPr>
                        <w:fldChar w:fldCharType="separate"/>
                      </w:r>
                      <w:r>
                        <w:rPr>
                          <w:noProof/>
                          <w:color w:val="000000" w:themeColor="text1"/>
                        </w:rPr>
                        <w:t>1</w:t>
                      </w:r>
                      <w:r w:rsidRPr="00075175">
                        <w:rPr>
                          <w:color w:val="000000" w:themeColor="text1"/>
                        </w:rPr>
                        <w:fldChar w:fldCharType="end"/>
                      </w:r>
                      <w:r w:rsidRPr="00075175">
                        <w:rPr>
                          <w:color w:val="000000" w:themeColor="text1"/>
                        </w:rPr>
                        <w:t>. Forty-eight diatom strains representing 7 Southern Ocean diatom species show extensive variabili</w:t>
                      </w:r>
                      <w:r>
                        <w:rPr>
                          <w:color w:val="000000" w:themeColor="text1"/>
                        </w:rPr>
                        <w:t>t</w:t>
                      </w:r>
                      <w:r w:rsidRPr="00075175">
                        <w:rPr>
                          <w:color w:val="000000" w:themeColor="text1"/>
                        </w:rPr>
                        <w:t>y</w:t>
                      </w:r>
                      <w:r w:rsidRPr="00075175">
                        <w:rPr>
                          <w:noProof/>
                          <w:color w:val="000000" w:themeColor="text1"/>
                        </w:rPr>
                        <w:t xml:space="preserve"> in strain specific thermal optima and maximum growth rate.</w:t>
                      </w:r>
                    </w:p>
                  </w:txbxContent>
                </v:textbox>
                <w10:wrap type="square"/>
              </v:shape>
            </w:pict>
          </mc:Fallback>
        </mc:AlternateContent>
      </w:r>
      <w:r w:rsidR="00B64F9D" w:rsidRPr="007604C2">
        <w:rPr>
          <w:rFonts w:cs="Arial"/>
          <w:sz w:val="22"/>
          <w:szCs w:val="22"/>
        </w:rPr>
        <w:t>In response to change, SO phytoplankton face either extinction or survival via adaptation (migration is not an option for cold-adapted organisms already up against the ice). Hence, any prediction of phytoplankton abundance, diversity and distribution must rely on an estimate of adaptive potential across the</w:t>
      </w:r>
      <w:r w:rsidR="00C14110" w:rsidRPr="007604C2">
        <w:rPr>
          <w:rFonts w:cs="Arial"/>
          <w:sz w:val="22"/>
          <w:szCs w:val="22"/>
        </w:rPr>
        <w:t xml:space="preserve"> regional</w:t>
      </w:r>
      <w:r w:rsidR="00B64F9D" w:rsidRPr="007604C2">
        <w:rPr>
          <w:rFonts w:cs="Arial"/>
          <w:sz w:val="22"/>
          <w:szCs w:val="22"/>
        </w:rPr>
        <w:t xml:space="preserve"> communi</w:t>
      </w:r>
      <w:r w:rsidR="00C14110" w:rsidRPr="007604C2">
        <w:rPr>
          <w:rFonts w:cs="Arial"/>
          <w:sz w:val="22"/>
          <w:szCs w:val="22"/>
        </w:rPr>
        <w:t>ties</w:t>
      </w:r>
      <w:r w:rsidR="00B64F9D" w:rsidRPr="007604C2">
        <w:rPr>
          <w:rFonts w:cs="Arial"/>
          <w:sz w:val="22"/>
          <w:szCs w:val="22"/>
        </w:rPr>
        <w:t>.</w:t>
      </w:r>
      <w:r w:rsidR="00002467" w:rsidRPr="007604C2">
        <w:rPr>
          <w:rFonts w:cs="Arial"/>
          <w:sz w:val="22"/>
          <w:szCs w:val="22"/>
        </w:rPr>
        <w:t xml:space="preserve"> </w:t>
      </w:r>
      <w:r w:rsidR="00B05FEC" w:rsidRPr="007604C2">
        <w:rPr>
          <w:rFonts w:cs="Arial"/>
          <w:sz w:val="22"/>
          <w:szCs w:val="22"/>
        </w:rPr>
        <w:t xml:space="preserve">One indication that phytoplankton species maintain the capacity to adapt to expected changes in SST is recently observed intraspecific variability in thermal plasticity (Fig. 1). These (unpublished) results document </w:t>
      </w:r>
      <w:r w:rsidR="00002467" w:rsidRPr="007604C2">
        <w:rPr>
          <w:rFonts w:cs="Arial"/>
          <w:sz w:val="22"/>
          <w:szCs w:val="22"/>
        </w:rPr>
        <w:t>unexpectedly large intra- and inter-specific variation in thermal tolerance in</w:t>
      </w:r>
      <w:r w:rsidR="00A4023C" w:rsidRPr="007604C2">
        <w:rPr>
          <w:rFonts w:cs="Arial"/>
          <w:sz w:val="22"/>
          <w:szCs w:val="22"/>
        </w:rPr>
        <w:t xml:space="preserve"> several diatom species</w:t>
      </w:r>
      <w:r w:rsidR="00002467" w:rsidRPr="007604C2">
        <w:rPr>
          <w:rFonts w:cs="Arial"/>
          <w:sz w:val="22"/>
          <w:szCs w:val="22"/>
        </w:rPr>
        <w:t>. This standing plasticity in response to what will mostly likely be the dominant driver of environmental change represents</w:t>
      </w:r>
      <w:r w:rsidR="00A4023C" w:rsidRPr="007604C2">
        <w:rPr>
          <w:rFonts w:cs="Arial"/>
          <w:sz w:val="22"/>
          <w:szCs w:val="22"/>
        </w:rPr>
        <w:t xml:space="preserve"> a possible major source of variation upon which selection can act, </w:t>
      </w:r>
      <w:r w:rsidR="00002467" w:rsidRPr="007604C2">
        <w:rPr>
          <w:rFonts w:cs="Arial"/>
          <w:sz w:val="22"/>
          <w:szCs w:val="22"/>
        </w:rPr>
        <w:t>likely more relevant to</w:t>
      </w:r>
      <w:r w:rsidR="00A4023C" w:rsidRPr="007604C2">
        <w:rPr>
          <w:rFonts w:cs="Arial"/>
          <w:sz w:val="22"/>
          <w:szCs w:val="22"/>
        </w:rPr>
        <w:t xml:space="preserve"> adaptive potential than </w:t>
      </w:r>
      <w:r w:rsidR="00002467" w:rsidRPr="007604C2">
        <w:rPr>
          <w:rFonts w:cs="Arial"/>
          <w:sz w:val="22"/>
          <w:szCs w:val="22"/>
        </w:rPr>
        <w:t xml:space="preserve">beneficial </w:t>
      </w:r>
      <w:r w:rsidR="00A4023C" w:rsidRPr="007604C2">
        <w:rPr>
          <w:rFonts w:cs="Arial"/>
          <w:sz w:val="22"/>
          <w:szCs w:val="22"/>
        </w:rPr>
        <w:t xml:space="preserve">de novo mutation (Barrett </w:t>
      </w:r>
      <w:r w:rsidR="00C14110" w:rsidRPr="007604C2">
        <w:rPr>
          <w:rFonts w:cs="Arial"/>
          <w:sz w:val="22"/>
          <w:szCs w:val="22"/>
        </w:rPr>
        <w:t>&amp;</w:t>
      </w:r>
      <w:r w:rsidR="00A4023C" w:rsidRPr="007604C2">
        <w:rPr>
          <w:rFonts w:cs="Arial"/>
          <w:sz w:val="22"/>
          <w:szCs w:val="22"/>
        </w:rPr>
        <w:t xml:space="preserve"> Schluter 2008; </w:t>
      </w:r>
      <w:proofErr w:type="spellStart"/>
      <w:r w:rsidR="00A4023C" w:rsidRPr="007604C2">
        <w:rPr>
          <w:rFonts w:cs="Arial"/>
          <w:sz w:val="22"/>
          <w:szCs w:val="22"/>
        </w:rPr>
        <w:t>Matuszewski</w:t>
      </w:r>
      <w:proofErr w:type="spellEnd"/>
      <w:r w:rsidR="00A4023C" w:rsidRPr="007604C2">
        <w:rPr>
          <w:rFonts w:cs="Arial"/>
          <w:sz w:val="22"/>
          <w:szCs w:val="22"/>
        </w:rPr>
        <w:t xml:space="preserve"> et al. (2015).</w:t>
      </w:r>
      <w:r w:rsidR="00FD0FA5" w:rsidRPr="007604C2">
        <w:rPr>
          <w:rFonts w:cs="Arial"/>
          <w:sz w:val="22"/>
          <w:szCs w:val="22"/>
        </w:rPr>
        <w:t xml:space="preserve"> </w:t>
      </w:r>
    </w:p>
    <w:p w14:paraId="6BE3E316" w14:textId="0FE414B1" w:rsidR="00A4023C" w:rsidRPr="007604C2" w:rsidRDefault="00A4023C" w:rsidP="00136182">
      <w:pPr>
        <w:ind w:firstLine="540"/>
        <w:rPr>
          <w:rFonts w:cs="Arial"/>
          <w:sz w:val="22"/>
          <w:szCs w:val="22"/>
        </w:rPr>
      </w:pPr>
      <w:r w:rsidRPr="007604C2">
        <w:rPr>
          <w:rFonts w:cs="Arial"/>
          <w:sz w:val="22"/>
          <w:szCs w:val="22"/>
        </w:rPr>
        <w:t>While</w:t>
      </w:r>
      <w:r w:rsidR="00C14110" w:rsidRPr="007604C2">
        <w:rPr>
          <w:rFonts w:cs="Arial"/>
          <w:sz w:val="22"/>
          <w:szCs w:val="22"/>
        </w:rPr>
        <w:t xml:space="preserve"> appreciation for</w:t>
      </w:r>
      <w:r w:rsidRPr="007604C2">
        <w:rPr>
          <w:rFonts w:cs="Arial"/>
          <w:sz w:val="22"/>
          <w:szCs w:val="22"/>
        </w:rPr>
        <w:t xml:space="preserve"> </w:t>
      </w:r>
      <w:r w:rsidR="00C14110" w:rsidRPr="007604C2">
        <w:rPr>
          <w:rFonts w:cs="Arial"/>
          <w:sz w:val="22"/>
          <w:szCs w:val="22"/>
        </w:rPr>
        <w:t>polar diatom</w:t>
      </w:r>
      <w:r w:rsidRPr="007604C2">
        <w:rPr>
          <w:rFonts w:cs="Arial"/>
          <w:sz w:val="22"/>
          <w:szCs w:val="22"/>
        </w:rPr>
        <w:t xml:space="preserve"> phenotypic plasticity </w:t>
      </w:r>
      <w:r w:rsidR="00DA2D50" w:rsidRPr="007604C2">
        <w:rPr>
          <w:rFonts w:cs="Arial"/>
          <w:sz w:val="22"/>
          <w:szCs w:val="22"/>
        </w:rPr>
        <w:t xml:space="preserve">is slowly </w:t>
      </w:r>
      <w:r w:rsidR="00C14110" w:rsidRPr="007604C2">
        <w:rPr>
          <w:rFonts w:cs="Arial"/>
          <w:sz w:val="22"/>
          <w:szCs w:val="22"/>
        </w:rPr>
        <w:t>increasing</w:t>
      </w:r>
      <w:r w:rsidRPr="007604C2">
        <w:rPr>
          <w:rFonts w:cs="Arial"/>
          <w:sz w:val="22"/>
          <w:szCs w:val="22"/>
        </w:rPr>
        <w:t xml:space="preserve">, mechanisms that underpin it, namely standing heritable genetic and epigenetic variation and its spatial structure, are </w:t>
      </w:r>
      <w:r w:rsidR="00DA2D50" w:rsidRPr="007604C2">
        <w:rPr>
          <w:rFonts w:cs="Arial"/>
          <w:sz w:val="22"/>
          <w:szCs w:val="22"/>
        </w:rPr>
        <w:t xml:space="preserve">currently </w:t>
      </w:r>
      <w:r w:rsidRPr="007604C2">
        <w:rPr>
          <w:rFonts w:cs="Arial"/>
          <w:sz w:val="22"/>
          <w:szCs w:val="22"/>
        </w:rPr>
        <w:t>poorly understood. Traditional methods (e.g. microsatellites</w:t>
      </w:r>
      <w:r w:rsidR="00C14110" w:rsidRPr="007604C2">
        <w:rPr>
          <w:rFonts w:cs="Arial"/>
          <w:sz w:val="22"/>
          <w:szCs w:val="22"/>
        </w:rPr>
        <w:t xml:space="preserve"> and</w:t>
      </w:r>
      <w:r w:rsidRPr="007604C2">
        <w:rPr>
          <w:rFonts w:cs="Arial"/>
          <w:sz w:val="22"/>
          <w:szCs w:val="22"/>
        </w:rPr>
        <w:t xml:space="preserve"> amplified fragment length polymorphisms, AFLP) have documented genetic differentiation</w:t>
      </w:r>
      <w:r w:rsidR="0005031C" w:rsidRPr="007604C2">
        <w:rPr>
          <w:rFonts w:cs="Arial"/>
          <w:sz w:val="22"/>
          <w:szCs w:val="22"/>
        </w:rPr>
        <w:t xml:space="preserve"> in diatoms</w:t>
      </w:r>
      <w:r w:rsidRPr="007604C2">
        <w:rPr>
          <w:rFonts w:cs="Arial"/>
          <w:sz w:val="22"/>
          <w:szCs w:val="22"/>
        </w:rPr>
        <w:t xml:space="preserve"> at both local</w:t>
      </w:r>
      <w:r w:rsidR="0083232E" w:rsidRPr="007604C2">
        <w:rPr>
          <w:rFonts w:cs="Arial"/>
          <w:sz w:val="22"/>
          <w:szCs w:val="22"/>
        </w:rPr>
        <w:t xml:space="preserve"> and global </w:t>
      </w:r>
      <w:r w:rsidRPr="007604C2">
        <w:rPr>
          <w:rFonts w:cs="Arial"/>
          <w:sz w:val="22"/>
          <w:szCs w:val="22"/>
        </w:rPr>
        <w:t>scales (</w:t>
      </w:r>
      <w:r w:rsidR="000F5913" w:rsidRPr="007604C2">
        <w:rPr>
          <w:rFonts w:cs="Arial"/>
          <w:sz w:val="22"/>
          <w:szCs w:val="22"/>
        </w:rPr>
        <w:t xml:space="preserve">Rynearson </w:t>
      </w:r>
      <w:r w:rsidR="00C14110" w:rsidRPr="007604C2">
        <w:rPr>
          <w:rFonts w:cs="Arial"/>
          <w:sz w:val="22"/>
          <w:szCs w:val="22"/>
        </w:rPr>
        <w:t>&amp;</w:t>
      </w:r>
      <w:r w:rsidR="000F5913" w:rsidRPr="007604C2">
        <w:rPr>
          <w:rFonts w:cs="Arial"/>
          <w:sz w:val="22"/>
          <w:szCs w:val="22"/>
        </w:rPr>
        <w:t xml:space="preserve"> Armbrust</w:t>
      </w:r>
      <w:r w:rsidR="0087581A" w:rsidRPr="007604C2">
        <w:rPr>
          <w:rFonts w:cs="Arial"/>
          <w:sz w:val="22"/>
          <w:szCs w:val="22"/>
        </w:rPr>
        <w:t xml:space="preserve"> 2000</w:t>
      </w:r>
      <w:r w:rsidRPr="007604C2">
        <w:rPr>
          <w:rFonts w:cs="Arial"/>
          <w:sz w:val="22"/>
          <w:szCs w:val="22"/>
        </w:rPr>
        <w:t xml:space="preserve">, </w:t>
      </w:r>
      <w:r w:rsidR="0087581A" w:rsidRPr="007604C2">
        <w:rPr>
          <w:rFonts w:cs="Arial"/>
          <w:sz w:val="22"/>
          <w:szCs w:val="22"/>
        </w:rPr>
        <w:t xml:space="preserve">Rynearson </w:t>
      </w:r>
      <w:r w:rsidR="00C14110" w:rsidRPr="007604C2">
        <w:rPr>
          <w:rFonts w:cs="Arial"/>
          <w:sz w:val="22"/>
          <w:szCs w:val="22"/>
        </w:rPr>
        <w:t>&amp;</w:t>
      </w:r>
      <w:r w:rsidR="0087581A" w:rsidRPr="007604C2">
        <w:rPr>
          <w:rFonts w:cs="Arial"/>
          <w:sz w:val="22"/>
          <w:szCs w:val="22"/>
        </w:rPr>
        <w:t xml:space="preserve"> Armbrust 2004</w:t>
      </w:r>
      <w:r w:rsidRPr="007604C2">
        <w:rPr>
          <w:rFonts w:cs="Arial"/>
          <w:sz w:val="22"/>
          <w:szCs w:val="22"/>
        </w:rPr>
        <w:t xml:space="preserve">, </w:t>
      </w:r>
      <w:r w:rsidR="000F5913" w:rsidRPr="007604C2">
        <w:rPr>
          <w:rFonts w:cs="Arial"/>
          <w:sz w:val="22"/>
          <w:szCs w:val="22"/>
        </w:rPr>
        <w:t xml:space="preserve">Whitaker </w:t>
      </w:r>
      <w:r w:rsidR="00C14110" w:rsidRPr="007604C2">
        <w:rPr>
          <w:rFonts w:cs="Arial"/>
          <w:sz w:val="22"/>
          <w:szCs w:val="22"/>
        </w:rPr>
        <w:t>&amp;</w:t>
      </w:r>
      <w:r w:rsidR="000F5913" w:rsidRPr="007604C2">
        <w:rPr>
          <w:rFonts w:cs="Arial"/>
          <w:sz w:val="22"/>
          <w:szCs w:val="22"/>
        </w:rPr>
        <w:t xml:space="preserve"> Rynearson 2017</w:t>
      </w:r>
      <w:r w:rsidRPr="007604C2">
        <w:rPr>
          <w:rFonts w:cs="Arial"/>
          <w:sz w:val="22"/>
          <w:szCs w:val="22"/>
        </w:rPr>
        <w:t>)</w:t>
      </w:r>
      <w:r w:rsidR="0083232E" w:rsidRPr="007604C2">
        <w:rPr>
          <w:rFonts w:cs="Arial"/>
          <w:sz w:val="22"/>
          <w:szCs w:val="22"/>
        </w:rPr>
        <w:t>, sometimes stably persisting for nearly a century</w:t>
      </w:r>
      <w:r w:rsidR="00C14110" w:rsidRPr="007604C2">
        <w:rPr>
          <w:rFonts w:cs="Arial"/>
          <w:sz w:val="22"/>
          <w:szCs w:val="22"/>
        </w:rPr>
        <w:t>, or 40,000+ generations</w:t>
      </w:r>
      <w:r w:rsidR="0083232E" w:rsidRPr="007604C2">
        <w:rPr>
          <w:rFonts w:cs="Arial"/>
          <w:sz w:val="22"/>
          <w:szCs w:val="22"/>
        </w:rPr>
        <w:t xml:space="preserve"> (Härnström et al. 2011)</w:t>
      </w:r>
      <w:r w:rsidRPr="007604C2">
        <w:rPr>
          <w:rFonts w:cs="Arial"/>
          <w:sz w:val="22"/>
          <w:szCs w:val="22"/>
        </w:rPr>
        <w:t>.</w:t>
      </w:r>
      <w:r w:rsidR="00C14110" w:rsidRPr="007604C2">
        <w:rPr>
          <w:rFonts w:cs="Arial"/>
          <w:sz w:val="22"/>
          <w:szCs w:val="22"/>
        </w:rPr>
        <w:t xml:space="preserve"> Global patterns of i</w:t>
      </w:r>
      <w:r w:rsidR="001C4754" w:rsidRPr="007604C2">
        <w:rPr>
          <w:rFonts w:cs="Arial"/>
          <w:sz w:val="22"/>
          <w:szCs w:val="22"/>
        </w:rPr>
        <w:t xml:space="preserve">solation by distance </w:t>
      </w:r>
      <w:r w:rsidR="00C14110" w:rsidRPr="007604C2">
        <w:rPr>
          <w:rFonts w:cs="Arial"/>
          <w:sz w:val="22"/>
          <w:szCs w:val="22"/>
        </w:rPr>
        <w:t>have also been documented</w:t>
      </w:r>
      <w:r w:rsidR="001C4754" w:rsidRPr="007604C2">
        <w:rPr>
          <w:rFonts w:cs="Arial"/>
          <w:sz w:val="22"/>
          <w:szCs w:val="22"/>
        </w:rPr>
        <w:t xml:space="preserve"> (</w:t>
      </w:r>
      <w:r w:rsidR="00823F13" w:rsidRPr="007604C2">
        <w:rPr>
          <w:rFonts w:cs="Arial"/>
          <w:sz w:val="22"/>
          <w:szCs w:val="22"/>
        </w:rPr>
        <w:t>Casteleyn et al. 2010</w:t>
      </w:r>
      <w:r w:rsidR="001C4754" w:rsidRPr="007604C2">
        <w:rPr>
          <w:rFonts w:cs="Arial"/>
          <w:sz w:val="22"/>
          <w:szCs w:val="22"/>
        </w:rPr>
        <w:t xml:space="preserve">). These findings in conjunction with </w:t>
      </w:r>
      <w:r w:rsidR="00C14110" w:rsidRPr="007604C2">
        <w:rPr>
          <w:rFonts w:cs="Arial"/>
          <w:sz w:val="22"/>
          <w:szCs w:val="22"/>
        </w:rPr>
        <w:t>short</w:t>
      </w:r>
      <w:r w:rsidR="001C4754" w:rsidRPr="007604C2">
        <w:rPr>
          <w:rFonts w:cs="Arial"/>
          <w:sz w:val="22"/>
          <w:szCs w:val="22"/>
        </w:rPr>
        <w:t xml:space="preserve"> generation times and the widely differing environmental conditions among </w:t>
      </w:r>
      <w:r w:rsidR="00C14110" w:rsidRPr="007604C2">
        <w:rPr>
          <w:rFonts w:cs="Arial"/>
          <w:sz w:val="22"/>
          <w:szCs w:val="22"/>
        </w:rPr>
        <w:t>SO</w:t>
      </w:r>
      <w:r w:rsidR="001C4754" w:rsidRPr="007604C2">
        <w:rPr>
          <w:rFonts w:cs="Arial"/>
          <w:sz w:val="22"/>
          <w:szCs w:val="22"/>
        </w:rPr>
        <w:t xml:space="preserve"> sub-basins support the prediction that strongly differentiated diatom populations exist in the Antarctic.</w:t>
      </w:r>
    </w:p>
    <w:p w14:paraId="0E3134D4" w14:textId="56BE7985" w:rsidR="001C4754" w:rsidRPr="007604C2" w:rsidRDefault="00A4023C" w:rsidP="00136182">
      <w:pPr>
        <w:ind w:firstLine="540"/>
        <w:rPr>
          <w:rFonts w:cs="Arial"/>
          <w:sz w:val="22"/>
          <w:szCs w:val="22"/>
        </w:rPr>
      </w:pPr>
      <w:r w:rsidRPr="007604C2">
        <w:rPr>
          <w:rFonts w:cs="Arial"/>
          <w:sz w:val="22"/>
          <w:szCs w:val="22"/>
        </w:rPr>
        <w:t xml:space="preserve">More nebulous is the extent to which heritable epigenetic variation has contributed to local adaptation and </w:t>
      </w:r>
      <w:r w:rsidR="001C4754" w:rsidRPr="007604C2">
        <w:rPr>
          <w:rFonts w:cs="Arial"/>
          <w:sz w:val="22"/>
          <w:szCs w:val="22"/>
        </w:rPr>
        <w:t>phenotypic plasticity in diatoms, polar or otherwise. To date, methylation patterns have been documented in only a choice few model diatom species,</w:t>
      </w:r>
      <w:r w:rsidR="002D5ED2" w:rsidRPr="007604C2">
        <w:rPr>
          <w:rFonts w:cs="Arial"/>
          <w:sz w:val="22"/>
          <w:szCs w:val="22"/>
        </w:rPr>
        <w:t xml:space="preserve"> where genome-wide methylation ranges from 1-50% (</w:t>
      </w:r>
      <w:r w:rsidR="001E62FF" w:rsidRPr="007604C2">
        <w:rPr>
          <w:rFonts w:cs="Arial"/>
          <w:sz w:val="22"/>
          <w:szCs w:val="22"/>
        </w:rPr>
        <w:t>Rastogi et al. 2015</w:t>
      </w:r>
      <w:r w:rsidR="002D5ED2" w:rsidRPr="007604C2">
        <w:rPr>
          <w:rFonts w:cs="Arial"/>
          <w:sz w:val="22"/>
          <w:szCs w:val="22"/>
        </w:rPr>
        <w:t xml:space="preserve">). </w:t>
      </w:r>
      <w:r w:rsidR="00FD0FA5" w:rsidRPr="007604C2">
        <w:rPr>
          <w:rFonts w:cs="Arial"/>
          <w:sz w:val="22"/>
          <w:szCs w:val="22"/>
        </w:rPr>
        <w:t xml:space="preserve">Where abundant, regions of high methylation are found in both coding regions, but also in a diverse assemblage of transposable elements, both of which </w:t>
      </w:r>
      <w:r w:rsidR="000068D6" w:rsidRPr="007604C2">
        <w:rPr>
          <w:rFonts w:cs="Arial"/>
          <w:sz w:val="22"/>
          <w:szCs w:val="22"/>
        </w:rPr>
        <w:t>are</w:t>
      </w:r>
      <w:r w:rsidR="00FD0FA5" w:rsidRPr="007604C2">
        <w:rPr>
          <w:rFonts w:cs="Arial"/>
          <w:sz w:val="22"/>
          <w:szCs w:val="22"/>
        </w:rPr>
        <w:t xml:space="preserve"> regions where </w:t>
      </w:r>
      <w:r w:rsidR="001C4754" w:rsidRPr="007604C2">
        <w:rPr>
          <w:rFonts w:cs="Arial"/>
          <w:sz w:val="22"/>
          <w:szCs w:val="22"/>
        </w:rPr>
        <w:t xml:space="preserve">heritable </w:t>
      </w:r>
      <w:r w:rsidR="00FD0FA5" w:rsidRPr="007604C2">
        <w:rPr>
          <w:rFonts w:cs="Arial"/>
          <w:sz w:val="22"/>
          <w:szCs w:val="22"/>
        </w:rPr>
        <w:t>epialleles</w:t>
      </w:r>
      <w:r w:rsidR="001C4754" w:rsidRPr="007604C2">
        <w:rPr>
          <w:rFonts w:cs="Arial"/>
          <w:sz w:val="22"/>
          <w:szCs w:val="22"/>
        </w:rPr>
        <w:t xml:space="preserve"> can</w:t>
      </w:r>
      <w:r w:rsidR="00FD0FA5" w:rsidRPr="007604C2">
        <w:rPr>
          <w:rFonts w:cs="Arial"/>
          <w:sz w:val="22"/>
          <w:szCs w:val="22"/>
        </w:rPr>
        <w:t xml:space="preserve"> </w:t>
      </w:r>
      <w:r w:rsidR="00F72DAB" w:rsidRPr="007604C2">
        <w:rPr>
          <w:rFonts w:cs="Arial"/>
          <w:sz w:val="22"/>
          <w:szCs w:val="22"/>
        </w:rPr>
        <w:t xml:space="preserve">alter expression and drive </w:t>
      </w:r>
      <w:r w:rsidR="001C4754" w:rsidRPr="007604C2">
        <w:rPr>
          <w:rFonts w:cs="Arial"/>
          <w:sz w:val="22"/>
          <w:szCs w:val="22"/>
        </w:rPr>
        <w:t xml:space="preserve">phenotypic </w:t>
      </w:r>
      <w:r w:rsidR="002D5ED2" w:rsidRPr="007604C2">
        <w:rPr>
          <w:rFonts w:cs="Arial"/>
          <w:sz w:val="22"/>
          <w:szCs w:val="22"/>
        </w:rPr>
        <w:t>plasticity</w:t>
      </w:r>
      <w:r w:rsidR="00F72DAB" w:rsidRPr="007604C2">
        <w:rPr>
          <w:rFonts w:cs="Arial"/>
          <w:sz w:val="22"/>
          <w:szCs w:val="22"/>
        </w:rPr>
        <w:t xml:space="preserve"> </w:t>
      </w:r>
      <w:r w:rsidR="001C4754" w:rsidRPr="007604C2">
        <w:rPr>
          <w:rFonts w:cs="Arial"/>
          <w:sz w:val="22"/>
          <w:szCs w:val="22"/>
        </w:rPr>
        <w:t>(</w:t>
      </w:r>
      <w:proofErr w:type="spellStart"/>
      <w:r w:rsidR="001C4754" w:rsidRPr="007604C2">
        <w:rPr>
          <w:rFonts w:cs="Arial"/>
          <w:sz w:val="22"/>
          <w:szCs w:val="22"/>
        </w:rPr>
        <w:t>Traller</w:t>
      </w:r>
      <w:proofErr w:type="spellEnd"/>
      <w:r w:rsidR="001C4754" w:rsidRPr="007604C2">
        <w:rPr>
          <w:rFonts w:cs="Arial"/>
          <w:sz w:val="22"/>
          <w:szCs w:val="22"/>
        </w:rPr>
        <w:t xml:space="preserve"> et al. 2016).</w:t>
      </w:r>
    </w:p>
    <w:p w14:paraId="761D78B6" w14:textId="49E7D232" w:rsidR="00994202" w:rsidRPr="007604C2" w:rsidRDefault="002D5ED2" w:rsidP="00136182">
      <w:pPr>
        <w:ind w:firstLine="540"/>
        <w:rPr>
          <w:rFonts w:cs="Arial"/>
          <w:sz w:val="22"/>
          <w:szCs w:val="22"/>
        </w:rPr>
      </w:pPr>
      <w:r w:rsidRPr="007604C2">
        <w:rPr>
          <w:rFonts w:cs="Arial"/>
          <w:sz w:val="22"/>
          <w:szCs w:val="22"/>
        </w:rPr>
        <w:lastRenderedPageBreak/>
        <w:t xml:space="preserve">What is required above all to examine the </w:t>
      </w:r>
      <w:r w:rsidR="00006BC0" w:rsidRPr="007604C2">
        <w:rPr>
          <w:rFonts w:cs="Arial"/>
          <w:sz w:val="22"/>
          <w:szCs w:val="22"/>
        </w:rPr>
        <w:t xml:space="preserve">relative contribution of </w:t>
      </w:r>
      <w:r w:rsidRPr="007604C2">
        <w:rPr>
          <w:rFonts w:cs="Arial"/>
          <w:sz w:val="22"/>
          <w:szCs w:val="22"/>
        </w:rPr>
        <w:t xml:space="preserve">epigenomic and genomic variation </w:t>
      </w:r>
      <w:r w:rsidR="00006BC0" w:rsidRPr="007604C2">
        <w:rPr>
          <w:rFonts w:cs="Arial"/>
          <w:sz w:val="22"/>
          <w:szCs w:val="22"/>
        </w:rPr>
        <w:t xml:space="preserve">to </w:t>
      </w:r>
      <w:r w:rsidRPr="007604C2">
        <w:rPr>
          <w:rFonts w:cs="Arial"/>
          <w:sz w:val="22"/>
          <w:szCs w:val="22"/>
        </w:rPr>
        <w:t xml:space="preserve">phenotypic plasticity is the implementation of modern next generation population (epi)genomic methods. </w:t>
      </w:r>
      <w:r w:rsidR="00EF69DD" w:rsidRPr="007604C2">
        <w:rPr>
          <w:rFonts w:cs="Arial"/>
          <w:sz w:val="22"/>
          <w:szCs w:val="22"/>
        </w:rPr>
        <w:t>To date, w</w:t>
      </w:r>
      <w:r w:rsidRPr="007604C2">
        <w:rPr>
          <w:rFonts w:cs="Arial"/>
          <w:sz w:val="22"/>
          <w:szCs w:val="22"/>
        </w:rPr>
        <w:t>hole-, partial- or reduced</w:t>
      </w:r>
      <w:r w:rsidR="000068D6" w:rsidRPr="007604C2">
        <w:rPr>
          <w:rFonts w:cs="Arial"/>
          <w:sz w:val="22"/>
          <w:szCs w:val="22"/>
        </w:rPr>
        <w:t>-</w:t>
      </w:r>
      <w:r w:rsidRPr="007604C2">
        <w:rPr>
          <w:rFonts w:cs="Arial"/>
          <w:sz w:val="22"/>
          <w:szCs w:val="22"/>
        </w:rPr>
        <w:t xml:space="preserve">representation sequencing </w:t>
      </w:r>
      <w:r w:rsidR="000068D6" w:rsidRPr="007604C2">
        <w:rPr>
          <w:rFonts w:cs="Arial"/>
          <w:sz w:val="22"/>
          <w:szCs w:val="22"/>
        </w:rPr>
        <w:t>have</w:t>
      </w:r>
      <w:r w:rsidRPr="007604C2">
        <w:rPr>
          <w:rFonts w:cs="Arial"/>
          <w:sz w:val="22"/>
          <w:szCs w:val="22"/>
        </w:rPr>
        <w:t xml:space="preserve"> not been applied</w:t>
      </w:r>
      <w:r w:rsidR="000068D6" w:rsidRPr="007604C2">
        <w:rPr>
          <w:rFonts w:cs="Arial"/>
          <w:sz w:val="22"/>
          <w:szCs w:val="22"/>
        </w:rPr>
        <w:t xml:space="preserve"> to</w:t>
      </w:r>
      <w:r w:rsidRPr="007604C2">
        <w:rPr>
          <w:rFonts w:cs="Arial"/>
          <w:sz w:val="22"/>
          <w:szCs w:val="22"/>
        </w:rPr>
        <w:t xml:space="preserve"> diatoms or any other eukaryotic phytoplankton</w:t>
      </w:r>
      <w:r w:rsidR="00A63964" w:rsidRPr="007604C2">
        <w:rPr>
          <w:rFonts w:cs="Arial"/>
          <w:sz w:val="22"/>
          <w:szCs w:val="22"/>
        </w:rPr>
        <w:t xml:space="preserve"> (</w:t>
      </w:r>
      <w:proofErr w:type="spellStart"/>
      <w:r w:rsidR="00A63964" w:rsidRPr="007604C2">
        <w:rPr>
          <w:rFonts w:cs="Arial"/>
          <w:sz w:val="22"/>
          <w:szCs w:val="22"/>
        </w:rPr>
        <w:t>Rengefors</w:t>
      </w:r>
      <w:proofErr w:type="spellEnd"/>
      <w:r w:rsidR="00A63964" w:rsidRPr="007604C2">
        <w:rPr>
          <w:rFonts w:cs="Arial"/>
          <w:sz w:val="22"/>
          <w:szCs w:val="22"/>
        </w:rPr>
        <w:t xml:space="preserve"> et al. (2017)</w:t>
      </w:r>
      <w:r w:rsidRPr="007604C2">
        <w:rPr>
          <w:rFonts w:cs="Arial"/>
          <w:sz w:val="22"/>
          <w:szCs w:val="22"/>
        </w:rPr>
        <w:t xml:space="preserve">, representing a major </w:t>
      </w:r>
      <w:r w:rsidR="00EF69DD" w:rsidRPr="007604C2">
        <w:rPr>
          <w:rFonts w:cs="Arial"/>
          <w:sz w:val="22"/>
          <w:szCs w:val="22"/>
        </w:rPr>
        <w:t>roadblock</w:t>
      </w:r>
      <w:r w:rsidRPr="007604C2">
        <w:rPr>
          <w:rFonts w:cs="Arial"/>
          <w:sz w:val="22"/>
          <w:szCs w:val="22"/>
        </w:rPr>
        <w:t xml:space="preserve"> </w:t>
      </w:r>
      <w:r w:rsidR="006D4045" w:rsidRPr="007604C2">
        <w:rPr>
          <w:rFonts w:cs="Arial"/>
          <w:sz w:val="22"/>
          <w:szCs w:val="22"/>
        </w:rPr>
        <w:t>to</w:t>
      </w:r>
      <w:r w:rsidRPr="007604C2">
        <w:rPr>
          <w:rFonts w:cs="Arial"/>
          <w:sz w:val="22"/>
          <w:szCs w:val="22"/>
        </w:rPr>
        <w:t xml:space="preserve"> </w:t>
      </w:r>
      <w:r w:rsidR="00EF69DD" w:rsidRPr="007604C2">
        <w:rPr>
          <w:rFonts w:cs="Arial"/>
          <w:sz w:val="22"/>
          <w:szCs w:val="22"/>
        </w:rPr>
        <w:t>algal</w:t>
      </w:r>
      <w:r w:rsidRPr="007604C2">
        <w:rPr>
          <w:rFonts w:cs="Arial"/>
          <w:sz w:val="22"/>
          <w:szCs w:val="22"/>
        </w:rPr>
        <w:t xml:space="preserve"> population ecology</w:t>
      </w:r>
      <w:r w:rsidR="00EF69DD" w:rsidRPr="007604C2">
        <w:rPr>
          <w:rFonts w:cs="Arial"/>
          <w:sz w:val="22"/>
          <w:szCs w:val="22"/>
        </w:rPr>
        <w:t xml:space="preserve"> and progress toward characterizing adaptive potential in at-risk phytoplankton across the global ocean. </w:t>
      </w:r>
    </w:p>
    <w:p w14:paraId="6E4EB50E" w14:textId="5C84D99D" w:rsidR="00DA41D7" w:rsidRPr="007604C2" w:rsidRDefault="00DA41D7" w:rsidP="00DA41D7">
      <w:pPr>
        <w:pStyle w:val="ListParagraph"/>
        <w:rPr>
          <w:rFonts w:cs="Arial"/>
          <w:sz w:val="22"/>
          <w:szCs w:val="22"/>
        </w:rPr>
      </w:pPr>
    </w:p>
    <w:p w14:paraId="7CE87DBA" w14:textId="4836F6DE" w:rsidR="00A230E7" w:rsidRPr="007604C2" w:rsidRDefault="00497363" w:rsidP="00A230E7">
      <w:pPr>
        <w:pStyle w:val="ListParagraph"/>
        <w:numPr>
          <w:ilvl w:val="0"/>
          <w:numId w:val="10"/>
        </w:numPr>
        <w:ind w:left="360"/>
        <w:rPr>
          <w:rFonts w:cs="Arial"/>
          <w:b/>
          <w:sz w:val="22"/>
          <w:szCs w:val="22"/>
        </w:rPr>
      </w:pPr>
      <w:r w:rsidRPr="007604C2">
        <w:rPr>
          <w:rFonts w:cs="Arial"/>
          <w:b/>
          <w:sz w:val="22"/>
          <w:szCs w:val="22"/>
        </w:rPr>
        <w:t>Specific Aims</w:t>
      </w:r>
    </w:p>
    <w:p w14:paraId="2B2D57BC" w14:textId="16CCE613" w:rsidR="00DA297D" w:rsidRPr="007604C2" w:rsidRDefault="00767FD3" w:rsidP="007604C2">
      <w:pPr>
        <w:rPr>
          <w:rFonts w:cs="Arial"/>
          <w:sz w:val="22"/>
          <w:szCs w:val="22"/>
        </w:rPr>
      </w:pPr>
      <w:r w:rsidRPr="007604C2">
        <w:rPr>
          <w:rFonts w:cs="Arial"/>
          <w:sz w:val="22"/>
          <w:szCs w:val="22"/>
        </w:rPr>
        <w:t>W</w:t>
      </w:r>
      <w:r w:rsidR="00DA297D" w:rsidRPr="007604C2">
        <w:rPr>
          <w:rFonts w:cs="Arial"/>
          <w:sz w:val="22"/>
          <w:szCs w:val="22"/>
        </w:rPr>
        <w:t xml:space="preserve">e seek to </w:t>
      </w:r>
      <w:r w:rsidR="00326C2C" w:rsidRPr="007604C2">
        <w:rPr>
          <w:rFonts w:cs="Arial"/>
          <w:sz w:val="22"/>
          <w:szCs w:val="22"/>
        </w:rPr>
        <w:t xml:space="preserve">determine circumpolar population structure in </w:t>
      </w:r>
      <w:r w:rsidR="00BC7766" w:rsidRPr="007604C2">
        <w:rPr>
          <w:rFonts w:cs="Arial"/>
          <w:sz w:val="22"/>
          <w:szCs w:val="22"/>
        </w:rPr>
        <w:t>SO diatoms</w:t>
      </w:r>
      <w:r w:rsidR="00326C2C" w:rsidRPr="007604C2">
        <w:rPr>
          <w:rFonts w:cs="Arial"/>
          <w:sz w:val="22"/>
          <w:szCs w:val="22"/>
        </w:rPr>
        <w:t xml:space="preserve"> and how epigenetic variation maps onto that structure. </w:t>
      </w:r>
      <w:r w:rsidR="00BC7766" w:rsidRPr="007604C2">
        <w:rPr>
          <w:rFonts w:cs="Arial"/>
          <w:sz w:val="22"/>
          <w:szCs w:val="22"/>
        </w:rPr>
        <w:t>W</w:t>
      </w:r>
      <w:r w:rsidR="00326C2C" w:rsidRPr="007604C2">
        <w:rPr>
          <w:rFonts w:cs="Arial"/>
          <w:sz w:val="22"/>
          <w:szCs w:val="22"/>
        </w:rPr>
        <w:t xml:space="preserve">e know already that diatoms across the SO are phenotypically diverse and are </w:t>
      </w:r>
      <w:r w:rsidR="000068D6" w:rsidRPr="007604C2">
        <w:rPr>
          <w:rFonts w:cs="Arial"/>
          <w:sz w:val="22"/>
          <w:szCs w:val="22"/>
        </w:rPr>
        <w:t>possibly</w:t>
      </w:r>
      <w:r w:rsidR="00BC7766" w:rsidRPr="007604C2">
        <w:rPr>
          <w:rFonts w:cs="Arial"/>
          <w:sz w:val="22"/>
          <w:szCs w:val="22"/>
        </w:rPr>
        <w:t xml:space="preserve"> </w:t>
      </w:r>
      <w:r w:rsidR="00326C2C" w:rsidRPr="007604C2">
        <w:rPr>
          <w:rFonts w:cs="Arial"/>
          <w:sz w:val="22"/>
          <w:szCs w:val="22"/>
        </w:rPr>
        <w:t xml:space="preserve">locally adapted </w:t>
      </w:r>
      <w:r w:rsidR="00BC7766" w:rsidRPr="007604C2">
        <w:rPr>
          <w:rFonts w:cs="Arial"/>
          <w:sz w:val="22"/>
          <w:szCs w:val="22"/>
        </w:rPr>
        <w:t>across the region, but specific nucleotide and methylation polymorphic patterns are unknown. This knowledge gap is in part due to long held beliefs about robust gene flow in microbes and slow adoption of NGS methods to determine otherwise. We propose the following:</w:t>
      </w:r>
    </w:p>
    <w:p w14:paraId="0546B65E" w14:textId="04CED725" w:rsidR="00A230E7" w:rsidRPr="007604C2" w:rsidRDefault="00A230E7" w:rsidP="00A230E7">
      <w:pPr>
        <w:rPr>
          <w:rFonts w:cs="Arial"/>
          <w:sz w:val="22"/>
          <w:szCs w:val="22"/>
        </w:rPr>
      </w:pPr>
    </w:p>
    <w:p w14:paraId="0E205340" w14:textId="584EDF36" w:rsidR="00A230E7" w:rsidRPr="007604C2" w:rsidRDefault="00A230E7" w:rsidP="00A230E7">
      <w:pPr>
        <w:rPr>
          <w:rFonts w:cs="Arial"/>
          <w:sz w:val="22"/>
          <w:szCs w:val="22"/>
        </w:rPr>
      </w:pPr>
      <w:r w:rsidRPr="007604C2">
        <w:rPr>
          <w:rFonts w:cs="Arial"/>
          <w:b/>
          <w:i/>
          <w:sz w:val="22"/>
          <w:szCs w:val="22"/>
        </w:rPr>
        <w:t>Specific Aim 1:</w:t>
      </w:r>
      <w:r w:rsidRPr="007604C2">
        <w:rPr>
          <w:rFonts w:cs="Arial"/>
          <w:sz w:val="22"/>
          <w:szCs w:val="22"/>
        </w:rPr>
        <w:t xml:space="preserve"> To optimize and apply cost-efficient next generation population genomic method</w:t>
      </w:r>
      <w:r w:rsidR="000068D6" w:rsidRPr="007604C2">
        <w:rPr>
          <w:rFonts w:cs="Arial"/>
          <w:sz w:val="22"/>
          <w:szCs w:val="22"/>
        </w:rPr>
        <w:t>ology</w:t>
      </w:r>
      <w:r w:rsidRPr="007604C2">
        <w:rPr>
          <w:rFonts w:cs="Arial"/>
          <w:sz w:val="22"/>
          <w:szCs w:val="22"/>
        </w:rPr>
        <w:t xml:space="preserve"> to measure population structure in common planktonic diatoms in the Southern Ocean.</w:t>
      </w:r>
    </w:p>
    <w:p w14:paraId="62F1CC71" w14:textId="713D0482" w:rsidR="00A230E7" w:rsidRPr="007604C2" w:rsidRDefault="00A230E7" w:rsidP="00A230E7">
      <w:pPr>
        <w:rPr>
          <w:rFonts w:cs="Arial"/>
          <w:sz w:val="22"/>
          <w:szCs w:val="22"/>
        </w:rPr>
      </w:pPr>
    </w:p>
    <w:p w14:paraId="1AB19781" w14:textId="387FB950" w:rsidR="00A230E7" w:rsidRPr="007604C2" w:rsidRDefault="00A230E7" w:rsidP="00A230E7">
      <w:pPr>
        <w:rPr>
          <w:rFonts w:cs="Arial"/>
          <w:b/>
          <w:sz w:val="22"/>
          <w:szCs w:val="22"/>
        </w:rPr>
      </w:pPr>
      <w:r w:rsidRPr="007604C2">
        <w:rPr>
          <w:rFonts w:cs="Arial"/>
          <w:b/>
          <w:i/>
          <w:sz w:val="22"/>
          <w:szCs w:val="22"/>
        </w:rPr>
        <w:t>Specific Aim 2:</w:t>
      </w:r>
      <w:r w:rsidRPr="007604C2">
        <w:rPr>
          <w:rFonts w:cs="Arial"/>
          <w:sz w:val="22"/>
          <w:szCs w:val="22"/>
        </w:rPr>
        <w:t xml:space="preserve"> To examine</w:t>
      </w:r>
      <w:r w:rsidR="000068D6" w:rsidRPr="007604C2">
        <w:rPr>
          <w:rFonts w:cs="Arial"/>
          <w:sz w:val="22"/>
          <w:szCs w:val="22"/>
        </w:rPr>
        <w:t xml:space="preserve"> genome-wide patterns in</w:t>
      </w:r>
      <w:r w:rsidRPr="007604C2">
        <w:rPr>
          <w:rFonts w:cs="Arial"/>
          <w:sz w:val="22"/>
          <w:szCs w:val="22"/>
        </w:rPr>
        <w:t xml:space="preserve"> epigenetic variation across </w:t>
      </w:r>
      <w:r w:rsidR="000068D6" w:rsidRPr="007604C2">
        <w:rPr>
          <w:rFonts w:cs="Arial"/>
          <w:sz w:val="22"/>
          <w:szCs w:val="22"/>
        </w:rPr>
        <w:t>locally adapted</w:t>
      </w:r>
      <w:r w:rsidRPr="007604C2">
        <w:rPr>
          <w:rFonts w:cs="Arial"/>
          <w:sz w:val="22"/>
          <w:szCs w:val="22"/>
        </w:rPr>
        <w:t xml:space="preserve"> </w:t>
      </w:r>
      <w:r w:rsidR="000068D6" w:rsidRPr="007604C2">
        <w:rPr>
          <w:rFonts w:cs="Arial"/>
          <w:sz w:val="22"/>
          <w:szCs w:val="22"/>
        </w:rPr>
        <w:t>populations</w:t>
      </w:r>
      <w:r w:rsidRPr="007604C2">
        <w:rPr>
          <w:rFonts w:cs="Arial"/>
          <w:sz w:val="22"/>
          <w:szCs w:val="22"/>
        </w:rPr>
        <w:t xml:space="preserve"> </w:t>
      </w:r>
      <w:r w:rsidR="000068D6" w:rsidRPr="007604C2">
        <w:rPr>
          <w:rFonts w:cs="Arial"/>
          <w:sz w:val="22"/>
          <w:szCs w:val="22"/>
        </w:rPr>
        <w:t>of</w:t>
      </w:r>
      <w:r w:rsidRPr="007604C2">
        <w:rPr>
          <w:rFonts w:cs="Arial"/>
          <w:sz w:val="22"/>
          <w:szCs w:val="22"/>
        </w:rPr>
        <w:t xml:space="preserve"> common planktonic diatoms in the Southern Ocean</w:t>
      </w:r>
      <w:r w:rsidR="000068D6" w:rsidRPr="007604C2">
        <w:rPr>
          <w:rFonts w:cs="Arial"/>
          <w:sz w:val="22"/>
          <w:szCs w:val="22"/>
        </w:rPr>
        <w:t>.</w:t>
      </w:r>
    </w:p>
    <w:p w14:paraId="04EC51CA" w14:textId="77EA3998" w:rsidR="00A230E7" w:rsidRPr="007604C2" w:rsidRDefault="00A230E7" w:rsidP="00A230E7">
      <w:pPr>
        <w:rPr>
          <w:rFonts w:cs="Arial"/>
          <w:b/>
          <w:sz w:val="22"/>
          <w:szCs w:val="22"/>
        </w:rPr>
      </w:pPr>
    </w:p>
    <w:p w14:paraId="6D6C7AD9" w14:textId="542DFE80" w:rsidR="00146CBC" w:rsidRPr="007604C2" w:rsidRDefault="00A230E7" w:rsidP="00B16870">
      <w:pPr>
        <w:pStyle w:val="ListParagraph"/>
        <w:numPr>
          <w:ilvl w:val="0"/>
          <w:numId w:val="10"/>
        </w:numPr>
        <w:ind w:left="360"/>
        <w:rPr>
          <w:rFonts w:cs="Arial"/>
          <w:sz w:val="22"/>
          <w:szCs w:val="22"/>
        </w:rPr>
      </w:pPr>
      <w:r w:rsidRPr="007604C2">
        <w:rPr>
          <w:rFonts w:cs="Arial"/>
          <w:b/>
          <w:sz w:val="22"/>
          <w:szCs w:val="22"/>
        </w:rPr>
        <w:t>Aim 1.</w:t>
      </w:r>
    </w:p>
    <w:p w14:paraId="11AE2209" w14:textId="69EC7A61" w:rsidR="00B16870" w:rsidRPr="007604C2" w:rsidRDefault="00006BC0" w:rsidP="007604C2">
      <w:pPr>
        <w:rPr>
          <w:rFonts w:cs="Arial"/>
          <w:b/>
          <w:sz w:val="22"/>
          <w:szCs w:val="22"/>
        </w:rPr>
      </w:pPr>
      <w:r w:rsidRPr="007604C2">
        <w:rPr>
          <w:rFonts w:cs="Arial"/>
          <w:sz w:val="22"/>
          <w:szCs w:val="22"/>
        </w:rPr>
        <w:t>Our first aim is to apply</w:t>
      </w:r>
      <w:r w:rsidR="00DE302E" w:rsidRPr="007604C2">
        <w:rPr>
          <w:rFonts w:cs="Arial"/>
          <w:sz w:val="22"/>
          <w:szCs w:val="22"/>
        </w:rPr>
        <w:t xml:space="preserve"> reduced</w:t>
      </w:r>
      <w:r w:rsidR="000068D6" w:rsidRPr="007604C2">
        <w:rPr>
          <w:rFonts w:cs="Arial"/>
          <w:sz w:val="22"/>
          <w:szCs w:val="22"/>
        </w:rPr>
        <w:t>-</w:t>
      </w:r>
      <w:r w:rsidR="00DE302E" w:rsidRPr="007604C2">
        <w:rPr>
          <w:rFonts w:cs="Arial"/>
          <w:sz w:val="22"/>
          <w:szCs w:val="22"/>
        </w:rPr>
        <w:t>representation sequencing</w:t>
      </w:r>
      <w:r w:rsidR="008438A1" w:rsidRPr="007604C2">
        <w:rPr>
          <w:rFonts w:cs="Arial"/>
          <w:sz w:val="22"/>
          <w:szCs w:val="22"/>
        </w:rPr>
        <w:t xml:space="preserve"> (RRS)</w:t>
      </w:r>
      <w:r w:rsidR="00DE302E" w:rsidRPr="007604C2">
        <w:rPr>
          <w:rFonts w:cs="Arial"/>
          <w:sz w:val="22"/>
          <w:szCs w:val="22"/>
        </w:rPr>
        <w:t xml:space="preserve"> </w:t>
      </w:r>
      <w:r w:rsidRPr="007604C2">
        <w:rPr>
          <w:rFonts w:cs="Arial"/>
          <w:sz w:val="22"/>
          <w:szCs w:val="22"/>
        </w:rPr>
        <w:t>to</w:t>
      </w:r>
      <w:r w:rsidR="00DE302E" w:rsidRPr="007604C2">
        <w:rPr>
          <w:rFonts w:cs="Arial"/>
          <w:sz w:val="22"/>
          <w:szCs w:val="22"/>
        </w:rPr>
        <w:t xml:space="preserve"> diatom populations from the Southern Ocean. Specifically, w</w:t>
      </w:r>
      <w:r w:rsidR="00E952BF" w:rsidRPr="007604C2">
        <w:rPr>
          <w:rFonts w:cs="Arial"/>
          <w:sz w:val="22"/>
          <w:szCs w:val="22"/>
        </w:rPr>
        <w:t xml:space="preserve">e will </w:t>
      </w:r>
      <w:r w:rsidR="008438A1" w:rsidRPr="007604C2">
        <w:rPr>
          <w:rFonts w:cs="Arial"/>
          <w:sz w:val="22"/>
          <w:szCs w:val="22"/>
        </w:rPr>
        <w:t>optimize the double digest restriction-site associated DNA method (</w:t>
      </w:r>
      <w:proofErr w:type="spellStart"/>
      <w:r w:rsidR="008438A1" w:rsidRPr="007604C2">
        <w:rPr>
          <w:rFonts w:cs="Arial"/>
          <w:sz w:val="22"/>
          <w:szCs w:val="22"/>
        </w:rPr>
        <w:t>ddRAD-seq</w:t>
      </w:r>
      <w:proofErr w:type="spellEnd"/>
      <w:r w:rsidR="008438A1" w:rsidRPr="007604C2">
        <w:rPr>
          <w:rFonts w:cs="Arial"/>
          <w:sz w:val="22"/>
          <w:szCs w:val="22"/>
        </w:rPr>
        <w:t>; Peterson et al. 2012),</w:t>
      </w:r>
      <w:r w:rsidR="00E952BF" w:rsidRPr="007604C2">
        <w:rPr>
          <w:rFonts w:cs="Arial"/>
          <w:sz w:val="22"/>
          <w:szCs w:val="22"/>
        </w:rPr>
        <w:t xml:space="preserve"> to </w:t>
      </w:r>
      <w:r w:rsidR="00DE302E" w:rsidRPr="007604C2">
        <w:rPr>
          <w:rFonts w:cs="Arial"/>
          <w:sz w:val="22"/>
          <w:szCs w:val="22"/>
        </w:rPr>
        <w:t>measure</w:t>
      </w:r>
      <w:r w:rsidR="00E952BF" w:rsidRPr="007604C2">
        <w:rPr>
          <w:rFonts w:cs="Arial"/>
          <w:sz w:val="22"/>
          <w:szCs w:val="22"/>
        </w:rPr>
        <w:t xml:space="preserve"> basin scale population </w:t>
      </w:r>
      <w:r w:rsidR="00DE302E" w:rsidRPr="007604C2">
        <w:rPr>
          <w:rFonts w:cs="Arial"/>
          <w:sz w:val="22"/>
          <w:szCs w:val="22"/>
        </w:rPr>
        <w:t>differentiation within</w:t>
      </w:r>
      <w:r w:rsidR="00E952BF" w:rsidRPr="007604C2">
        <w:rPr>
          <w:rFonts w:cs="Arial"/>
          <w:sz w:val="22"/>
          <w:szCs w:val="22"/>
        </w:rPr>
        <w:t xml:space="preserve"> two diatoms, </w:t>
      </w:r>
      <w:r w:rsidR="00BF494A" w:rsidRPr="007604C2">
        <w:rPr>
          <w:rFonts w:cs="Arial"/>
          <w:i/>
          <w:sz w:val="22"/>
          <w:szCs w:val="22"/>
        </w:rPr>
        <w:t>Thalassiosira rotula</w:t>
      </w:r>
      <w:r w:rsidR="00E952BF" w:rsidRPr="007604C2">
        <w:rPr>
          <w:rFonts w:cs="Arial"/>
          <w:i/>
          <w:sz w:val="22"/>
          <w:szCs w:val="22"/>
        </w:rPr>
        <w:t xml:space="preserve"> </w:t>
      </w:r>
      <w:r w:rsidR="00BF494A" w:rsidRPr="007604C2">
        <w:rPr>
          <w:rFonts w:eastAsia="Times New Roman" w:cs="Arial"/>
          <w:color w:val="383738"/>
          <w:sz w:val="22"/>
          <w:szCs w:val="22"/>
          <w:shd w:val="clear" w:color="auto" w:fill="FFFFFF"/>
        </w:rPr>
        <w:t>Meunier</w:t>
      </w:r>
      <w:r w:rsidR="00E952BF" w:rsidRPr="007604C2">
        <w:rPr>
          <w:rFonts w:cs="Arial"/>
          <w:sz w:val="22"/>
          <w:szCs w:val="22"/>
        </w:rPr>
        <w:t xml:space="preserve"> and </w:t>
      </w:r>
      <w:r w:rsidR="00E952BF" w:rsidRPr="007604C2">
        <w:rPr>
          <w:rFonts w:cs="Arial"/>
          <w:i/>
          <w:sz w:val="22"/>
          <w:szCs w:val="22"/>
        </w:rPr>
        <w:t xml:space="preserve">Actinocyclus actinochilus </w:t>
      </w:r>
      <w:r w:rsidR="00E952BF" w:rsidRPr="007604C2">
        <w:rPr>
          <w:rFonts w:cs="Arial"/>
          <w:sz w:val="22"/>
          <w:szCs w:val="22"/>
        </w:rPr>
        <w:t>(</w:t>
      </w:r>
      <w:proofErr w:type="spellStart"/>
      <w:r w:rsidR="00E952BF" w:rsidRPr="007604C2">
        <w:rPr>
          <w:rFonts w:cs="Arial"/>
          <w:sz w:val="22"/>
          <w:szCs w:val="22"/>
        </w:rPr>
        <w:t>Ehrenb</w:t>
      </w:r>
      <w:proofErr w:type="spellEnd"/>
      <w:r w:rsidR="00E952BF" w:rsidRPr="007604C2">
        <w:rPr>
          <w:rFonts w:cs="Arial"/>
          <w:sz w:val="22"/>
          <w:szCs w:val="22"/>
        </w:rPr>
        <w:t>.) Simonsen.</w:t>
      </w:r>
      <w:r w:rsidR="000C1884" w:rsidRPr="007604C2">
        <w:rPr>
          <w:rFonts w:cs="Arial"/>
          <w:sz w:val="22"/>
          <w:szCs w:val="22"/>
        </w:rPr>
        <w:t xml:space="preserve"> The former is regionally abundant yet its biogeographic distribution could be considered cosmopolitan, as it is found </w:t>
      </w:r>
      <w:r w:rsidR="00BF494A" w:rsidRPr="007604C2">
        <w:rPr>
          <w:rFonts w:cs="Arial"/>
          <w:sz w:val="22"/>
          <w:szCs w:val="22"/>
        </w:rPr>
        <w:t>in coastal and open ocean contexts</w:t>
      </w:r>
      <w:r w:rsidR="000068D6" w:rsidRPr="007604C2">
        <w:rPr>
          <w:rFonts w:cs="Arial"/>
          <w:sz w:val="22"/>
          <w:szCs w:val="22"/>
        </w:rPr>
        <w:t xml:space="preserve"> at high and low latitudes</w:t>
      </w:r>
      <w:r w:rsidR="000C1884" w:rsidRPr="007604C2">
        <w:rPr>
          <w:rFonts w:cs="Arial"/>
          <w:sz w:val="22"/>
          <w:szCs w:val="22"/>
        </w:rPr>
        <w:t xml:space="preserve">. The latter </w:t>
      </w:r>
      <w:r w:rsidR="000068D6" w:rsidRPr="007604C2">
        <w:rPr>
          <w:rFonts w:cs="Arial"/>
          <w:sz w:val="22"/>
          <w:szCs w:val="22"/>
        </w:rPr>
        <w:t xml:space="preserve">species </w:t>
      </w:r>
      <w:r w:rsidR="000C1884" w:rsidRPr="007604C2">
        <w:rPr>
          <w:rFonts w:cs="Arial"/>
          <w:sz w:val="22"/>
          <w:szCs w:val="22"/>
        </w:rPr>
        <w:t xml:space="preserve">is less common yet well-distributed south of the Antarctic circumpolar current (ACC). In addition to their distinct biogeographic profiles, these diatoms are </w:t>
      </w:r>
      <w:r w:rsidRPr="007604C2">
        <w:rPr>
          <w:rFonts w:cs="Arial"/>
          <w:sz w:val="22"/>
          <w:szCs w:val="22"/>
        </w:rPr>
        <w:t>phylogenetically distant</w:t>
      </w:r>
      <w:r w:rsidR="000068D6" w:rsidRPr="007604C2">
        <w:rPr>
          <w:rFonts w:cs="Arial"/>
          <w:sz w:val="22"/>
          <w:szCs w:val="22"/>
        </w:rPr>
        <w:t xml:space="preserve"> from each other</w:t>
      </w:r>
      <w:r w:rsidR="000C1884" w:rsidRPr="007604C2">
        <w:rPr>
          <w:rFonts w:cs="Arial"/>
          <w:sz w:val="22"/>
          <w:szCs w:val="22"/>
        </w:rPr>
        <w:t xml:space="preserve"> (Theriot et al. 2010).</w:t>
      </w:r>
      <w:r w:rsidR="00B16870" w:rsidRPr="007604C2">
        <w:rPr>
          <w:rFonts w:cs="Arial"/>
          <w:b/>
          <w:sz w:val="22"/>
          <w:szCs w:val="22"/>
        </w:rPr>
        <w:t xml:space="preserve"> </w:t>
      </w:r>
    </w:p>
    <w:p w14:paraId="6AEE08E0" w14:textId="580DF010" w:rsidR="008438A1" w:rsidRPr="007604C2" w:rsidRDefault="005232C5" w:rsidP="00B16870">
      <w:pPr>
        <w:ind w:firstLine="540"/>
        <w:rPr>
          <w:rFonts w:cs="Arial"/>
          <w:b/>
          <w:sz w:val="22"/>
          <w:szCs w:val="22"/>
        </w:rPr>
      </w:pPr>
      <w:r w:rsidRPr="007604C2">
        <w:rPr>
          <w:rFonts w:cs="Arial"/>
          <w:sz w:val="22"/>
          <w:szCs w:val="22"/>
        </w:rPr>
        <w:t xml:space="preserve">We </w:t>
      </w:r>
      <w:r w:rsidR="00006BC0" w:rsidRPr="007604C2">
        <w:rPr>
          <w:rFonts w:cs="Arial"/>
          <w:sz w:val="22"/>
          <w:szCs w:val="22"/>
        </w:rPr>
        <w:t>plan to</w:t>
      </w:r>
      <w:r w:rsidR="008438A1" w:rsidRPr="007604C2">
        <w:rPr>
          <w:rFonts w:cs="Arial"/>
          <w:sz w:val="22"/>
          <w:szCs w:val="22"/>
        </w:rPr>
        <w:t xml:space="preserve"> analyze samples recently collected on a Southern Ocean research cruise (NBP1701) aboard the R/V Nathaniel B. Palmer</w:t>
      </w:r>
      <w:r w:rsidR="00AC3DC2" w:rsidRPr="007604C2">
        <w:rPr>
          <w:rFonts w:cs="Arial"/>
          <w:sz w:val="22"/>
          <w:szCs w:val="22"/>
        </w:rPr>
        <w:t xml:space="preserve"> (Fig. 2)</w:t>
      </w:r>
      <w:r w:rsidR="008438A1" w:rsidRPr="007604C2">
        <w:rPr>
          <w:rFonts w:cs="Arial"/>
          <w:sz w:val="22"/>
          <w:szCs w:val="22"/>
        </w:rPr>
        <w:t xml:space="preserve">. </w:t>
      </w:r>
      <w:r w:rsidR="00006BC0" w:rsidRPr="007604C2">
        <w:rPr>
          <w:rFonts w:cs="Arial"/>
          <w:sz w:val="22"/>
          <w:szCs w:val="22"/>
        </w:rPr>
        <w:t>Hundreds</w:t>
      </w:r>
      <w:r w:rsidR="008438A1" w:rsidRPr="007604C2">
        <w:rPr>
          <w:rFonts w:cs="Arial"/>
          <w:sz w:val="22"/>
          <w:szCs w:val="22"/>
        </w:rPr>
        <w:t xml:space="preserve"> of single cell isolates </w:t>
      </w:r>
      <w:r w:rsidR="00006BC0" w:rsidRPr="007604C2">
        <w:rPr>
          <w:rFonts w:cs="Arial"/>
          <w:sz w:val="22"/>
          <w:szCs w:val="22"/>
        </w:rPr>
        <w:t xml:space="preserve">for each species </w:t>
      </w:r>
      <w:r w:rsidR="00891A96" w:rsidRPr="007604C2">
        <w:rPr>
          <w:rFonts w:cs="Arial"/>
          <w:sz w:val="22"/>
          <w:szCs w:val="22"/>
        </w:rPr>
        <w:t xml:space="preserve">were collected </w:t>
      </w:r>
      <w:r w:rsidR="00AC3DC2" w:rsidRPr="007604C2">
        <w:rPr>
          <w:rFonts w:cs="Arial"/>
          <w:sz w:val="22"/>
          <w:szCs w:val="22"/>
        </w:rPr>
        <w:t xml:space="preserve">in unique bioregions </w:t>
      </w:r>
      <w:r w:rsidR="00891A96" w:rsidRPr="007604C2">
        <w:rPr>
          <w:rFonts w:cs="Arial"/>
          <w:sz w:val="22"/>
          <w:szCs w:val="22"/>
        </w:rPr>
        <w:t xml:space="preserve">across four sub-basins and established in batch cultures. Archived DNA material exists for all samples, </w:t>
      </w:r>
      <w:r w:rsidR="00AC3DC2" w:rsidRPr="007604C2">
        <w:rPr>
          <w:rFonts w:cs="Arial"/>
          <w:sz w:val="22"/>
          <w:szCs w:val="22"/>
        </w:rPr>
        <w:t>and</w:t>
      </w:r>
      <w:r w:rsidR="00891A96" w:rsidRPr="007604C2">
        <w:rPr>
          <w:rFonts w:cs="Arial"/>
          <w:sz w:val="22"/>
          <w:szCs w:val="22"/>
        </w:rPr>
        <w:t xml:space="preserve"> </w:t>
      </w:r>
      <w:r w:rsidR="00006BC0" w:rsidRPr="007604C2">
        <w:rPr>
          <w:rFonts w:cs="Arial"/>
          <w:sz w:val="22"/>
          <w:szCs w:val="22"/>
        </w:rPr>
        <w:t>many</w:t>
      </w:r>
      <w:r w:rsidR="00891A96" w:rsidRPr="007604C2">
        <w:rPr>
          <w:rFonts w:cs="Arial"/>
          <w:sz w:val="22"/>
          <w:szCs w:val="22"/>
        </w:rPr>
        <w:t xml:space="preserve"> are still actively maintained in culture for experimentation.</w:t>
      </w:r>
      <w:r w:rsidR="000A2EBA" w:rsidRPr="007604C2">
        <w:rPr>
          <w:rFonts w:cs="Arial"/>
          <w:sz w:val="22"/>
          <w:szCs w:val="22"/>
        </w:rPr>
        <w:t xml:space="preserve"> In addition to these materials, several control strains collected both from the SO and as far away as the North Sea will be</w:t>
      </w:r>
      <w:r w:rsidR="00AC3DC2" w:rsidRPr="007604C2">
        <w:rPr>
          <w:rFonts w:cs="Arial"/>
          <w:sz w:val="22"/>
          <w:szCs w:val="22"/>
        </w:rPr>
        <w:t xml:space="preserve"> included in sequencing runs</w:t>
      </w:r>
      <w:r w:rsidR="000A2EBA" w:rsidRPr="007604C2">
        <w:rPr>
          <w:rFonts w:cs="Arial"/>
          <w:sz w:val="22"/>
          <w:szCs w:val="22"/>
        </w:rPr>
        <w:t>. These controls will provide outgroups to any SO population structure we find.</w:t>
      </w:r>
    </w:p>
    <w:p w14:paraId="708BA455" w14:textId="4798431C" w:rsidR="00AB422F" w:rsidRPr="007604C2" w:rsidRDefault="00B8326B" w:rsidP="00D23D64">
      <w:pPr>
        <w:ind w:firstLine="540"/>
        <w:rPr>
          <w:rFonts w:cs="Arial"/>
          <w:sz w:val="22"/>
          <w:szCs w:val="22"/>
        </w:rPr>
      </w:pPr>
      <w:r w:rsidRPr="007604C2">
        <w:rPr>
          <w:rFonts w:cs="Arial"/>
          <w:sz w:val="22"/>
          <w:szCs w:val="22"/>
        </w:rPr>
        <w:t>The</w:t>
      </w:r>
      <w:r w:rsidR="00BF494A" w:rsidRPr="007604C2">
        <w:rPr>
          <w:rFonts w:cs="Arial"/>
          <w:sz w:val="22"/>
          <w:szCs w:val="22"/>
        </w:rPr>
        <w:t xml:space="preserve"> proposed </w:t>
      </w:r>
      <w:proofErr w:type="spellStart"/>
      <w:r w:rsidR="00BF494A" w:rsidRPr="007604C2">
        <w:rPr>
          <w:rFonts w:cs="Arial"/>
          <w:sz w:val="22"/>
          <w:szCs w:val="22"/>
        </w:rPr>
        <w:t>RADseq</w:t>
      </w:r>
      <w:proofErr w:type="spellEnd"/>
      <w:r w:rsidR="00BF494A" w:rsidRPr="007604C2">
        <w:rPr>
          <w:rFonts w:cs="Arial"/>
          <w:sz w:val="22"/>
          <w:szCs w:val="22"/>
        </w:rPr>
        <w:t xml:space="preserve"> </w:t>
      </w:r>
      <w:r w:rsidRPr="007604C2">
        <w:rPr>
          <w:rFonts w:cs="Arial"/>
          <w:sz w:val="22"/>
          <w:szCs w:val="22"/>
        </w:rPr>
        <w:t xml:space="preserve">method development will take advantage of both multiple high quality transcriptomes (Rubin et al. in review) and unpublished low coverage genomes. However, </w:t>
      </w:r>
      <w:r w:rsidR="00BF494A" w:rsidRPr="007604C2">
        <w:rPr>
          <w:rFonts w:cs="Arial"/>
          <w:sz w:val="22"/>
          <w:szCs w:val="22"/>
        </w:rPr>
        <w:t>analysis will</w:t>
      </w:r>
      <w:r w:rsidR="00AC3DC2" w:rsidRPr="007604C2">
        <w:rPr>
          <w:rFonts w:cs="Arial"/>
          <w:sz w:val="22"/>
          <w:szCs w:val="22"/>
        </w:rPr>
        <w:t xml:space="preserve"> ultimately</w:t>
      </w:r>
      <w:r w:rsidR="00BF494A" w:rsidRPr="007604C2">
        <w:rPr>
          <w:rFonts w:cs="Arial"/>
          <w:sz w:val="22"/>
          <w:szCs w:val="22"/>
        </w:rPr>
        <w:t xml:space="preserve"> be conducted in absence of a reference genome</w:t>
      </w:r>
      <w:r w:rsidRPr="007604C2">
        <w:rPr>
          <w:rFonts w:cs="Arial"/>
          <w:sz w:val="22"/>
          <w:szCs w:val="22"/>
        </w:rPr>
        <w:t xml:space="preserve">, as </w:t>
      </w:r>
      <w:r w:rsidR="00AC3DC2" w:rsidRPr="007604C2">
        <w:rPr>
          <w:rFonts w:cs="Arial"/>
          <w:sz w:val="22"/>
          <w:szCs w:val="22"/>
        </w:rPr>
        <w:t xml:space="preserve">very </w:t>
      </w:r>
      <w:r w:rsidR="008438A1" w:rsidRPr="007604C2">
        <w:rPr>
          <w:rFonts w:cs="Arial"/>
          <w:sz w:val="22"/>
          <w:szCs w:val="22"/>
        </w:rPr>
        <w:t>few diatoms have been sequenced (though the first</w:t>
      </w:r>
      <w:r w:rsidRPr="007604C2">
        <w:rPr>
          <w:rFonts w:cs="Arial"/>
          <w:sz w:val="22"/>
          <w:szCs w:val="22"/>
        </w:rPr>
        <w:t xml:space="preserve">, </w:t>
      </w:r>
      <w:r w:rsidR="008438A1" w:rsidRPr="007604C2">
        <w:rPr>
          <w:rFonts w:cs="Arial"/>
          <w:i/>
          <w:sz w:val="22"/>
          <w:szCs w:val="22"/>
        </w:rPr>
        <w:t xml:space="preserve">Thalassiosira </w:t>
      </w:r>
      <w:proofErr w:type="spellStart"/>
      <w:r w:rsidR="008438A1" w:rsidRPr="007604C2">
        <w:rPr>
          <w:rFonts w:cs="Arial"/>
          <w:i/>
          <w:sz w:val="22"/>
          <w:szCs w:val="22"/>
        </w:rPr>
        <w:t>pseudonana</w:t>
      </w:r>
      <w:proofErr w:type="spellEnd"/>
      <w:r w:rsidRPr="007604C2">
        <w:rPr>
          <w:rFonts w:cs="Arial"/>
          <w:i/>
          <w:sz w:val="22"/>
          <w:szCs w:val="22"/>
        </w:rPr>
        <w:t>,</w:t>
      </w:r>
      <w:r w:rsidR="008438A1" w:rsidRPr="007604C2">
        <w:rPr>
          <w:rFonts w:cs="Arial"/>
          <w:sz w:val="22"/>
          <w:szCs w:val="22"/>
        </w:rPr>
        <w:t xml:space="preserve"> is closely related to </w:t>
      </w:r>
      <w:r w:rsidR="008438A1" w:rsidRPr="007604C2">
        <w:rPr>
          <w:rFonts w:cs="Arial"/>
          <w:i/>
          <w:sz w:val="22"/>
          <w:szCs w:val="22"/>
        </w:rPr>
        <w:t>T. rotula</w:t>
      </w:r>
      <w:r w:rsidR="008438A1" w:rsidRPr="007604C2">
        <w:rPr>
          <w:rFonts w:cs="Arial"/>
          <w:sz w:val="22"/>
          <w:szCs w:val="22"/>
        </w:rPr>
        <w:t>),</w:t>
      </w:r>
      <w:r w:rsidR="00BF494A" w:rsidRPr="007604C2">
        <w:rPr>
          <w:rFonts w:cs="Arial"/>
          <w:sz w:val="22"/>
          <w:szCs w:val="22"/>
        </w:rPr>
        <w:t xml:space="preserve"> </w:t>
      </w:r>
      <w:r w:rsidRPr="007604C2">
        <w:rPr>
          <w:rFonts w:cs="Arial"/>
          <w:sz w:val="22"/>
          <w:szCs w:val="22"/>
        </w:rPr>
        <w:t xml:space="preserve">and it is our intention to facilitate </w:t>
      </w:r>
      <w:proofErr w:type="spellStart"/>
      <w:r w:rsidRPr="007604C2">
        <w:rPr>
          <w:rFonts w:cs="Arial"/>
          <w:sz w:val="22"/>
          <w:szCs w:val="22"/>
        </w:rPr>
        <w:t>RADseq</w:t>
      </w:r>
      <w:proofErr w:type="spellEnd"/>
      <w:r w:rsidRPr="007604C2">
        <w:rPr>
          <w:rFonts w:cs="Arial"/>
          <w:sz w:val="22"/>
          <w:szCs w:val="22"/>
        </w:rPr>
        <w:t xml:space="preserve"> use more broadly in natural microbial populations.</w:t>
      </w:r>
    </w:p>
    <w:p w14:paraId="0A838CCD" w14:textId="0D24DBD6" w:rsidR="00440212" w:rsidRPr="007604C2" w:rsidRDefault="00B16870" w:rsidP="007604C2">
      <w:pPr>
        <w:ind w:firstLine="360"/>
        <w:rPr>
          <w:rFonts w:cs="Arial"/>
          <w:sz w:val="22"/>
          <w:szCs w:val="22"/>
        </w:rPr>
      </w:pPr>
      <w:r w:rsidRPr="007604C2">
        <w:rPr>
          <w:rFonts w:cs="Arial"/>
          <w:noProof/>
          <w:sz w:val="22"/>
          <w:szCs w:val="22"/>
        </w:rPr>
        <w:lastRenderedPageBreak/>
        <w:drawing>
          <wp:anchor distT="0" distB="0" distL="114300" distR="114300" simplePos="0" relativeHeight="251662336" behindDoc="0" locked="0" layoutInCell="1" allowOverlap="1" wp14:anchorId="226AC33B" wp14:editId="1731DAE6">
            <wp:simplePos x="0" y="0"/>
            <wp:positionH relativeFrom="column">
              <wp:posOffset>2721610</wp:posOffset>
            </wp:positionH>
            <wp:positionV relativeFrom="paragraph">
              <wp:posOffset>271390</wp:posOffset>
            </wp:positionV>
            <wp:extent cx="3192780" cy="3197225"/>
            <wp:effectExtent l="12700" t="12700" r="7620" b="158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_bioreg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2780" cy="31972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B422F" w:rsidRPr="007604C2">
        <w:rPr>
          <w:rFonts w:cs="Arial"/>
          <w:sz w:val="22"/>
          <w:szCs w:val="22"/>
        </w:rPr>
        <w:t>Loci assignment in entangled host-microbiome systems without a reference genome presents a major hurdle ahead of successful use</w:t>
      </w:r>
      <w:r w:rsidR="00E45D79" w:rsidRPr="007604C2">
        <w:rPr>
          <w:rFonts w:cs="Arial"/>
          <w:sz w:val="22"/>
          <w:szCs w:val="22"/>
        </w:rPr>
        <w:t xml:space="preserve"> of RRS methods </w:t>
      </w:r>
      <w:r w:rsidR="00AB422F" w:rsidRPr="007604C2">
        <w:rPr>
          <w:rFonts w:cs="Arial"/>
          <w:sz w:val="22"/>
          <w:szCs w:val="22"/>
        </w:rPr>
        <w:t xml:space="preserve">in algal species. While delicate tissue-extraction methods </w:t>
      </w:r>
      <w:r w:rsidR="00B844B8" w:rsidRPr="007604C2">
        <w:rPr>
          <w:rFonts w:cs="Arial"/>
          <w:sz w:val="22"/>
          <w:szCs w:val="22"/>
        </w:rPr>
        <w:t xml:space="preserve">can be applied </w:t>
      </w:r>
      <w:r w:rsidR="00AB422F" w:rsidRPr="007604C2">
        <w:rPr>
          <w:rFonts w:cs="Arial"/>
          <w:sz w:val="22"/>
          <w:szCs w:val="22"/>
        </w:rPr>
        <w:t>in macroscopic hosts (</w:t>
      </w:r>
      <w:r w:rsidR="007642CE" w:rsidRPr="007642CE">
        <w:rPr>
          <w:rFonts w:cs="Arial"/>
          <w:sz w:val="22"/>
          <w:szCs w:val="22"/>
        </w:rPr>
        <w:t xml:space="preserve">e.g. van </w:t>
      </w:r>
      <w:proofErr w:type="spellStart"/>
      <w:r w:rsidR="007642CE" w:rsidRPr="007642CE">
        <w:rPr>
          <w:rFonts w:cs="Arial"/>
          <w:sz w:val="22"/>
          <w:szCs w:val="22"/>
        </w:rPr>
        <w:t>Oppen</w:t>
      </w:r>
      <w:proofErr w:type="spellEnd"/>
      <w:r w:rsidR="007642CE" w:rsidRPr="007642CE">
        <w:rPr>
          <w:rFonts w:cs="Arial"/>
          <w:sz w:val="22"/>
          <w:szCs w:val="22"/>
        </w:rPr>
        <w:t xml:space="preserve"> et al. 2011</w:t>
      </w:r>
      <w:r w:rsidR="00AB422F" w:rsidRPr="007604C2">
        <w:rPr>
          <w:rFonts w:cs="Arial"/>
          <w:sz w:val="22"/>
          <w:szCs w:val="22"/>
        </w:rPr>
        <w:t xml:space="preserve">), microbial host separation is more complicated. </w:t>
      </w:r>
      <w:r w:rsidR="00440212" w:rsidRPr="007604C2">
        <w:rPr>
          <w:rFonts w:cs="Arial"/>
          <w:sz w:val="22"/>
          <w:szCs w:val="22"/>
        </w:rPr>
        <w:t xml:space="preserve">A majority of culture-extracted DNA can be non-host in origin, so pre-extraction solutions will work best. </w:t>
      </w:r>
      <w:r w:rsidR="00D23D64" w:rsidRPr="007604C2">
        <w:rPr>
          <w:rFonts w:cs="Arial"/>
          <w:sz w:val="22"/>
          <w:szCs w:val="22"/>
        </w:rPr>
        <w:t xml:space="preserve">Our approach will be </w:t>
      </w:r>
      <w:r w:rsidR="00B844B8" w:rsidRPr="007604C2">
        <w:rPr>
          <w:rFonts w:cs="Arial"/>
          <w:sz w:val="22"/>
          <w:szCs w:val="22"/>
        </w:rPr>
        <w:t xml:space="preserve">to </w:t>
      </w:r>
      <w:r w:rsidR="00440212" w:rsidRPr="007604C2">
        <w:rPr>
          <w:rFonts w:cs="Arial"/>
          <w:sz w:val="22"/>
          <w:szCs w:val="22"/>
        </w:rPr>
        <w:t xml:space="preserve">knock back </w:t>
      </w:r>
      <w:r w:rsidR="00D23D64" w:rsidRPr="007604C2">
        <w:rPr>
          <w:rFonts w:cs="Arial"/>
          <w:sz w:val="22"/>
          <w:szCs w:val="22"/>
        </w:rPr>
        <w:t xml:space="preserve">the </w:t>
      </w:r>
      <w:r w:rsidR="00440212" w:rsidRPr="007604C2">
        <w:rPr>
          <w:rFonts w:cs="Arial"/>
          <w:sz w:val="22"/>
          <w:szCs w:val="22"/>
        </w:rPr>
        <w:t xml:space="preserve">microbiome with antibiotic cocktails to </w:t>
      </w:r>
      <w:r w:rsidR="00D23D64" w:rsidRPr="007604C2">
        <w:rPr>
          <w:rFonts w:cs="Arial"/>
          <w:sz w:val="22"/>
          <w:szCs w:val="22"/>
        </w:rPr>
        <w:t>limit the bacterial DNA yield in as many samples as we can (</w:t>
      </w:r>
      <w:r w:rsidR="00B844B8" w:rsidRPr="007604C2">
        <w:rPr>
          <w:rFonts w:cs="Arial"/>
          <w:sz w:val="22"/>
          <w:szCs w:val="22"/>
        </w:rPr>
        <w:t xml:space="preserve">e.g. </w:t>
      </w:r>
      <w:proofErr w:type="spellStart"/>
      <w:r w:rsidR="00D23D64" w:rsidRPr="007604C2">
        <w:rPr>
          <w:rFonts w:cs="Arial"/>
          <w:sz w:val="22"/>
          <w:szCs w:val="22"/>
          <w:shd w:val="clear" w:color="auto" w:fill="FFFFFF"/>
        </w:rPr>
        <w:t>Shishlyannikov</w:t>
      </w:r>
      <w:proofErr w:type="spellEnd"/>
      <w:r w:rsidR="00D23D64" w:rsidRPr="007604C2">
        <w:rPr>
          <w:rFonts w:cs="Arial"/>
          <w:sz w:val="22"/>
          <w:szCs w:val="22"/>
          <w:shd w:val="clear" w:color="auto" w:fill="FFFFFF"/>
        </w:rPr>
        <w:t xml:space="preserve"> et al</w:t>
      </w:r>
      <w:r w:rsidR="00F41A2F" w:rsidRPr="007604C2">
        <w:rPr>
          <w:rFonts w:cs="Arial"/>
          <w:sz w:val="22"/>
          <w:szCs w:val="22"/>
          <w:shd w:val="clear" w:color="auto" w:fill="FFFFFF"/>
        </w:rPr>
        <w:t>.</w:t>
      </w:r>
      <w:r w:rsidR="00D23D64" w:rsidRPr="007604C2">
        <w:rPr>
          <w:rFonts w:cs="Arial"/>
          <w:sz w:val="22"/>
          <w:szCs w:val="22"/>
          <w:shd w:val="clear" w:color="auto" w:fill="FFFFFF"/>
        </w:rPr>
        <w:t xml:space="preserve"> 2011</w:t>
      </w:r>
      <w:r w:rsidR="00D23D64" w:rsidRPr="007604C2">
        <w:rPr>
          <w:rFonts w:cs="Arial"/>
          <w:sz w:val="22"/>
          <w:szCs w:val="22"/>
        </w:rPr>
        <w:t>). This will enable us to restrict downstream SNP calling in all samples, archival DNA or yet-to-be extracted, to loci genotyped in knock-down axenic samples.</w:t>
      </w:r>
    </w:p>
    <w:p w14:paraId="64D5709D" w14:textId="1E5072C6" w:rsidR="004A0FA5" w:rsidRPr="007604C2" w:rsidRDefault="00B16870" w:rsidP="002B4300">
      <w:pPr>
        <w:ind w:firstLine="360"/>
        <w:rPr>
          <w:rFonts w:cs="Arial"/>
          <w:sz w:val="22"/>
          <w:szCs w:val="22"/>
        </w:rPr>
      </w:pPr>
      <w:r w:rsidRPr="007604C2">
        <w:rPr>
          <w:rFonts w:cs="Arial"/>
          <w:noProof/>
          <w:sz w:val="22"/>
          <w:szCs w:val="22"/>
        </w:rPr>
        <mc:AlternateContent>
          <mc:Choice Requires="wps">
            <w:drawing>
              <wp:anchor distT="0" distB="0" distL="114300" distR="114300" simplePos="0" relativeHeight="251664384" behindDoc="0" locked="0" layoutInCell="1" allowOverlap="1" wp14:anchorId="7F771254" wp14:editId="106A8262">
                <wp:simplePos x="0" y="0"/>
                <wp:positionH relativeFrom="column">
                  <wp:posOffset>2718338</wp:posOffset>
                </wp:positionH>
                <wp:positionV relativeFrom="paragraph">
                  <wp:posOffset>626598</wp:posOffset>
                </wp:positionV>
                <wp:extent cx="3192780" cy="635"/>
                <wp:effectExtent l="0" t="0" r="0" b="12065"/>
                <wp:wrapSquare wrapText="bothSides"/>
                <wp:docPr id="4" name="Text Box 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18B6CAD9" w14:textId="0366FD60" w:rsidR="00B844B8" w:rsidRPr="005C3BAD" w:rsidRDefault="00B844B8" w:rsidP="00FD50A8">
                            <w:pPr>
                              <w:pStyle w:val="Caption"/>
                              <w:rPr>
                                <w:rFonts w:ascii="Times New Roman" w:hAnsi="Times New Roman" w:cs="Times New Roman"/>
                                <w:noProof/>
                                <w:color w:val="000000" w:themeColor="text1"/>
                              </w:rPr>
                            </w:pPr>
                            <w:r>
                              <w:t xml:space="preserve">Figure </w:t>
                            </w:r>
                            <w:fldSimple w:instr=" SEQ Figure \* ARABIC ">
                              <w:r>
                                <w:rPr>
                                  <w:noProof/>
                                </w:rPr>
                                <w:t>2</w:t>
                              </w:r>
                            </w:fldSimple>
                            <w:r w:rsidRPr="00542B36">
                              <w:t>. Bioregions of the Southern Ocean (adapted from Constable et al. 2014). Stars indicate 6 unique Pacific sector bioregions visited during the NBP1701 research cruise.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71254" id="Text Box 4" o:spid="_x0000_s1027" type="#_x0000_t202" style="position:absolute;left:0;text-align:left;margin-left:214.05pt;margin-top:49.35pt;width:251.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" stroked="f">
                <v:textbox style="mso-fit-shape-to-text:t" inset="0,0,0,0">
                  <w:txbxContent>
                    <w:p w14:paraId="18B6CAD9" w14:textId="0366FD60" w:rsidR="00B844B8" w:rsidRPr="005C3BAD" w:rsidRDefault="00B844B8" w:rsidP="00FD50A8">
                      <w:pPr>
                        <w:pStyle w:val="Caption"/>
                        <w:rPr>
                          <w:rFonts w:ascii="Times New Roman" w:hAnsi="Times New Roman" w:cs="Times New Roman"/>
                          <w:noProof/>
                          <w:color w:val="000000" w:themeColor="text1"/>
                        </w:rPr>
                      </w:pPr>
                      <w:r>
                        <w:t xml:space="preserve">Figure </w:t>
                      </w:r>
                      <w:r>
                        <w:fldChar w:fldCharType="begin"/>
                      </w:r>
                      <w:r>
                        <w:instrText xml:space="preserve"> SEQ Figure \* ARABIC </w:instrText>
                      </w:r>
                      <w:r>
                        <w:fldChar w:fldCharType="separate"/>
                      </w:r>
                      <w:r>
                        <w:rPr>
                          <w:noProof/>
                        </w:rPr>
                        <w:t>2</w:t>
                      </w:r>
                      <w:r>
                        <w:fldChar w:fldCharType="end"/>
                      </w:r>
                      <w:r w:rsidRPr="00542B36">
                        <w:t>. Bioregions of the Southern Ocean (adapted from Constable et al. 2014). Stars indicate 6 unique Pacific sector bioregions visited during the NBP1701 research cruise.</w:t>
                      </w:r>
                    </w:p>
                  </w:txbxContent>
                </v:textbox>
                <w10:wrap type="square"/>
              </v:shape>
            </w:pict>
          </mc:Fallback>
        </mc:AlternateContent>
      </w:r>
      <w:r w:rsidR="004A0FA5" w:rsidRPr="007604C2">
        <w:rPr>
          <w:rFonts w:cs="Arial"/>
          <w:sz w:val="22"/>
          <w:szCs w:val="22"/>
        </w:rPr>
        <w:t xml:space="preserve">Population structure across SO bioregions will be explored via multiple common analyses, including PCA, ADMIXTURE, and </w:t>
      </w:r>
      <w:proofErr w:type="spellStart"/>
      <w:r w:rsidR="004A0FA5" w:rsidRPr="007604C2">
        <w:rPr>
          <w:rFonts w:cs="Arial"/>
          <w:sz w:val="22"/>
          <w:szCs w:val="22"/>
        </w:rPr>
        <w:t>tree</w:t>
      </w:r>
      <w:r w:rsidR="002B4300" w:rsidRPr="007604C2">
        <w:rPr>
          <w:rFonts w:cs="Arial"/>
          <w:sz w:val="22"/>
          <w:szCs w:val="22"/>
        </w:rPr>
        <w:t>mix</w:t>
      </w:r>
      <w:proofErr w:type="spellEnd"/>
      <w:r w:rsidR="00B62777" w:rsidRPr="007604C2">
        <w:rPr>
          <w:rFonts w:cs="Arial"/>
          <w:sz w:val="22"/>
          <w:szCs w:val="22"/>
        </w:rPr>
        <w:t xml:space="preserve"> (e.g. </w:t>
      </w:r>
      <w:r w:rsidR="00556C0C" w:rsidRPr="007604C2">
        <w:rPr>
          <w:rFonts w:cs="Arial"/>
          <w:sz w:val="22"/>
          <w:szCs w:val="22"/>
        </w:rPr>
        <w:t>Jordan et al. 2018</w:t>
      </w:r>
      <w:r w:rsidR="00B62777" w:rsidRPr="007604C2">
        <w:rPr>
          <w:rFonts w:cs="Arial"/>
          <w:sz w:val="22"/>
          <w:szCs w:val="22"/>
        </w:rPr>
        <w:t xml:space="preserve">, </w:t>
      </w:r>
      <w:proofErr w:type="spellStart"/>
      <w:r w:rsidR="00556C0C" w:rsidRPr="007604C2">
        <w:rPr>
          <w:rFonts w:cs="Arial"/>
          <w:sz w:val="22"/>
          <w:szCs w:val="22"/>
        </w:rPr>
        <w:t>Kautt</w:t>
      </w:r>
      <w:proofErr w:type="spellEnd"/>
      <w:r w:rsidR="00556C0C" w:rsidRPr="007604C2">
        <w:rPr>
          <w:rFonts w:cs="Arial"/>
          <w:sz w:val="22"/>
          <w:szCs w:val="22"/>
        </w:rPr>
        <w:t xml:space="preserve"> et al. 2016</w:t>
      </w:r>
      <w:r w:rsidR="00B62777" w:rsidRPr="007604C2">
        <w:rPr>
          <w:rFonts w:cs="Arial"/>
          <w:sz w:val="22"/>
          <w:szCs w:val="22"/>
        </w:rPr>
        <w:t>)</w:t>
      </w:r>
      <w:r w:rsidR="002B4300" w:rsidRPr="007604C2">
        <w:rPr>
          <w:rFonts w:cs="Arial"/>
          <w:sz w:val="22"/>
          <w:szCs w:val="22"/>
        </w:rPr>
        <w:t>. All three will be conducted on “neutral” SNPs, i</w:t>
      </w:r>
      <w:r w:rsidR="00B62777" w:rsidRPr="007604C2">
        <w:rPr>
          <w:rFonts w:cs="Arial"/>
          <w:sz w:val="22"/>
          <w:szCs w:val="22"/>
        </w:rPr>
        <w:t>.</w:t>
      </w:r>
      <w:r w:rsidR="002B4300" w:rsidRPr="007604C2">
        <w:rPr>
          <w:rFonts w:cs="Arial"/>
          <w:sz w:val="22"/>
          <w:szCs w:val="22"/>
        </w:rPr>
        <w:t>e</w:t>
      </w:r>
      <w:r w:rsidR="00B62777" w:rsidRPr="007604C2">
        <w:rPr>
          <w:rFonts w:cs="Arial"/>
          <w:sz w:val="22"/>
          <w:szCs w:val="22"/>
        </w:rPr>
        <w:t>.</w:t>
      </w:r>
      <w:r w:rsidR="002B4300" w:rsidRPr="007604C2">
        <w:rPr>
          <w:rFonts w:cs="Arial"/>
          <w:sz w:val="22"/>
          <w:szCs w:val="22"/>
        </w:rPr>
        <w:t xml:space="preserve"> those that pass a study</w:t>
      </w:r>
      <w:r w:rsidR="00B844B8" w:rsidRPr="007604C2">
        <w:rPr>
          <w:rFonts w:cs="Arial"/>
          <w:sz w:val="22"/>
          <w:szCs w:val="22"/>
        </w:rPr>
        <w:t>-</w:t>
      </w:r>
      <w:r w:rsidR="002B4300" w:rsidRPr="007604C2">
        <w:rPr>
          <w:rFonts w:cs="Arial"/>
          <w:sz w:val="22"/>
          <w:szCs w:val="22"/>
        </w:rPr>
        <w:t xml:space="preserve">specific optimal filtering protocol and several attempts to identify </w:t>
      </w:r>
      <w:proofErr w:type="spellStart"/>
      <w:r w:rsidR="002B4300" w:rsidRPr="007604C2">
        <w:rPr>
          <w:rFonts w:cs="Arial"/>
          <w:sz w:val="22"/>
          <w:szCs w:val="22"/>
        </w:rPr>
        <w:t>Fst</w:t>
      </w:r>
      <w:proofErr w:type="spellEnd"/>
      <w:r w:rsidR="002B4300" w:rsidRPr="007604C2">
        <w:rPr>
          <w:rFonts w:cs="Arial"/>
          <w:sz w:val="22"/>
          <w:szCs w:val="22"/>
        </w:rPr>
        <w:t xml:space="preserve"> outlier loci using algorithms that each assume different demographic histories, which in our case can be guessed at but </w:t>
      </w:r>
      <w:r w:rsidR="00B844B8" w:rsidRPr="007604C2">
        <w:rPr>
          <w:rFonts w:cs="Arial"/>
          <w:sz w:val="22"/>
          <w:szCs w:val="22"/>
        </w:rPr>
        <w:t>are</w:t>
      </w:r>
      <w:r w:rsidR="002B4300" w:rsidRPr="007604C2">
        <w:rPr>
          <w:rFonts w:cs="Arial"/>
          <w:sz w:val="22"/>
          <w:szCs w:val="22"/>
        </w:rPr>
        <w:t xml:space="preserve"> generally unknown. </w:t>
      </w:r>
      <w:r w:rsidR="004A0FA5" w:rsidRPr="007604C2">
        <w:rPr>
          <w:rFonts w:cs="Arial"/>
          <w:sz w:val="22"/>
          <w:szCs w:val="22"/>
        </w:rPr>
        <w:t xml:space="preserve">We hypothesize that </w:t>
      </w:r>
      <w:r w:rsidR="002B4300" w:rsidRPr="007604C2">
        <w:rPr>
          <w:rFonts w:cs="Arial"/>
          <w:sz w:val="22"/>
          <w:szCs w:val="22"/>
        </w:rPr>
        <w:t xml:space="preserve">as a result of short generation times and distinct environmental sub-basins, </w:t>
      </w:r>
      <w:r w:rsidR="004A0FA5" w:rsidRPr="007604C2">
        <w:rPr>
          <w:rFonts w:cs="Arial"/>
          <w:sz w:val="22"/>
          <w:szCs w:val="22"/>
        </w:rPr>
        <w:t>diatom individuals will strongly sort by region</w:t>
      </w:r>
      <w:r w:rsidR="002B4300" w:rsidRPr="007604C2">
        <w:rPr>
          <w:rFonts w:cs="Arial"/>
          <w:sz w:val="22"/>
          <w:szCs w:val="22"/>
        </w:rPr>
        <w:t>, possibly demonstrating an isolation-by-distance signal in the above analyses</w:t>
      </w:r>
      <w:r w:rsidR="004A0FA5" w:rsidRPr="007604C2">
        <w:rPr>
          <w:rFonts w:cs="Arial"/>
          <w:sz w:val="22"/>
          <w:szCs w:val="22"/>
        </w:rPr>
        <w:t xml:space="preserve">. </w:t>
      </w:r>
      <w:r w:rsidR="002B4300" w:rsidRPr="007604C2">
        <w:rPr>
          <w:rFonts w:cs="Arial"/>
          <w:sz w:val="22"/>
          <w:szCs w:val="22"/>
        </w:rPr>
        <w:t xml:space="preserve">Alternatively, </w:t>
      </w:r>
      <w:r w:rsidR="004A0FA5" w:rsidRPr="007604C2">
        <w:rPr>
          <w:rFonts w:cs="Arial"/>
          <w:sz w:val="22"/>
          <w:szCs w:val="22"/>
        </w:rPr>
        <w:t xml:space="preserve">strong physical connectivity between these basins </w:t>
      </w:r>
      <w:r w:rsidR="002B4300" w:rsidRPr="007604C2">
        <w:rPr>
          <w:rFonts w:cs="Arial"/>
          <w:sz w:val="22"/>
          <w:szCs w:val="22"/>
        </w:rPr>
        <w:t>driven by</w:t>
      </w:r>
      <w:r w:rsidR="004A0FA5" w:rsidRPr="007604C2">
        <w:rPr>
          <w:rFonts w:cs="Arial"/>
          <w:sz w:val="22"/>
          <w:szCs w:val="22"/>
        </w:rPr>
        <w:t xml:space="preserve"> the ACC</w:t>
      </w:r>
      <w:r w:rsidR="002B4300" w:rsidRPr="007604C2">
        <w:rPr>
          <w:rFonts w:cs="Arial"/>
          <w:sz w:val="22"/>
          <w:szCs w:val="22"/>
        </w:rPr>
        <w:t xml:space="preserve"> may</w:t>
      </w:r>
      <w:r w:rsidR="004A0FA5" w:rsidRPr="007604C2">
        <w:rPr>
          <w:rFonts w:cs="Arial"/>
          <w:sz w:val="22"/>
          <w:szCs w:val="22"/>
        </w:rPr>
        <w:t xml:space="preserve"> </w:t>
      </w:r>
      <w:r w:rsidR="002B4300" w:rsidRPr="007604C2">
        <w:rPr>
          <w:rFonts w:cs="Arial"/>
          <w:sz w:val="22"/>
          <w:szCs w:val="22"/>
        </w:rPr>
        <w:t xml:space="preserve">promote </w:t>
      </w:r>
      <w:r w:rsidR="004A0FA5" w:rsidRPr="007604C2">
        <w:rPr>
          <w:rFonts w:cs="Arial"/>
          <w:sz w:val="22"/>
          <w:szCs w:val="22"/>
        </w:rPr>
        <w:t>substantial admixture</w:t>
      </w:r>
      <w:r w:rsidR="002B4300" w:rsidRPr="007604C2">
        <w:rPr>
          <w:rFonts w:cs="Arial"/>
          <w:sz w:val="22"/>
          <w:szCs w:val="22"/>
        </w:rPr>
        <w:t xml:space="preserve">, with the possible exception of </w:t>
      </w:r>
      <w:r w:rsidR="004A0FA5" w:rsidRPr="007604C2">
        <w:rPr>
          <w:rFonts w:cs="Arial"/>
          <w:sz w:val="22"/>
          <w:szCs w:val="22"/>
        </w:rPr>
        <w:t xml:space="preserve">samples collected in the </w:t>
      </w:r>
      <w:r w:rsidR="00B844B8" w:rsidRPr="007604C2">
        <w:rPr>
          <w:rFonts w:cs="Arial"/>
          <w:sz w:val="22"/>
          <w:szCs w:val="22"/>
        </w:rPr>
        <w:t>n</w:t>
      </w:r>
      <w:r w:rsidR="004A0FA5" w:rsidRPr="007604C2">
        <w:rPr>
          <w:rFonts w:cs="Arial"/>
          <w:sz w:val="22"/>
          <w:szCs w:val="22"/>
        </w:rPr>
        <w:t>orthern Drake Passage, which is separated from all other samples by the A</w:t>
      </w:r>
      <w:r w:rsidR="00EF10CC" w:rsidRPr="007604C2">
        <w:rPr>
          <w:rFonts w:cs="Arial"/>
          <w:sz w:val="22"/>
          <w:szCs w:val="22"/>
        </w:rPr>
        <w:t>ntarctic</w:t>
      </w:r>
      <w:r w:rsidR="004A0FA5" w:rsidRPr="007604C2">
        <w:rPr>
          <w:rFonts w:cs="Arial"/>
          <w:sz w:val="22"/>
          <w:szCs w:val="22"/>
        </w:rPr>
        <w:t xml:space="preserve"> Polar Front.</w:t>
      </w:r>
    </w:p>
    <w:p w14:paraId="4AD40AF3" w14:textId="77777777" w:rsidR="00497363" w:rsidRPr="007604C2" w:rsidRDefault="00497363" w:rsidP="002B4300">
      <w:pPr>
        <w:rPr>
          <w:rFonts w:cs="Arial"/>
          <w:b/>
          <w:sz w:val="22"/>
          <w:szCs w:val="22"/>
        </w:rPr>
      </w:pPr>
    </w:p>
    <w:p w14:paraId="005A9F40" w14:textId="3C511284" w:rsidR="00D80910" w:rsidRPr="007604C2" w:rsidRDefault="00497363" w:rsidP="00D80910">
      <w:pPr>
        <w:pStyle w:val="ListParagraph"/>
        <w:numPr>
          <w:ilvl w:val="0"/>
          <w:numId w:val="10"/>
        </w:numPr>
        <w:ind w:left="360"/>
        <w:rPr>
          <w:rFonts w:cs="Arial"/>
          <w:b/>
          <w:sz w:val="22"/>
          <w:szCs w:val="22"/>
        </w:rPr>
      </w:pPr>
      <w:r w:rsidRPr="007604C2">
        <w:rPr>
          <w:rFonts w:cs="Arial"/>
          <w:b/>
          <w:sz w:val="22"/>
          <w:szCs w:val="22"/>
        </w:rPr>
        <w:t>AIM 2</w:t>
      </w:r>
      <w:r w:rsidR="00A258C8" w:rsidRPr="007604C2">
        <w:rPr>
          <w:rFonts w:cs="Arial"/>
          <w:b/>
          <w:sz w:val="22"/>
          <w:szCs w:val="22"/>
        </w:rPr>
        <w:t>.</w:t>
      </w:r>
    </w:p>
    <w:p w14:paraId="6265B0C3" w14:textId="77777777" w:rsidR="00342EC4" w:rsidRPr="007604C2" w:rsidRDefault="00006BC0" w:rsidP="007604C2">
      <w:pPr>
        <w:rPr>
          <w:rFonts w:cs="Arial"/>
          <w:sz w:val="22"/>
          <w:szCs w:val="22"/>
        </w:rPr>
      </w:pPr>
      <w:r w:rsidRPr="007604C2">
        <w:rPr>
          <w:rFonts w:cs="Arial"/>
          <w:sz w:val="22"/>
          <w:szCs w:val="22"/>
        </w:rPr>
        <w:t>In tandem with the above aim of characterizing genomic polymorphism, w</w:t>
      </w:r>
      <w:r w:rsidR="00613B0B" w:rsidRPr="007604C2">
        <w:rPr>
          <w:rFonts w:cs="Arial"/>
          <w:sz w:val="22"/>
          <w:szCs w:val="22"/>
        </w:rPr>
        <w:t xml:space="preserve">e will </w:t>
      </w:r>
      <w:r w:rsidR="00DE368A" w:rsidRPr="007604C2">
        <w:rPr>
          <w:rFonts w:cs="Arial"/>
          <w:sz w:val="22"/>
          <w:szCs w:val="22"/>
        </w:rPr>
        <w:t>develop a diatom-specific reduced representation</w:t>
      </w:r>
      <w:r w:rsidR="00613B0B" w:rsidRPr="007604C2">
        <w:rPr>
          <w:rFonts w:cs="Arial"/>
          <w:sz w:val="22"/>
          <w:szCs w:val="22"/>
        </w:rPr>
        <w:t xml:space="preserve"> bisulfite </w:t>
      </w:r>
      <w:r w:rsidR="00DE368A" w:rsidRPr="007604C2">
        <w:rPr>
          <w:rFonts w:cs="Arial"/>
          <w:sz w:val="22"/>
          <w:szCs w:val="22"/>
        </w:rPr>
        <w:t>sequencing</w:t>
      </w:r>
      <w:r w:rsidR="003E3A66" w:rsidRPr="007604C2">
        <w:rPr>
          <w:rFonts w:cs="Arial"/>
          <w:sz w:val="22"/>
          <w:szCs w:val="22"/>
        </w:rPr>
        <w:t xml:space="preserve"> (RRBS)</w:t>
      </w:r>
      <w:r w:rsidR="00DE368A" w:rsidRPr="007604C2">
        <w:rPr>
          <w:rFonts w:cs="Arial"/>
          <w:sz w:val="22"/>
          <w:szCs w:val="22"/>
        </w:rPr>
        <w:t xml:space="preserve"> protocol, based on </w:t>
      </w:r>
      <w:proofErr w:type="spellStart"/>
      <w:r w:rsidR="00613B0B" w:rsidRPr="007604C2">
        <w:rPr>
          <w:rFonts w:cs="Arial"/>
          <w:sz w:val="22"/>
          <w:szCs w:val="22"/>
        </w:rPr>
        <w:t>bsRAD</w:t>
      </w:r>
      <w:r w:rsidR="00043FC9" w:rsidRPr="007604C2">
        <w:rPr>
          <w:rFonts w:cs="Arial"/>
          <w:sz w:val="22"/>
          <w:szCs w:val="22"/>
        </w:rPr>
        <w:t>-</w:t>
      </w:r>
      <w:r w:rsidR="00613B0B" w:rsidRPr="007604C2">
        <w:rPr>
          <w:rFonts w:cs="Arial"/>
          <w:sz w:val="22"/>
          <w:szCs w:val="22"/>
        </w:rPr>
        <w:t>seq</w:t>
      </w:r>
      <w:proofErr w:type="spellEnd"/>
      <w:r w:rsidR="00DE368A" w:rsidRPr="007604C2">
        <w:rPr>
          <w:rFonts w:cs="Arial"/>
          <w:sz w:val="22"/>
          <w:szCs w:val="22"/>
        </w:rPr>
        <w:t xml:space="preserve"> </w:t>
      </w:r>
      <w:r w:rsidR="00043FC9" w:rsidRPr="007604C2">
        <w:rPr>
          <w:rFonts w:cs="Arial"/>
          <w:sz w:val="22"/>
          <w:szCs w:val="22"/>
        </w:rPr>
        <w:t>(</w:t>
      </w:r>
      <w:proofErr w:type="spellStart"/>
      <w:r w:rsidR="00043FC9" w:rsidRPr="007604C2">
        <w:rPr>
          <w:rFonts w:cs="Arial"/>
          <w:sz w:val="22"/>
          <w:szCs w:val="22"/>
        </w:rPr>
        <w:t>Trucchi</w:t>
      </w:r>
      <w:proofErr w:type="spellEnd"/>
      <w:r w:rsidR="00043FC9" w:rsidRPr="007604C2">
        <w:rPr>
          <w:rFonts w:cs="Arial"/>
          <w:sz w:val="22"/>
          <w:szCs w:val="22"/>
        </w:rPr>
        <w:t xml:space="preserve"> et al. 2016</w:t>
      </w:r>
      <w:r w:rsidR="00DE368A" w:rsidRPr="007604C2">
        <w:rPr>
          <w:rFonts w:cs="Arial"/>
          <w:sz w:val="22"/>
          <w:szCs w:val="22"/>
        </w:rPr>
        <w:t xml:space="preserve">), </w:t>
      </w:r>
      <w:r w:rsidR="00613B0B" w:rsidRPr="007604C2">
        <w:rPr>
          <w:rFonts w:cs="Arial"/>
          <w:sz w:val="22"/>
          <w:szCs w:val="22"/>
        </w:rPr>
        <w:t xml:space="preserve">to inquire into </w:t>
      </w:r>
      <w:r w:rsidR="00DE368A" w:rsidRPr="007604C2">
        <w:rPr>
          <w:rFonts w:cs="Arial"/>
          <w:sz w:val="22"/>
          <w:szCs w:val="22"/>
        </w:rPr>
        <w:t>genome-wide epigenetic variability across distinct regional diatom populations.</w:t>
      </w:r>
      <w:r w:rsidR="00613B0B" w:rsidRPr="007604C2">
        <w:rPr>
          <w:rFonts w:cs="Arial"/>
          <w:sz w:val="22"/>
          <w:szCs w:val="22"/>
        </w:rPr>
        <w:t xml:space="preserve"> </w:t>
      </w:r>
    </w:p>
    <w:p w14:paraId="40E39B79" w14:textId="37BC8194" w:rsidR="00342EC4" w:rsidRPr="007604C2" w:rsidRDefault="00991E7E" w:rsidP="00342EC4">
      <w:pPr>
        <w:ind w:firstLine="360"/>
        <w:rPr>
          <w:rFonts w:cs="Arial"/>
          <w:sz w:val="22"/>
          <w:szCs w:val="22"/>
        </w:rPr>
      </w:pPr>
      <w:r w:rsidRPr="007604C2">
        <w:rPr>
          <w:rFonts w:cs="Arial"/>
          <w:sz w:val="22"/>
          <w:szCs w:val="22"/>
        </w:rPr>
        <w:t>One way in which epigenetic variation may drive population differentiation and local adaptation in the SO is through methylation-driven changes in transposable element</w:t>
      </w:r>
      <w:r w:rsidR="00F069B6" w:rsidRPr="007604C2">
        <w:rPr>
          <w:rFonts w:cs="Arial"/>
          <w:sz w:val="22"/>
          <w:szCs w:val="22"/>
        </w:rPr>
        <w:t xml:space="preserve"> (TE)</w:t>
      </w:r>
      <w:r w:rsidRPr="007604C2">
        <w:rPr>
          <w:rFonts w:cs="Arial"/>
          <w:sz w:val="22"/>
          <w:szCs w:val="22"/>
        </w:rPr>
        <w:t xml:space="preserve"> activity. </w:t>
      </w:r>
      <w:r w:rsidR="00F069B6" w:rsidRPr="007604C2">
        <w:rPr>
          <w:rFonts w:cs="Arial"/>
          <w:sz w:val="22"/>
          <w:szCs w:val="22"/>
        </w:rPr>
        <w:t xml:space="preserve">Methylation and TEs </w:t>
      </w:r>
      <w:r w:rsidR="00596E35" w:rsidRPr="007604C2">
        <w:rPr>
          <w:rFonts w:cs="Arial"/>
          <w:sz w:val="22"/>
          <w:szCs w:val="22"/>
        </w:rPr>
        <w:t>are strongly tied in higher plants (</w:t>
      </w:r>
      <w:proofErr w:type="spellStart"/>
      <w:r w:rsidR="00596E35" w:rsidRPr="007604C2">
        <w:rPr>
          <w:rFonts w:cs="Arial"/>
          <w:color w:val="222222"/>
          <w:spacing w:val="3"/>
          <w:sz w:val="22"/>
          <w:szCs w:val="22"/>
        </w:rPr>
        <w:t>Rabinowicz</w:t>
      </w:r>
      <w:proofErr w:type="spellEnd"/>
      <w:r w:rsidR="00596E35" w:rsidRPr="007604C2">
        <w:rPr>
          <w:rFonts w:cs="Arial"/>
          <w:color w:val="222222"/>
          <w:spacing w:val="3"/>
          <w:sz w:val="22"/>
          <w:szCs w:val="22"/>
        </w:rPr>
        <w:t xml:space="preserve"> et al. 1999; </w:t>
      </w:r>
      <w:proofErr w:type="spellStart"/>
      <w:r w:rsidR="00596E35" w:rsidRPr="007604C2">
        <w:rPr>
          <w:rFonts w:cs="Arial"/>
          <w:color w:val="222222"/>
          <w:spacing w:val="3"/>
          <w:sz w:val="22"/>
          <w:szCs w:val="22"/>
        </w:rPr>
        <w:t>Slotkin</w:t>
      </w:r>
      <w:proofErr w:type="spellEnd"/>
      <w:r w:rsidR="00596E35" w:rsidRPr="007604C2">
        <w:rPr>
          <w:rFonts w:cs="Arial"/>
          <w:color w:val="222222"/>
          <w:spacing w:val="3"/>
          <w:sz w:val="22"/>
          <w:szCs w:val="22"/>
        </w:rPr>
        <w:t xml:space="preserve"> et al. 2009), and while TE</w:t>
      </w:r>
      <w:r w:rsidR="00342EC4" w:rsidRPr="007604C2">
        <w:rPr>
          <w:rFonts w:cs="Arial"/>
          <w:color w:val="222222"/>
          <w:spacing w:val="3"/>
          <w:sz w:val="22"/>
          <w:szCs w:val="22"/>
        </w:rPr>
        <w:t xml:space="preserve"> activity was once thought to be less common in smaller genomes of predominantly asexual organisms, newly characterized activity in fungi challenge this view (Lopes et al. 2009)</w:t>
      </w:r>
      <w:r w:rsidR="00596E35" w:rsidRPr="007604C2">
        <w:rPr>
          <w:rFonts w:cs="Arial"/>
          <w:color w:val="222222"/>
          <w:spacing w:val="3"/>
          <w:sz w:val="22"/>
          <w:szCs w:val="22"/>
        </w:rPr>
        <w:t>. In t</w:t>
      </w:r>
      <w:r w:rsidRPr="007604C2">
        <w:rPr>
          <w:rFonts w:cs="Arial"/>
          <w:sz w:val="22"/>
          <w:szCs w:val="22"/>
        </w:rPr>
        <w:t xml:space="preserve">he few model diatoms for which </w:t>
      </w:r>
      <w:proofErr w:type="spellStart"/>
      <w:r w:rsidRPr="007604C2">
        <w:rPr>
          <w:rFonts w:cs="Arial"/>
          <w:sz w:val="22"/>
          <w:szCs w:val="22"/>
        </w:rPr>
        <w:t>methylomic</w:t>
      </w:r>
      <w:proofErr w:type="spellEnd"/>
      <w:r w:rsidRPr="007604C2">
        <w:rPr>
          <w:rFonts w:cs="Arial"/>
          <w:sz w:val="22"/>
          <w:szCs w:val="22"/>
        </w:rPr>
        <w:t xml:space="preserve"> data has been collected</w:t>
      </w:r>
      <w:r w:rsidR="00B844B8" w:rsidRPr="007604C2">
        <w:rPr>
          <w:rFonts w:cs="Arial"/>
          <w:sz w:val="22"/>
          <w:szCs w:val="22"/>
        </w:rPr>
        <w:t>,</w:t>
      </w:r>
      <w:r w:rsidRPr="007604C2">
        <w:rPr>
          <w:rFonts w:cs="Arial"/>
          <w:sz w:val="22"/>
          <w:szCs w:val="22"/>
        </w:rPr>
        <w:t xml:space="preserve"> </w:t>
      </w:r>
      <w:r w:rsidR="00342EC4" w:rsidRPr="007604C2">
        <w:rPr>
          <w:rFonts w:cs="Arial"/>
          <w:sz w:val="22"/>
          <w:szCs w:val="22"/>
        </w:rPr>
        <w:t>there exists a great</w:t>
      </w:r>
      <w:r w:rsidRPr="007604C2">
        <w:rPr>
          <w:rFonts w:cs="Arial"/>
          <w:sz w:val="22"/>
          <w:szCs w:val="22"/>
        </w:rPr>
        <w:t xml:space="preserve"> range of methylated DNA (1-50%; </w:t>
      </w:r>
      <w:proofErr w:type="spellStart"/>
      <w:r w:rsidR="00342EC4" w:rsidRPr="007604C2">
        <w:rPr>
          <w:rFonts w:cs="Arial"/>
          <w:sz w:val="22"/>
          <w:szCs w:val="22"/>
        </w:rPr>
        <w:t>Traller</w:t>
      </w:r>
      <w:proofErr w:type="spellEnd"/>
      <w:r w:rsidR="00342EC4" w:rsidRPr="007604C2">
        <w:rPr>
          <w:rFonts w:cs="Arial"/>
          <w:sz w:val="22"/>
          <w:szCs w:val="22"/>
        </w:rPr>
        <w:t xml:space="preserve"> et al. 2016; Tanaka et al. 2016</w:t>
      </w:r>
      <w:r w:rsidRPr="007604C2">
        <w:rPr>
          <w:rFonts w:cs="Arial"/>
          <w:sz w:val="22"/>
          <w:szCs w:val="22"/>
        </w:rPr>
        <w:t>)</w:t>
      </w:r>
      <w:r w:rsidR="00B844B8" w:rsidRPr="007604C2">
        <w:rPr>
          <w:rFonts w:cs="Arial"/>
          <w:sz w:val="22"/>
          <w:szCs w:val="22"/>
        </w:rPr>
        <w:t>.</w:t>
      </w:r>
      <w:r w:rsidRPr="007604C2">
        <w:rPr>
          <w:rFonts w:cs="Arial"/>
          <w:sz w:val="22"/>
          <w:szCs w:val="22"/>
        </w:rPr>
        <w:t xml:space="preserve"> </w:t>
      </w:r>
      <w:proofErr w:type="spellStart"/>
      <w:r w:rsidR="00342EC4" w:rsidRPr="007604C2">
        <w:rPr>
          <w:rFonts w:cs="Arial"/>
          <w:sz w:val="22"/>
          <w:szCs w:val="22"/>
        </w:rPr>
        <w:t>Copia</w:t>
      </w:r>
      <w:proofErr w:type="spellEnd"/>
      <w:r w:rsidR="00342EC4" w:rsidRPr="007604C2">
        <w:rPr>
          <w:rFonts w:cs="Arial"/>
          <w:sz w:val="22"/>
          <w:szCs w:val="22"/>
        </w:rPr>
        <w:t>-type LTR TEs in particular have been noted a</w:t>
      </w:r>
      <w:r w:rsidR="00B844B8" w:rsidRPr="007604C2">
        <w:rPr>
          <w:rFonts w:cs="Arial"/>
          <w:sz w:val="22"/>
          <w:szCs w:val="22"/>
        </w:rPr>
        <w:t>s</w:t>
      </w:r>
      <w:r w:rsidR="00342EC4" w:rsidRPr="007604C2">
        <w:rPr>
          <w:rFonts w:cs="Arial"/>
          <w:sz w:val="22"/>
          <w:szCs w:val="22"/>
        </w:rPr>
        <w:t xml:space="preserve"> highly methylated in at least one model diatom species (</w:t>
      </w:r>
      <w:proofErr w:type="spellStart"/>
      <w:r w:rsidR="00342EC4" w:rsidRPr="007604C2">
        <w:rPr>
          <w:rFonts w:cs="Arial"/>
          <w:sz w:val="22"/>
          <w:szCs w:val="22"/>
        </w:rPr>
        <w:t>Veluchaumy</w:t>
      </w:r>
      <w:proofErr w:type="spellEnd"/>
      <w:r w:rsidR="00342EC4" w:rsidRPr="007604C2">
        <w:rPr>
          <w:rFonts w:cs="Arial"/>
          <w:sz w:val="22"/>
          <w:szCs w:val="22"/>
        </w:rPr>
        <w:t xml:space="preserve"> et al. 2013)</w:t>
      </w:r>
      <w:r w:rsidR="008F7C81" w:rsidRPr="007604C2">
        <w:rPr>
          <w:rFonts w:cs="Arial"/>
          <w:sz w:val="22"/>
          <w:szCs w:val="22"/>
        </w:rPr>
        <w:t>.</w:t>
      </w:r>
      <w:r w:rsidR="00B844B8" w:rsidRPr="007604C2">
        <w:rPr>
          <w:rFonts w:cs="Arial"/>
          <w:sz w:val="22"/>
          <w:szCs w:val="22"/>
        </w:rPr>
        <w:t xml:space="preserve"> Hence,</w:t>
      </w:r>
      <w:r w:rsidR="008F7C81" w:rsidRPr="007604C2">
        <w:rPr>
          <w:rFonts w:cs="Arial"/>
          <w:sz w:val="22"/>
          <w:szCs w:val="22"/>
        </w:rPr>
        <w:t xml:space="preserve"> </w:t>
      </w:r>
      <w:proofErr w:type="spellStart"/>
      <w:r w:rsidR="008F7C81" w:rsidRPr="007604C2">
        <w:rPr>
          <w:rFonts w:cs="Arial"/>
          <w:sz w:val="22"/>
          <w:szCs w:val="22"/>
        </w:rPr>
        <w:t>bsRAD-seq</w:t>
      </w:r>
      <w:proofErr w:type="spellEnd"/>
      <w:r w:rsidR="008F7C81" w:rsidRPr="007604C2">
        <w:rPr>
          <w:rFonts w:cs="Arial"/>
          <w:sz w:val="22"/>
          <w:szCs w:val="22"/>
        </w:rPr>
        <w:t xml:space="preserve"> </w:t>
      </w:r>
      <w:r w:rsidR="00B844B8" w:rsidRPr="007604C2">
        <w:rPr>
          <w:rFonts w:cs="Arial"/>
          <w:sz w:val="22"/>
          <w:szCs w:val="22"/>
        </w:rPr>
        <w:t xml:space="preserve">datasets </w:t>
      </w:r>
      <w:r w:rsidR="008F7C81" w:rsidRPr="007604C2">
        <w:rPr>
          <w:rFonts w:cs="Arial"/>
          <w:sz w:val="22"/>
          <w:szCs w:val="22"/>
        </w:rPr>
        <w:t xml:space="preserve">will be examined with particular regard to the diatom </w:t>
      </w:r>
      <w:proofErr w:type="spellStart"/>
      <w:r w:rsidR="008F7C81" w:rsidRPr="007604C2">
        <w:rPr>
          <w:rFonts w:cs="Arial"/>
          <w:sz w:val="22"/>
          <w:szCs w:val="22"/>
        </w:rPr>
        <w:t>repeatome</w:t>
      </w:r>
      <w:proofErr w:type="spellEnd"/>
      <w:r w:rsidR="008F7C81" w:rsidRPr="007604C2">
        <w:rPr>
          <w:rFonts w:cs="Arial"/>
          <w:sz w:val="22"/>
          <w:szCs w:val="22"/>
        </w:rPr>
        <w:t>, given its potential to shape phenotype and isolate populations.</w:t>
      </w:r>
    </w:p>
    <w:p w14:paraId="4777C65A" w14:textId="3B269DD0" w:rsidR="009C5002" w:rsidRPr="007604C2" w:rsidRDefault="003E3A66" w:rsidP="008F7C81">
      <w:pPr>
        <w:ind w:firstLine="360"/>
        <w:rPr>
          <w:rFonts w:cs="Arial"/>
          <w:sz w:val="22"/>
          <w:szCs w:val="22"/>
        </w:rPr>
      </w:pPr>
      <w:r w:rsidRPr="007604C2">
        <w:rPr>
          <w:rFonts w:cs="Arial"/>
          <w:sz w:val="22"/>
          <w:szCs w:val="22"/>
        </w:rPr>
        <w:lastRenderedPageBreak/>
        <w:t xml:space="preserve">There are </w:t>
      </w:r>
      <w:r w:rsidR="007F7545" w:rsidRPr="007604C2">
        <w:rPr>
          <w:rFonts w:cs="Arial"/>
          <w:sz w:val="22"/>
          <w:szCs w:val="22"/>
        </w:rPr>
        <w:t>multiple</w:t>
      </w:r>
      <w:r w:rsidRPr="007604C2">
        <w:rPr>
          <w:rFonts w:cs="Arial"/>
          <w:sz w:val="22"/>
          <w:szCs w:val="22"/>
        </w:rPr>
        <w:t xml:space="preserve"> advantages to choosing this specific RRBS method as a starting point. First, a reference genome is not necessary</w:t>
      </w:r>
      <w:r w:rsidR="009C22EF" w:rsidRPr="007604C2">
        <w:rPr>
          <w:rFonts w:cs="Arial"/>
          <w:sz w:val="22"/>
          <w:szCs w:val="22"/>
        </w:rPr>
        <w:t xml:space="preserve">. </w:t>
      </w:r>
      <w:r w:rsidR="00D06BF3" w:rsidRPr="007604C2">
        <w:rPr>
          <w:rFonts w:cs="Arial"/>
          <w:sz w:val="22"/>
          <w:szCs w:val="22"/>
        </w:rPr>
        <w:t xml:space="preserve">Any </w:t>
      </w:r>
      <w:r w:rsidR="009C22EF" w:rsidRPr="007604C2">
        <w:rPr>
          <w:rFonts w:cs="Arial"/>
          <w:sz w:val="22"/>
          <w:szCs w:val="22"/>
        </w:rPr>
        <w:t xml:space="preserve">hope that the proposed work will </w:t>
      </w:r>
      <w:r w:rsidR="00D06BF3" w:rsidRPr="007604C2">
        <w:rPr>
          <w:rFonts w:cs="Arial"/>
          <w:sz w:val="22"/>
          <w:szCs w:val="22"/>
        </w:rPr>
        <w:t>inform</w:t>
      </w:r>
      <w:r w:rsidR="009C22EF" w:rsidRPr="007604C2">
        <w:rPr>
          <w:rFonts w:cs="Arial"/>
          <w:sz w:val="22"/>
          <w:szCs w:val="22"/>
        </w:rPr>
        <w:t xml:space="preserve"> other algal or protist population research</w:t>
      </w:r>
      <w:r w:rsidR="00D06BF3" w:rsidRPr="007604C2">
        <w:rPr>
          <w:rFonts w:cs="Arial"/>
          <w:sz w:val="22"/>
          <w:szCs w:val="22"/>
        </w:rPr>
        <w:t xml:space="preserve"> relies</w:t>
      </w:r>
      <w:r w:rsidR="009C22EF" w:rsidRPr="007604C2">
        <w:rPr>
          <w:rFonts w:cs="Arial"/>
          <w:sz w:val="22"/>
          <w:szCs w:val="22"/>
        </w:rPr>
        <w:t xml:space="preserve"> on the effective analysis of populations without reference genomes</w:t>
      </w:r>
      <w:r w:rsidR="00B844B8" w:rsidRPr="007604C2">
        <w:rPr>
          <w:rFonts w:cs="Arial"/>
          <w:sz w:val="22"/>
          <w:szCs w:val="22"/>
        </w:rPr>
        <w:t>. This is because</w:t>
      </w:r>
      <w:r w:rsidR="009C22EF" w:rsidRPr="007604C2">
        <w:rPr>
          <w:rFonts w:cs="Arial"/>
          <w:sz w:val="22"/>
          <w:szCs w:val="22"/>
        </w:rPr>
        <w:t xml:space="preserve"> </w:t>
      </w:r>
      <w:r w:rsidR="00B844B8" w:rsidRPr="007604C2">
        <w:rPr>
          <w:rFonts w:cs="Arial"/>
          <w:sz w:val="22"/>
          <w:szCs w:val="22"/>
        </w:rPr>
        <w:t>a</w:t>
      </w:r>
      <w:r w:rsidR="009C22EF" w:rsidRPr="007604C2">
        <w:rPr>
          <w:rFonts w:cs="Arial"/>
          <w:sz w:val="22"/>
          <w:szCs w:val="22"/>
        </w:rPr>
        <w:t xml:space="preserve"> miniscule fraction of marine protists have sequenced genomes (</w:t>
      </w:r>
      <w:proofErr w:type="spellStart"/>
      <w:r w:rsidR="009C22EF" w:rsidRPr="007604C2">
        <w:rPr>
          <w:rFonts w:cs="Arial"/>
          <w:sz w:val="22"/>
          <w:szCs w:val="22"/>
        </w:rPr>
        <w:t>Sibbald</w:t>
      </w:r>
      <w:proofErr w:type="spellEnd"/>
      <w:r w:rsidR="009C22EF" w:rsidRPr="007604C2">
        <w:rPr>
          <w:rFonts w:cs="Arial"/>
          <w:sz w:val="22"/>
          <w:szCs w:val="22"/>
        </w:rPr>
        <w:t xml:space="preserve"> </w:t>
      </w:r>
      <w:r w:rsidR="00C14110" w:rsidRPr="007604C2">
        <w:rPr>
          <w:rFonts w:cs="Arial"/>
          <w:sz w:val="22"/>
          <w:szCs w:val="22"/>
        </w:rPr>
        <w:t>&amp;</w:t>
      </w:r>
      <w:r w:rsidR="009C22EF" w:rsidRPr="007604C2">
        <w:rPr>
          <w:rFonts w:cs="Arial"/>
          <w:sz w:val="22"/>
          <w:szCs w:val="22"/>
        </w:rPr>
        <w:t xml:space="preserve"> Archibald 2017), including 7 diatoms species out the </w:t>
      </w:r>
      <w:r w:rsidR="00B844B8" w:rsidRPr="007604C2">
        <w:rPr>
          <w:rFonts w:cs="Arial"/>
          <w:sz w:val="22"/>
          <w:szCs w:val="22"/>
        </w:rPr>
        <w:t xml:space="preserve">richness </w:t>
      </w:r>
      <w:r w:rsidR="009C22EF" w:rsidRPr="007604C2">
        <w:rPr>
          <w:rFonts w:cs="Arial"/>
          <w:sz w:val="22"/>
          <w:szCs w:val="22"/>
        </w:rPr>
        <w:t xml:space="preserve">estimates </w:t>
      </w:r>
      <w:r w:rsidR="00027EF3" w:rsidRPr="007604C2">
        <w:rPr>
          <w:rFonts w:cs="Arial"/>
          <w:sz w:val="22"/>
          <w:szCs w:val="22"/>
        </w:rPr>
        <w:t xml:space="preserve">ranging from 30,000-100,000 </w:t>
      </w:r>
      <w:r w:rsidR="00B844B8" w:rsidRPr="007604C2">
        <w:rPr>
          <w:rFonts w:cs="Arial"/>
          <w:sz w:val="22"/>
          <w:szCs w:val="22"/>
        </w:rPr>
        <w:t xml:space="preserve">species </w:t>
      </w:r>
      <w:r w:rsidR="00027EF3" w:rsidRPr="007604C2">
        <w:rPr>
          <w:rFonts w:cs="Arial"/>
          <w:sz w:val="22"/>
          <w:szCs w:val="22"/>
        </w:rPr>
        <w:t xml:space="preserve">globally (Mann </w:t>
      </w:r>
      <w:r w:rsidR="00C14110" w:rsidRPr="007604C2">
        <w:rPr>
          <w:rFonts w:cs="Arial"/>
          <w:sz w:val="22"/>
          <w:szCs w:val="22"/>
        </w:rPr>
        <w:t>&amp;</w:t>
      </w:r>
      <w:r w:rsidR="00027EF3" w:rsidRPr="007604C2">
        <w:rPr>
          <w:rFonts w:cs="Arial"/>
          <w:sz w:val="22"/>
          <w:szCs w:val="22"/>
        </w:rPr>
        <w:t xml:space="preserve"> </w:t>
      </w:r>
      <w:proofErr w:type="spellStart"/>
      <w:r w:rsidR="00027EF3" w:rsidRPr="007604C2">
        <w:rPr>
          <w:rFonts w:cs="Arial"/>
          <w:sz w:val="22"/>
          <w:szCs w:val="22"/>
        </w:rPr>
        <w:t>Vanormelingen</w:t>
      </w:r>
      <w:proofErr w:type="spellEnd"/>
      <w:r w:rsidR="00027EF3" w:rsidRPr="007604C2">
        <w:rPr>
          <w:rFonts w:cs="Arial"/>
          <w:sz w:val="22"/>
          <w:szCs w:val="22"/>
        </w:rPr>
        <w:t xml:space="preserve"> 2013)</w:t>
      </w:r>
      <w:r w:rsidR="009C22EF" w:rsidRPr="007604C2">
        <w:rPr>
          <w:rFonts w:cs="Arial"/>
          <w:sz w:val="22"/>
          <w:szCs w:val="22"/>
        </w:rPr>
        <w:t>.</w:t>
      </w:r>
      <w:r w:rsidR="0041354E" w:rsidRPr="007604C2">
        <w:rPr>
          <w:rFonts w:cs="Arial"/>
          <w:sz w:val="22"/>
          <w:szCs w:val="22"/>
        </w:rPr>
        <w:t xml:space="preserve"> Second, i</w:t>
      </w:r>
      <w:r w:rsidRPr="007604C2">
        <w:rPr>
          <w:rFonts w:cs="Arial"/>
          <w:sz w:val="22"/>
          <w:szCs w:val="22"/>
        </w:rPr>
        <w:t xml:space="preserve">t neatly aligns with our first specific aim of using </w:t>
      </w:r>
      <w:proofErr w:type="spellStart"/>
      <w:r w:rsidRPr="007604C2">
        <w:rPr>
          <w:rFonts w:cs="Arial"/>
          <w:sz w:val="22"/>
          <w:szCs w:val="22"/>
        </w:rPr>
        <w:t>ddRAD-seq</w:t>
      </w:r>
      <w:proofErr w:type="spellEnd"/>
      <w:r w:rsidRPr="007604C2">
        <w:rPr>
          <w:rFonts w:cs="Arial"/>
          <w:sz w:val="22"/>
          <w:szCs w:val="22"/>
        </w:rPr>
        <w:t xml:space="preserve"> to tease out population structure for these diatoms. </w:t>
      </w:r>
      <w:proofErr w:type="spellStart"/>
      <w:r w:rsidRPr="007604C2">
        <w:rPr>
          <w:rFonts w:cs="Arial"/>
          <w:sz w:val="22"/>
          <w:szCs w:val="22"/>
        </w:rPr>
        <w:t>bsRAD-seq</w:t>
      </w:r>
      <w:proofErr w:type="spellEnd"/>
      <w:r w:rsidRPr="007604C2">
        <w:rPr>
          <w:rFonts w:cs="Arial"/>
          <w:sz w:val="22"/>
          <w:szCs w:val="22"/>
        </w:rPr>
        <w:t xml:space="preserve"> itself requires two rounds of library preparation, one that includes a methylation-sensitive cut site and a second, identical to “traditional” </w:t>
      </w:r>
      <w:proofErr w:type="spellStart"/>
      <w:r w:rsidRPr="007604C2">
        <w:rPr>
          <w:rFonts w:cs="Arial"/>
          <w:sz w:val="22"/>
          <w:szCs w:val="22"/>
        </w:rPr>
        <w:t>ddRADseq</w:t>
      </w:r>
      <w:proofErr w:type="spellEnd"/>
      <w:r w:rsidRPr="007604C2">
        <w:rPr>
          <w:rFonts w:cs="Arial"/>
          <w:sz w:val="22"/>
          <w:szCs w:val="22"/>
        </w:rPr>
        <w:t xml:space="preserve"> that uses methylation-insensitive</w:t>
      </w:r>
      <w:r w:rsidR="00B844B8" w:rsidRPr="007604C2">
        <w:rPr>
          <w:rFonts w:cs="Arial"/>
          <w:sz w:val="22"/>
          <w:szCs w:val="22"/>
        </w:rPr>
        <w:t xml:space="preserve"> restriction enzymes</w:t>
      </w:r>
      <w:r w:rsidRPr="007604C2">
        <w:rPr>
          <w:rFonts w:cs="Arial"/>
          <w:sz w:val="22"/>
          <w:szCs w:val="22"/>
        </w:rPr>
        <w:t>. The sequencing of both libraries allows one to discriminate between single methylated polymorphisms (SMPs) and SNPs at the same RAD loci.</w:t>
      </w:r>
      <w:r w:rsidR="007F7545" w:rsidRPr="007604C2">
        <w:rPr>
          <w:rFonts w:cs="Arial"/>
          <w:sz w:val="22"/>
          <w:szCs w:val="22"/>
        </w:rPr>
        <w:t xml:space="preserve"> The discernment between the</w:t>
      </w:r>
      <w:r w:rsidR="009C5002" w:rsidRPr="007604C2">
        <w:rPr>
          <w:rFonts w:cs="Arial"/>
          <w:sz w:val="22"/>
          <w:szCs w:val="22"/>
        </w:rPr>
        <w:t>se</w:t>
      </w:r>
      <w:r w:rsidR="007F7545" w:rsidRPr="007604C2">
        <w:rPr>
          <w:rFonts w:cs="Arial"/>
          <w:sz w:val="22"/>
          <w:szCs w:val="22"/>
        </w:rPr>
        <w:t xml:space="preserve"> two</w:t>
      </w:r>
      <w:r w:rsidR="009C5002" w:rsidRPr="007604C2">
        <w:rPr>
          <w:rFonts w:cs="Arial"/>
          <w:sz w:val="22"/>
          <w:szCs w:val="22"/>
        </w:rPr>
        <w:t xml:space="preserve"> variant forms</w:t>
      </w:r>
      <w:r w:rsidR="007F7545" w:rsidRPr="007604C2">
        <w:rPr>
          <w:rFonts w:cs="Arial"/>
          <w:sz w:val="22"/>
          <w:szCs w:val="22"/>
        </w:rPr>
        <w:t xml:space="preserve"> </w:t>
      </w:r>
      <w:r w:rsidR="009C5002" w:rsidRPr="007604C2">
        <w:rPr>
          <w:rFonts w:cs="Arial"/>
          <w:sz w:val="22"/>
          <w:szCs w:val="22"/>
        </w:rPr>
        <w:t>allows for the comparison of several (epi)genomic features: LD:MD (methylation disequilibrium)</w:t>
      </w:r>
      <w:r w:rsidR="006051BB" w:rsidRPr="007604C2">
        <w:rPr>
          <w:rFonts w:cs="Arial"/>
          <w:sz w:val="22"/>
          <w:szCs w:val="22"/>
        </w:rPr>
        <w:t>, differences in SMP and SNP heterogeneity, SMP allele frequency at neutral vs outlier loci, etc. (Zhao et al. 2018). Developing an initial understanding of these relationships is a first step toward relating spatial patterns in plasticity and local adaptation to specific molecular level processes.</w:t>
      </w:r>
    </w:p>
    <w:p w14:paraId="6FE3A7F1" w14:textId="77777777" w:rsidR="006051BB" w:rsidRPr="007604C2" w:rsidRDefault="006051BB" w:rsidP="006051BB">
      <w:pPr>
        <w:pStyle w:val="ListParagraph"/>
        <w:ind w:left="360"/>
        <w:rPr>
          <w:rFonts w:cs="Arial"/>
          <w:b/>
          <w:sz w:val="22"/>
          <w:szCs w:val="22"/>
        </w:rPr>
      </w:pPr>
    </w:p>
    <w:p w14:paraId="486E61BD" w14:textId="11E74235" w:rsidR="00454670" w:rsidRPr="007604C2" w:rsidRDefault="00454670" w:rsidP="00B16870">
      <w:pPr>
        <w:pStyle w:val="ListParagraph"/>
        <w:numPr>
          <w:ilvl w:val="0"/>
          <w:numId w:val="10"/>
        </w:numPr>
        <w:ind w:left="360"/>
        <w:rPr>
          <w:rFonts w:cs="Arial"/>
          <w:b/>
          <w:sz w:val="22"/>
          <w:szCs w:val="22"/>
        </w:rPr>
      </w:pPr>
      <w:r w:rsidRPr="007604C2">
        <w:rPr>
          <w:rFonts w:cs="Arial"/>
          <w:b/>
          <w:sz w:val="22"/>
          <w:szCs w:val="22"/>
        </w:rPr>
        <w:t>Intellectual Merit</w:t>
      </w:r>
    </w:p>
    <w:p w14:paraId="74F84614" w14:textId="43449EAB" w:rsidR="00367B76" w:rsidRPr="007604C2" w:rsidRDefault="000C754D" w:rsidP="007604C2">
      <w:pPr>
        <w:rPr>
          <w:rFonts w:cs="Arial"/>
          <w:b/>
          <w:i/>
          <w:sz w:val="22"/>
          <w:szCs w:val="22"/>
        </w:rPr>
      </w:pPr>
      <w:r w:rsidRPr="007604C2">
        <w:rPr>
          <w:rFonts w:cs="Arial"/>
          <w:sz w:val="22"/>
          <w:szCs w:val="22"/>
        </w:rPr>
        <w:t xml:space="preserve">The proposed research above will contribute significantly both to the more localized fields of diatom </w:t>
      </w:r>
      <w:r w:rsidR="00367B76" w:rsidRPr="007604C2">
        <w:rPr>
          <w:rFonts w:cs="Arial"/>
          <w:sz w:val="22"/>
          <w:szCs w:val="22"/>
        </w:rPr>
        <w:t xml:space="preserve">and phytoplankton ecology but also to broader efforts to incorporate ecological and evolutionary parameters into climate change modeling efforts. First, if funded this work would be the first to apply modern population genomics methods to eukaryotic phytoplankton. To date, only a couple of studies have examined marine cyanobacterial populations with next generation sequencing (NGS) methods, and these have utilized whole genome sequencing, </w:t>
      </w:r>
      <w:r w:rsidR="00EA6691" w:rsidRPr="007604C2">
        <w:rPr>
          <w:rFonts w:cs="Arial"/>
          <w:sz w:val="22"/>
          <w:szCs w:val="22"/>
        </w:rPr>
        <w:t xml:space="preserve">which is far more difficult and expensive in larger, repeat-rich eukaryotic lineages. </w:t>
      </w:r>
      <w:r w:rsidR="00B844B8" w:rsidRPr="007604C2">
        <w:rPr>
          <w:rFonts w:cs="Arial"/>
          <w:sz w:val="22"/>
          <w:szCs w:val="22"/>
        </w:rPr>
        <w:t>Further,</w:t>
      </w:r>
      <w:r w:rsidR="00EA6691" w:rsidRPr="007604C2">
        <w:rPr>
          <w:rFonts w:cs="Arial"/>
          <w:sz w:val="22"/>
          <w:szCs w:val="22"/>
        </w:rPr>
        <w:t xml:space="preserve"> no attempt </w:t>
      </w:r>
      <w:r w:rsidR="00B844B8" w:rsidRPr="007604C2">
        <w:rPr>
          <w:rFonts w:cs="Arial"/>
          <w:sz w:val="22"/>
          <w:szCs w:val="22"/>
        </w:rPr>
        <w:t xml:space="preserve">has been made </w:t>
      </w:r>
      <w:r w:rsidR="00EA6691" w:rsidRPr="007604C2">
        <w:rPr>
          <w:rFonts w:cs="Arial"/>
          <w:sz w:val="22"/>
          <w:szCs w:val="22"/>
        </w:rPr>
        <w:t xml:space="preserve">to optimize and apply more economical </w:t>
      </w:r>
      <w:r w:rsidR="00B844B8" w:rsidRPr="007604C2">
        <w:rPr>
          <w:rFonts w:cs="Arial"/>
          <w:sz w:val="22"/>
          <w:szCs w:val="22"/>
        </w:rPr>
        <w:t>RRS</w:t>
      </w:r>
      <w:r w:rsidR="00EA6691" w:rsidRPr="007604C2">
        <w:rPr>
          <w:rFonts w:cs="Arial"/>
          <w:sz w:val="22"/>
          <w:szCs w:val="22"/>
        </w:rPr>
        <w:t xml:space="preserve"> methods to non-model microbial eukaryotes, and efforts to propel widely applied methods like RAD-</w:t>
      </w:r>
      <w:proofErr w:type="spellStart"/>
      <w:r w:rsidR="00EA6691" w:rsidRPr="007604C2">
        <w:rPr>
          <w:rFonts w:cs="Arial"/>
          <w:sz w:val="22"/>
          <w:szCs w:val="22"/>
        </w:rPr>
        <w:t>seq</w:t>
      </w:r>
      <w:proofErr w:type="spellEnd"/>
      <w:r w:rsidR="00EA6691" w:rsidRPr="007604C2">
        <w:rPr>
          <w:rFonts w:cs="Arial"/>
          <w:sz w:val="22"/>
          <w:szCs w:val="22"/>
        </w:rPr>
        <w:t xml:space="preserve"> into protist systems could transform the way we approach them.</w:t>
      </w:r>
    </w:p>
    <w:p w14:paraId="0BDCDAF1" w14:textId="469E055F" w:rsidR="00EA6691" w:rsidRPr="007604C2" w:rsidRDefault="00EA6691" w:rsidP="009A17B9">
      <w:pPr>
        <w:ind w:firstLine="720"/>
        <w:rPr>
          <w:rFonts w:cs="Arial"/>
          <w:sz w:val="22"/>
          <w:szCs w:val="22"/>
        </w:rPr>
      </w:pPr>
      <w:r w:rsidRPr="007604C2">
        <w:rPr>
          <w:rFonts w:cs="Arial"/>
          <w:sz w:val="22"/>
          <w:szCs w:val="22"/>
        </w:rPr>
        <w:t xml:space="preserve">Second, it is imperative that we understand how phenotypic plasticity, genetic and epigenetic diversity is structured in changing ecosystems, as spatial patterns in these features may help inform researchers about which regions may be </w:t>
      </w:r>
      <w:r w:rsidR="00FC2150" w:rsidRPr="007604C2">
        <w:rPr>
          <w:rFonts w:cs="Arial"/>
          <w:sz w:val="22"/>
          <w:szCs w:val="22"/>
        </w:rPr>
        <w:t xml:space="preserve">most </w:t>
      </w:r>
      <w:r w:rsidRPr="007604C2">
        <w:rPr>
          <w:rFonts w:cs="Arial"/>
          <w:sz w:val="22"/>
          <w:szCs w:val="22"/>
        </w:rPr>
        <w:t xml:space="preserve">adversely affected by </w:t>
      </w:r>
      <w:r w:rsidR="00FC2150" w:rsidRPr="007604C2">
        <w:rPr>
          <w:rFonts w:cs="Arial"/>
          <w:sz w:val="22"/>
          <w:szCs w:val="22"/>
        </w:rPr>
        <w:t>SO phytoplankton-mediated</w:t>
      </w:r>
      <w:r w:rsidRPr="007604C2">
        <w:rPr>
          <w:rFonts w:cs="Arial"/>
          <w:sz w:val="22"/>
          <w:szCs w:val="22"/>
        </w:rPr>
        <w:t xml:space="preserve"> feedback loops that intensify ocean </w:t>
      </w:r>
      <w:r w:rsidR="00FC2150" w:rsidRPr="007604C2">
        <w:rPr>
          <w:rFonts w:cs="Arial"/>
          <w:sz w:val="22"/>
          <w:szCs w:val="22"/>
        </w:rPr>
        <w:t>change</w:t>
      </w:r>
      <w:r w:rsidRPr="007604C2">
        <w:rPr>
          <w:rFonts w:cs="Arial"/>
          <w:sz w:val="22"/>
          <w:szCs w:val="22"/>
        </w:rPr>
        <w:t xml:space="preserve">. </w:t>
      </w:r>
      <w:r w:rsidR="00FC2150" w:rsidRPr="007604C2">
        <w:rPr>
          <w:rFonts w:cs="Arial"/>
          <w:sz w:val="22"/>
          <w:szCs w:val="22"/>
        </w:rPr>
        <w:t>Species-</w:t>
      </w:r>
      <w:r w:rsidRPr="007604C2">
        <w:rPr>
          <w:rFonts w:cs="Arial"/>
          <w:sz w:val="22"/>
          <w:szCs w:val="22"/>
        </w:rPr>
        <w:t xml:space="preserve">specific </w:t>
      </w:r>
      <w:r w:rsidR="00FC2150" w:rsidRPr="007604C2">
        <w:rPr>
          <w:rFonts w:cs="Arial"/>
          <w:sz w:val="22"/>
          <w:szCs w:val="22"/>
        </w:rPr>
        <w:t xml:space="preserve">molecular </w:t>
      </w:r>
      <w:r w:rsidRPr="007604C2">
        <w:rPr>
          <w:rFonts w:cs="Arial"/>
          <w:sz w:val="22"/>
          <w:szCs w:val="22"/>
        </w:rPr>
        <w:t xml:space="preserve">diversity </w:t>
      </w:r>
      <w:r w:rsidR="00FC2150" w:rsidRPr="007604C2">
        <w:rPr>
          <w:rFonts w:cs="Arial"/>
          <w:sz w:val="22"/>
          <w:szCs w:val="22"/>
        </w:rPr>
        <w:t xml:space="preserve">as proposed here </w:t>
      </w:r>
      <w:r w:rsidRPr="007604C2">
        <w:rPr>
          <w:rFonts w:cs="Arial"/>
          <w:sz w:val="22"/>
          <w:szCs w:val="22"/>
        </w:rPr>
        <w:t>can offer much to couple</w:t>
      </w:r>
      <w:r w:rsidR="00FC2150" w:rsidRPr="007604C2">
        <w:rPr>
          <w:rFonts w:cs="Arial"/>
          <w:sz w:val="22"/>
          <w:szCs w:val="22"/>
        </w:rPr>
        <w:t>d</w:t>
      </w:r>
      <w:r w:rsidRPr="007604C2">
        <w:rPr>
          <w:rFonts w:cs="Arial"/>
          <w:sz w:val="22"/>
          <w:szCs w:val="22"/>
        </w:rPr>
        <w:t xml:space="preserve"> biophysical modeling efforts that currently neglect </w:t>
      </w:r>
      <w:r w:rsidR="009A17B9" w:rsidRPr="007604C2">
        <w:rPr>
          <w:rFonts w:cs="Arial"/>
          <w:sz w:val="22"/>
          <w:szCs w:val="22"/>
        </w:rPr>
        <w:t xml:space="preserve">the </w:t>
      </w:r>
      <w:r w:rsidRPr="007604C2">
        <w:rPr>
          <w:rFonts w:cs="Arial"/>
          <w:sz w:val="22"/>
          <w:szCs w:val="22"/>
        </w:rPr>
        <w:t xml:space="preserve">adaptive potential </w:t>
      </w:r>
      <w:r w:rsidR="009A17B9" w:rsidRPr="007604C2">
        <w:rPr>
          <w:rFonts w:cs="Arial"/>
          <w:sz w:val="22"/>
          <w:szCs w:val="22"/>
        </w:rPr>
        <w:t>of phytoplanktonic communities.</w:t>
      </w:r>
    </w:p>
    <w:p w14:paraId="5A51CD87" w14:textId="2BE964A4" w:rsidR="009A17B9" w:rsidRPr="007604C2" w:rsidRDefault="009A17B9" w:rsidP="009A17B9">
      <w:pPr>
        <w:rPr>
          <w:rFonts w:cs="Arial"/>
          <w:b/>
          <w:sz w:val="22"/>
          <w:szCs w:val="22"/>
        </w:rPr>
      </w:pPr>
    </w:p>
    <w:p w14:paraId="0A958DB1" w14:textId="3E6C01D6" w:rsidR="009A17B9" w:rsidRPr="007604C2" w:rsidRDefault="009A17B9" w:rsidP="009A17B9">
      <w:pPr>
        <w:pStyle w:val="ListParagraph"/>
        <w:numPr>
          <w:ilvl w:val="0"/>
          <w:numId w:val="10"/>
        </w:numPr>
        <w:ind w:left="360"/>
        <w:rPr>
          <w:rFonts w:cs="Arial"/>
          <w:b/>
          <w:sz w:val="22"/>
          <w:szCs w:val="22"/>
        </w:rPr>
      </w:pPr>
      <w:r w:rsidRPr="007604C2">
        <w:rPr>
          <w:rFonts w:cs="Arial"/>
          <w:b/>
          <w:sz w:val="22"/>
          <w:szCs w:val="22"/>
        </w:rPr>
        <w:t>Broader Impacts</w:t>
      </w:r>
    </w:p>
    <w:p w14:paraId="26697FE4" w14:textId="77777777" w:rsidR="009A17B9" w:rsidRPr="007604C2" w:rsidRDefault="009A17B9" w:rsidP="009A17B9">
      <w:pPr>
        <w:rPr>
          <w:rFonts w:cs="Arial"/>
          <w:i/>
          <w:sz w:val="22"/>
          <w:szCs w:val="22"/>
        </w:rPr>
      </w:pPr>
      <w:r w:rsidRPr="007604C2">
        <w:rPr>
          <w:rFonts w:cs="Arial"/>
          <w:i/>
          <w:sz w:val="22"/>
          <w:szCs w:val="22"/>
        </w:rPr>
        <w:t>Microbial Education for young students and local citizens</w:t>
      </w:r>
    </w:p>
    <w:p w14:paraId="385C1755" w14:textId="5588B84D" w:rsidR="009A17B9" w:rsidRPr="007604C2" w:rsidRDefault="009A17B9" w:rsidP="007604C2">
      <w:pPr>
        <w:rPr>
          <w:rFonts w:cs="Arial"/>
          <w:sz w:val="22"/>
          <w:szCs w:val="22"/>
        </w:rPr>
      </w:pPr>
      <w:r w:rsidRPr="007604C2">
        <w:rPr>
          <w:rFonts w:cs="Arial"/>
          <w:sz w:val="22"/>
          <w:szCs w:val="22"/>
        </w:rPr>
        <w:t xml:space="preserve">In conjunction with the proposed research above, we intend to engage with local community environmental organizations and school age children to increase both awareness and understanding of the global significance of some of the “good microbes”, i.e. microscopic eukaryotic algae such as diatoms. We propose a public communication effort that combines student lab visits, short summer student internships and annual gatherings/presentations by lab members to help expose a wide array of non-specialists to the unsung biogeochemical workhorse that is the microbial photoautotroph. All funded engagement will center on hands-on learning, including collecting specimens from nearby localities, viewing organisms through high-powered compound microscopes, and identifying species to help connect audiences with </w:t>
      </w:r>
      <w:r w:rsidR="001B26AB" w:rsidRPr="007604C2">
        <w:rPr>
          <w:rFonts w:cs="Arial"/>
          <w:sz w:val="22"/>
          <w:szCs w:val="22"/>
        </w:rPr>
        <w:t xml:space="preserve">that which </w:t>
      </w:r>
      <w:r w:rsidRPr="007604C2">
        <w:rPr>
          <w:rFonts w:cs="Arial"/>
          <w:sz w:val="22"/>
          <w:szCs w:val="22"/>
        </w:rPr>
        <w:t>they are not able to see on a daily basis but greatly impact our daily</w:t>
      </w:r>
      <w:r w:rsidR="001B26AB" w:rsidRPr="007604C2">
        <w:rPr>
          <w:rFonts w:cs="Arial"/>
          <w:sz w:val="22"/>
          <w:szCs w:val="22"/>
        </w:rPr>
        <w:t xml:space="preserve"> lives</w:t>
      </w:r>
      <w:r w:rsidRPr="007604C2">
        <w:rPr>
          <w:rFonts w:cs="Arial"/>
          <w:sz w:val="22"/>
          <w:szCs w:val="22"/>
        </w:rPr>
        <w:t>.</w:t>
      </w:r>
    </w:p>
    <w:p w14:paraId="33C6C22B" w14:textId="6E282E6A" w:rsidR="009A17B9" w:rsidRDefault="009A17B9" w:rsidP="009A17B9">
      <w:pPr>
        <w:rPr>
          <w:rFonts w:cs="Arial"/>
          <w:b/>
          <w:sz w:val="22"/>
          <w:szCs w:val="22"/>
        </w:rPr>
      </w:pPr>
    </w:p>
    <w:p w14:paraId="16898ED3" w14:textId="3638E0F0" w:rsidR="007604C2" w:rsidRDefault="007604C2" w:rsidP="009A17B9">
      <w:pPr>
        <w:rPr>
          <w:rFonts w:cs="Arial"/>
          <w:b/>
          <w:sz w:val="22"/>
          <w:szCs w:val="22"/>
        </w:rPr>
      </w:pPr>
    </w:p>
    <w:p w14:paraId="3F1A1813" w14:textId="671A7647" w:rsidR="007604C2" w:rsidRDefault="007604C2" w:rsidP="009A17B9">
      <w:pPr>
        <w:rPr>
          <w:rFonts w:cs="Arial"/>
          <w:b/>
          <w:sz w:val="22"/>
          <w:szCs w:val="22"/>
        </w:rPr>
      </w:pPr>
    </w:p>
    <w:p w14:paraId="746C7E89" w14:textId="77777777" w:rsidR="007604C2" w:rsidRPr="007604C2" w:rsidRDefault="007604C2" w:rsidP="009A17B9">
      <w:pPr>
        <w:rPr>
          <w:rFonts w:cs="Arial"/>
          <w:b/>
          <w:sz w:val="22"/>
          <w:szCs w:val="22"/>
        </w:rPr>
      </w:pPr>
    </w:p>
    <w:p w14:paraId="68FECED1" w14:textId="5D12BD7F" w:rsidR="000C6D8F" w:rsidRPr="007604C2" w:rsidRDefault="000C6D8F" w:rsidP="007604C2">
      <w:pPr>
        <w:pStyle w:val="ListParagraph"/>
        <w:numPr>
          <w:ilvl w:val="0"/>
          <w:numId w:val="10"/>
        </w:numPr>
        <w:ind w:left="360"/>
        <w:rPr>
          <w:rFonts w:cs="Arial"/>
          <w:b/>
          <w:sz w:val="22"/>
          <w:szCs w:val="22"/>
        </w:rPr>
      </w:pPr>
      <w:r w:rsidRPr="007604C2">
        <w:rPr>
          <w:rFonts w:cs="Arial"/>
          <w:b/>
          <w:sz w:val="22"/>
          <w:szCs w:val="22"/>
        </w:rPr>
        <w:lastRenderedPageBreak/>
        <w:t>Works Cited</w:t>
      </w:r>
    </w:p>
    <w:p w14:paraId="6E438BCA" w14:textId="77777777" w:rsidR="009A17B9" w:rsidRPr="007604C2" w:rsidRDefault="009A17B9" w:rsidP="009A17B9">
      <w:pPr>
        <w:rPr>
          <w:rFonts w:cs="Arial"/>
          <w:b/>
          <w:sz w:val="22"/>
          <w:szCs w:val="22"/>
        </w:rPr>
      </w:pPr>
    </w:p>
    <w:p w14:paraId="0F46A521" w14:textId="77777777" w:rsidR="00ED5C87" w:rsidRDefault="00ED5C87" w:rsidP="00ED5C87">
      <w:pPr>
        <w:ind w:left="540" w:hanging="540"/>
      </w:pPr>
      <w:r>
        <w:t xml:space="preserve">Barrett, R., &amp; Schluter, D. (2008). Adaptation from standing genetic variation. </w:t>
      </w:r>
      <w:r>
        <w:rPr>
          <w:i/>
          <w:iCs/>
        </w:rPr>
        <w:t>Trends in Ecology &amp; Evolution</w:t>
      </w:r>
      <w:r>
        <w:t xml:space="preserve">, </w:t>
      </w:r>
      <w:r>
        <w:rPr>
          <w:i/>
          <w:iCs/>
        </w:rPr>
        <w:t>23</w:t>
      </w:r>
      <w:r>
        <w:t xml:space="preserve">(1), 38–44. </w:t>
      </w:r>
      <w:hyperlink r:id="rId9" w:history="1">
        <w:r>
          <w:rPr>
            <w:rStyle w:val="Hyperlink"/>
          </w:rPr>
          <w:t>https://doi.org/10.1016/j.tree.2007.09.008</w:t>
        </w:r>
      </w:hyperlink>
    </w:p>
    <w:p w14:paraId="2439963E" w14:textId="77777777" w:rsidR="00ED5C87" w:rsidRDefault="00ED5C87" w:rsidP="00ED5C87">
      <w:pPr>
        <w:ind w:left="540" w:hanging="540"/>
      </w:pPr>
      <w:r>
        <w:t xml:space="preserve">Casteleyn, G., </w:t>
      </w:r>
      <w:proofErr w:type="spellStart"/>
      <w:r>
        <w:t>Leliaert</w:t>
      </w:r>
      <w:proofErr w:type="spellEnd"/>
      <w:r>
        <w:t xml:space="preserve">, F., </w:t>
      </w:r>
      <w:proofErr w:type="spellStart"/>
      <w:r>
        <w:t>Backeljau</w:t>
      </w:r>
      <w:proofErr w:type="spellEnd"/>
      <w:r>
        <w:t xml:space="preserve">, T., </w:t>
      </w:r>
      <w:proofErr w:type="spellStart"/>
      <w:r>
        <w:t>Debeer</w:t>
      </w:r>
      <w:proofErr w:type="spellEnd"/>
      <w:r>
        <w:t xml:space="preserve">, A.-E., </w:t>
      </w:r>
      <w:proofErr w:type="spellStart"/>
      <w:r>
        <w:t>Kotaki</w:t>
      </w:r>
      <w:proofErr w:type="spellEnd"/>
      <w:r>
        <w:t xml:space="preserve">, Y., Rhodes, L., … </w:t>
      </w:r>
      <w:proofErr w:type="spellStart"/>
      <w:r>
        <w:t>Vyverman</w:t>
      </w:r>
      <w:proofErr w:type="spellEnd"/>
      <w:r>
        <w:t xml:space="preserve">, W. (2010). Limits to gene flow in a cosmopolitan marine planktonic diatom. </w:t>
      </w:r>
      <w:r>
        <w:rPr>
          <w:i/>
          <w:iCs/>
        </w:rPr>
        <w:t>Proceedings of the National Academy of Sciences</w:t>
      </w:r>
      <w:r>
        <w:t xml:space="preserve">, </w:t>
      </w:r>
      <w:r>
        <w:rPr>
          <w:i/>
          <w:iCs/>
        </w:rPr>
        <w:t>107</w:t>
      </w:r>
      <w:r>
        <w:t xml:space="preserve">(29), 12952–12957. </w:t>
      </w:r>
      <w:hyperlink r:id="rId10" w:history="1">
        <w:r>
          <w:rPr>
            <w:rStyle w:val="Hyperlink"/>
          </w:rPr>
          <w:t>https://doi.org/10.1073/pnas.1001380107</w:t>
        </w:r>
      </w:hyperlink>
    </w:p>
    <w:p w14:paraId="5045854A" w14:textId="77777777" w:rsidR="00ED5C87" w:rsidRDefault="00ED5C87" w:rsidP="00ED5C87">
      <w:pPr>
        <w:ind w:left="540" w:hanging="540"/>
      </w:pPr>
      <w:r>
        <w:t xml:space="preserve">Constable, A. J., Melbourne-Thomas, J., </w:t>
      </w:r>
      <w:proofErr w:type="spellStart"/>
      <w:r>
        <w:t>Corney</w:t>
      </w:r>
      <w:proofErr w:type="spellEnd"/>
      <w:r>
        <w:t xml:space="preserve">, S. P., Arrigo, K. R., </w:t>
      </w:r>
      <w:proofErr w:type="spellStart"/>
      <w:r>
        <w:t>Barbraud</w:t>
      </w:r>
      <w:proofErr w:type="spellEnd"/>
      <w:r>
        <w:t xml:space="preserve">, C., Barnes, D. K. A., … Ziegler, P. (2014). Climate change and Southern Ocean ecosystems I: how changes in physical habitats directly affect marine biota. </w:t>
      </w:r>
      <w:r>
        <w:rPr>
          <w:i/>
          <w:iCs/>
        </w:rPr>
        <w:t>Global Change Biology</w:t>
      </w:r>
      <w:r>
        <w:t xml:space="preserve">, </w:t>
      </w:r>
      <w:r>
        <w:rPr>
          <w:i/>
          <w:iCs/>
        </w:rPr>
        <w:t>20</w:t>
      </w:r>
      <w:r>
        <w:t xml:space="preserve">(10), 3004–3025. </w:t>
      </w:r>
      <w:hyperlink r:id="rId11" w:history="1">
        <w:r>
          <w:rPr>
            <w:rStyle w:val="Hyperlink"/>
          </w:rPr>
          <w:t>https://doi.org/10.1111/gcb.12623</w:t>
        </w:r>
      </w:hyperlink>
    </w:p>
    <w:p w14:paraId="16174DA3" w14:textId="77777777" w:rsidR="00ED5C87" w:rsidRDefault="00ED5C87" w:rsidP="00ED5C87">
      <w:pPr>
        <w:ind w:left="540" w:hanging="540"/>
      </w:pPr>
      <w:proofErr w:type="spellStart"/>
      <w:r>
        <w:t>Harnstrom</w:t>
      </w:r>
      <w:proofErr w:type="spellEnd"/>
      <w:r>
        <w:t xml:space="preserve">, K., </w:t>
      </w:r>
      <w:proofErr w:type="spellStart"/>
      <w:r>
        <w:t>Ellegaard</w:t>
      </w:r>
      <w:proofErr w:type="spellEnd"/>
      <w:r>
        <w:t xml:space="preserve">, M., Andersen, T. J., &amp; </w:t>
      </w:r>
      <w:proofErr w:type="spellStart"/>
      <w:r>
        <w:t>Godhe</w:t>
      </w:r>
      <w:proofErr w:type="spellEnd"/>
      <w:r>
        <w:t xml:space="preserve">, A. (2011). Hundred years of genetic structure in a sediment revived diatom population. </w:t>
      </w:r>
      <w:r>
        <w:rPr>
          <w:i/>
          <w:iCs/>
        </w:rPr>
        <w:t>Proceedings of the National Academy of Sciences</w:t>
      </w:r>
      <w:r>
        <w:t xml:space="preserve">, </w:t>
      </w:r>
      <w:r>
        <w:rPr>
          <w:i/>
          <w:iCs/>
        </w:rPr>
        <w:t>108</w:t>
      </w:r>
      <w:r>
        <w:t xml:space="preserve">(10), 4252–4257. </w:t>
      </w:r>
      <w:hyperlink r:id="rId12" w:history="1">
        <w:r>
          <w:rPr>
            <w:rStyle w:val="Hyperlink"/>
          </w:rPr>
          <w:t>https://doi.org/10.1073/pnas.1013528108</w:t>
        </w:r>
      </w:hyperlink>
    </w:p>
    <w:p w14:paraId="170A3352" w14:textId="77777777" w:rsidR="00ED5C87" w:rsidRDefault="00ED5C87" w:rsidP="00ED5C87">
      <w:pPr>
        <w:ind w:left="540" w:hanging="540"/>
      </w:pPr>
      <w:r>
        <w:t xml:space="preserve">Jordan, R., Hoffmann, A. A., Dillon, S. K., &amp; Prober, S. M. (2017). Evidence of genomic adaptation to climate in </w:t>
      </w:r>
      <w:r>
        <w:rPr>
          <w:i/>
          <w:iCs/>
        </w:rPr>
        <w:t xml:space="preserve">Eucalyptus </w:t>
      </w:r>
      <w:proofErr w:type="spellStart"/>
      <w:r>
        <w:rPr>
          <w:i/>
          <w:iCs/>
        </w:rPr>
        <w:t>microcarpa</w:t>
      </w:r>
      <w:proofErr w:type="spellEnd"/>
      <w:r>
        <w:t xml:space="preserve"> : Implications for adaptive potential to projected climate change. </w:t>
      </w:r>
      <w:r>
        <w:rPr>
          <w:i/>
          <w:iCs/>
        </w:rPr>
        <w:t>Molecular Ecology</w:t>
      </w:r>
      <w:r>
        <w:t xml:space="preserve">, </w:t>
      </w:r>
      <w:r>
        <w:rPr>
          <w:i/>
          <w:iCs/>
        </w:rPr>
        <w:t>26</w:t>
      </w:r>
      <w:r>
        <w:t xml:space="preserve">(21), 6002–6020. </w:t>
      </w:r>
      <w:hyperlink r:id="rId13" w:history="1">
        <w:r>
          <w:rPr>
            <w:rStyle w:val="Hyperlink"/>
          </w:rPr>
          <w:t>https://doi.org/10.1111/mec.14341</w:t>
        </w:r>
      </w:hyperlink>
    </w:p>
    <w:p w14:paraId="7D5F80BD" w14:textId="77777777" w:rsidR="00ED5C87" w:rsidRDefault="00ED5C87" w:rsidP="00ED5C87">
      <w:pPr>
        <w:ind w:left="540" w:hanging="540"/>
      </w:pPr>
      <w:proofErr w:type="spellStart"/>
      <w:r>
        <w:t>Kautt</w:t>
      </w:r>
      <w:proofErr w:type="spellEnd"/>
      <w:r>
        <w:t>, A. F., Machado-</w:t>
      </w:r>
      <w:proofErr w:type="spellStart"/>
      <w:r>
        <w:t>Schiaffino</w:t>
      </w:r>
      <w:proofErr w:type="spellEnd"/>
      <w:r>
        <w:t xml:space="preserve">, G., &amp; Meyer, A. (2016). Multispecies Outcomes of Sympatric Speciation after Admixture with the Source Population in Two Radiations of Nicaraguan Crater Lake Cichlids. </w:t>
      </w:r>
      <w:r>
        <w:rPr>
          <w:i/>
          <w:iCs/>
        </w:rPr>
        <w:t>PLOS Genetics</w:t>
      </w:r>
      <w:r>
        <w:t xml:space="preserve">, </w:t>
      </w:r>
      <w:r>
        <w:rPr>
          <w:i/>
          <w:iCs/>
        </w:rPr>
        <w:t>12</w:t>
      </w:r>
      <w:r>
        <w:t xml:space="preserve">(6), e1006157. </w:t>
      </w:r>
      <w:hyperlink r:id="rId14" w:history="1">
        <w:r>
          <w:rPr>
            <w:rStyle w:val="Hyperlink"/>
          </w:rPr>
          <w:t>https://doi.org/10.1371/journal.pgen.1006157</w:t>
        </w:r>
      </w:hyperlink>
    </w:p>
    <w:p w14:paraId="53DADC74" w14:textId="77777777" w:rsidR="00ED5C87" w:rsidRDefault="00ED5C87" w:rsidP="00ED5C87">
      <w:pPr>
        <w:ind w:left="540" w:hanging="540"/>
      </w:pPr>
      <w:r>
        <w:t xml:space="preserve">Lopes, F. R., Silva, J. C., </w:t>
      </w:r>
      <w:proofErr w:type="spellStart"/>
      <w:r>
        <w:t>Benchimol</w:t>
      </w:r>
      <w:proofErr w:type="spellEnd"/>
      <w:r>
        <w:t xml:space="preserve">, M., Costa, G. G., Pereira, G. A., &amp; </w:t>
      </w:r>
      <w:proofErr w:type="spellStart"/>
      <w:r>
        <w:t>Carareto</w:t>
      </w:r>
      <w:proofErr w:type="spellEnd"/>
      <w:r>
        <w:t xml:space="preserve">, C. M. (2009). The protist Trichomonas vaginalis harbors multiple lineages of transcriptionally active Mutator-like elements. </w:t>
      </w:r>
      <w:r>
        <w:rPr>
          <w:i/>
          <w:iCs/>
        </w:rPr>
        <w:t>BMC Genomics</w:t>
      </w:r>
      <w:r>
        <w:t xml:space="preserve">, </w:t>
      </w:r>
      <w:r>
        <w:rPr>
          <w:i/>
          <w:iCs/>
        </w:rPr>
        <w:t>10</w:t>
      </w:r>
      <w:r>
        <w:t xml:space="preserve">(1), 330. </w:t>
      </w:r>
      <w:hyperlink r:id="rId15" w:history="1">
        <w:r>
          <w:rPr>
            <w:rStyle w:val="Hyperlink"/>
          </w:rPr>
          <w:t>https://doi.org/10.1186/1471-2164-10-330</w:t>
        </w:r>
      </w:hyperlink>
    </w:p>
    <w:p w14:paraId="0E48297B" w14:textId="77777777" w:rsidR="00ED5C87" w:rsidRDefault="00ED5C87" w:rsidP="00ED5C87">
      <w:pPr>
        <w:ind w:left="540" w:hanging="540"/>
      </w:pPr>
      <w:r>
        <w:t xml:space="preserve">Mann, D. G., &amp; </w:t>
      </w:r>
      <w:proofErr w:type="spellStart"/>
      <w:r>
        <w:t>Vanormelingen</w:t>
      </w:r>
      <w:proofErr w:type="spellEnd"/>
      <w:r>
        <w:t xml:space="preserve">, P. (2013). An Inordinate Fondness? The Number, Distributions, and Origins of Diatom Species. </w:t>
      </w:r>
      <w:r>
        <w:rPr>
          <w:i/>
          <w:iCs/>
        </w:rPr>
        <w:t>Journal of Eukaryotic Microbiology</w:t>
      </w:r>
      <w:r>
        <w:t xml:space="preserve">, </w:t>
      </w:r>
      <w:r>
        <w:rPr>
          <w:i/>
          <w:iCs/>
        </w:rPr>
        <w:t>60</w:t>
      </w:r>
      <w:r>
        <w:t xml:space="preserve">(4), 414–420. </w:t>
      </w:r>
      <w:hyperlink r:id="rId16" w:history="1">
        <w:r>
          <w:rPr>
            <w:rStyle w:val="Hyperlink"/>
          </w:rPr>
          <w:t>https://doi.org/10.1111/jeu.12047</w:t>
        </w:r>
      </w:hyperlink>
    </w:p>
    <w:p w14:paraId="016C1746" w14:textId="77777777" w:rsidR="00ED5C87" w:rsidRDefault="00ED5C87" w:rsidP="00ED5C87">
      <w:pPr>
        <w:ind w:left="540" w:hanging="540"/>
      </w:pPr>
      <w:proofErr w:type="spellStart"/>
      <w:r>
        <w:t>Matuszewski</w:t>
      </w:r>
      <w:proofErr w:type="spellEnd"/>
      <w:r>
        <w:t xml:space="preserve">, S., </w:t>
      </w:r>
      <w:proofErr w:type="spellStart"/>
      <w:r>
        <w:t>Hermisson</w:t>
      </w:r>
      <w:proofErr w:type="spellEnd"/>
      <w:r>
        <w:t xml:space="preserve">, J., &amp; Kopp, M. (2015). </w:t>
      </w:r>
      <w:r>
        <w:rPr>
          <w:i/>
          <w:iCs/>
        </w:rPr>
        <w:t>Catch Me if You Can: Adaptation from Standing Genetic Variation to a Moving Phenotypic Optimum</w:t>
      </w:r>
      <w:r>
        <w:t>. 45.</w:t>
      </w:r>
    </w:p>
    <w:p w14:paraId="2AC585C3" w14:textId="77777777" w:rsidR="00ED5C87" w:rsidRDefault="00ED5C87" w:rsidP="00ED5C87">
      <w:pPr>
        <w:ind w:left="540" w:hanging="540"/>
      </w:pPr>
      <w:r>
        <w:t xml:space="preserve">Moore, J. K., &amp; Abbott, M. R. (2000). Phytoplankton chlorophyll distributions and primary production in the Southern Ocean. </w:t>
      </w:r>
      <w:r>
        <w:rPr>
          <w:i/>
          <w:iCs/>
        </w:rPr>
        <w:t>Journal of Geophysical Research: Oceans</w:t>
      </w:r>
      <w:r>
        <w:t xml:space="preserve">, </w:t>
      </w:r>
      <w:r>
        <w:rPr>
          <w:i/>
          <w:iCs/>
        </w:rPr>
        <w:t>105</w:t>
      </w:r>
      <w:r>
        <w:t xml:space="preserve">(C12), 28709–28722. </w:t>
      </w:r>
      <w:hyperlink r:id="rId17" w:history="1">
        <w:r>
          <w:rPr>
            <w:rStyle w:val="Hyperlink"/>
          </w:rPr>
          <w:t>https://doi.org/10.1029/1999JC000043</w:t>
        </w:r>
      </w:hyperlink>
    </w:p>
    <w:p w14:paraId="76A95F8E" w14:textId="77777777" w:rsidR="00ED5C87" w:rsidRDefault="00ED5C87" w:rsidP="00ED5C87">
      <w:pPr>
        <w:ind w:left="540" w:hanging="540"/>
      </w:pPr>
      <w:r>
        <w:t xml:space="preserve">Peterson, B. K., Weber, J. N., Kay, E. H., Fisher, H. S., &amp; Hoekstra, H. E. (2012). Double Digest </w:t>
      </w:r>
      <w:proofErr w:type="spellStart"/>
      <w:r>
        <w:t>RADseq</w:t>
      </w:r>
      <w:proofErr w:type="spellEnd"/>
      <w:r>
        <w:t xml:space="preserve">: An Inexpensive Method for De Novo SNP Discovery and Genotyping in Model and Non-Model Species. </w:t>
      </w:r>
      <w:proofErr w:type="spellStart"/>
      <w:r>
        <w:rPr>
          <w:i/>
          <w:iCs/>
        </w:rPr>
        <w:t>PLoS</w:t>
      </w:r>
      <w:proofErr w:type="spellEnd"/>
      <w:r>
        <w:rPr>
          <w:i/>
          <w:iCs/>
        </w:rPr>
        <w:t xml:space="preserve"> ONE</w:t>
      </w:r>
      <w:r>
        <w:t xml:space="preserve">, </w:t>
      </w:r>
      <w:r>
        <w:rPr>
          <w:i/>
          <w:iCs/>
        </w:rPr>
        <w:t>7</w:t>
      </w:r>
      <w:r>
        <w:t xml:space="preserve">(5), e37135. </w:t>
      </w:r>
      <w:hyperlink r:id="rId18" w:history="1">
        <w:r>
          <w:rPr>
            <w:rStyle w:val="Hyperlink"/>
          </w:rPr>
          <w:t>https://doi.org/10.1371/journal.pone.0037135</w:t>
        </w:r>
      </w:hyperlink>
    </w:p>
    <w:p w14:paraId="5AC3CE7F" w14:textId="77777777" w:rsidR="00ED5C87" w:rsidRDefault="00ED5C87" w:rsidP="00ED5C87">
      <w:pPr>
        <w:ind w:left="540" w:hanging="540"/>
      </w:pPr>
      <w:r>
        <w:t xml:space="preserve">Rastogi, A., Lin, X., Lombard, B., Loew, D., </w:t>
      </w:r>
      <w:proofErr w:type="spellStart"/>
      <w:r>
        <w:t>Tirichine</w:t>
      </w:r>
      <w:proofErr w:type="spellEnd"/>
      <w:r>
        <w:t xml:space="preserve">, L., &amp; 1 Ecology and Evolutionary Biology Section, </w:t>
      </w:r>
      <w:proofErr w:type="spellStart"/>
      <w:r>
        <w:t>Institut</w:t>
      </w:r>
      <w:proofErr w:type="spellEnd"/>
      <w:r>
        <w:t xml:space="preserve"> de </w:t>
      </w:r>
      <w:proofErr w:type="spellStart"/>
      <w:r>
        <w:t>Biologie</w:t>
      </w:r>
      <w:proofErr w:type="spellEnd"/>
      <w:r>
        <w:t xml:space="preserve"> de </w:t>
      </w:r>
      <w:proofErr w:type="spellStart"/>
      <w:r>
        <w:t>l’École</w:t>
      </w:r>
      <w:proofErr w:type="spellEnd"/>
      <w:r>
        <w:t xml:space="preserve"> </w:t>
      </w:r>
      <w:proofErr w:type="spellStart"/>
      <w:r>
        <w:t>Normale</w:t>
      </w:r>
      <w:proofErr w:type="spellEnd"/>
      <w:r>
        <w:t xml:space="preserve"> </w:t>
      </w:r>
      <w:proofErr w:type="spellStart"/>
      <w:r>
        <w:t>Supérieure</w:t>
      </w:r>
      <w:proofErr w:type="spellEnd"/>
      <w:r>
        <w:t xml:space="preserve"> (IBENS), CNRS UMR8197 INSERM U1024, 46 rue </w:t>
      </w:r>
      <w:proofErr w:type="spellStart"/>
      <w:r>
        <w:t>d’Ulm</w:t>
      </w:r>
      <w:proofErr w:type="spellEnd"/>
      <w:r>
        <w:t xml:space="preserve"> 75005 Paris, France; (2015). Probing the evolutionary history of epigenetic mechanisms: what can we learn from marine diatoms. </w:t>
      </w:r>
      <w:r>
        <w:rPr>
          <w:i/>
          <w:iCs/>
        </w:rPr>
        <w:t>AIMS Genetics</w:t>
      </w:r>
      <w:r>
        <w:t xml:space="preserve">, </w:t>
      </w:r>
      <w:r>
        <w:rPr>
          <w:i/>
          <w:iCs/>
        </w:rPr>
        <w:t>2</w:t>
      </w:r>
      <w:r>
        <w:t xml:space="preserve">(3), 173–191. </w:t>
      </w:r>
      <w:hyperlink r:id="rId19" w:history="1">
        <w:r>
          <w:rPr>
            <w:rStyle w:val="Hyperlink"/>
          </w:rPr>
          <w:t>https://doi.org/10.3934/genet.2015.3.173</w:t>
        </w:r>
      </w:hyperlink>
    </w:p>
    <w:p w14:paraId="24D5C2C4" w14:textId="77777777" w:rsidR="00ED5C87" w:rsidRDefault="00ED5C87" w:rsidP="00ED5C87">
      <w:pPr>
        <w:ind w:left="540" w:hanging="540"/>
      </w:pPr>
      <w:proofErr w:type="spellStart"/>
      <w:r>
        <w:lastRenderedPageBreak/>
        <w:t>Rengefors</w:t>
      </w:r>
      <w:proofErr w:type="spellEnd"/>
      <w:r>
        <w:t xml:space="preserve">, K., </w:t>
      </w:r>
      <w:proofErr w:type="spellStart"/>
      <w:r>
        <w:t>Kremp</w:t>
      </w:r>
      <w:proofErr w:type="spellEnd"/>
      <w:r>
        <w:t xml:space="preserve">, A., </w:t>
      </w:r>
      <w:proofErr w:type="spellStart"/>
      <w:r>
        <w:t>Reusch</w:t>
      </w:r>
      <w:proofErr w:type="spellEnd"/>
      <w:r>
        <w:t xml:space="preserve">, T. B. H., &amp; Wood, A. M. (2017). Genetic diversity and evolution in eukaryotic phytoplankton: revelations from population genetic studies. </w:t>
      </w:r>
      <w:r>
        <w:rPr>
          <w:i/>
          <w:iCs/>
        </w:rPr>
        <w:t>Journal of Plankton Research</w:t>
      </w:r>
      <w:r>
        <w:t xml:space="preserve">. </w:t>
      </w:r>
      <w:hyperlink r:id="rId20" w:history="1">
        <w:r>
          <w:rPr>
            <w:rStyle w:val="Hyperlink"/>
          </w:rPr>
          <w:t>https://doi.org/10.1093/plankt/fbw098</w:t>
        </w:r>
      </w:hyperlink>
    </w:p>
    <w:p w14:paraId="379DB0DF" w14:textId="77777777" w:rsidR="00ED5C87" w:rsidRDefault="00ED5C87" w:rsidP="00ED5C87">
      <w:pPr>
        <w:ind w:left="540" w:hanging="540"/>
      </w:pPr>
      <w:r>
        <w:t xml:space="preserve">Rynearson, T. A., &amp; Armbrust, E. V. (2000). DNA fingerprinting reveals extensive genetic diversity in a field population of the centric diatom Ditylum </w:t>
      </w:r>
      <w:proofErr w:type="spellStart"/>
      <w:r>
        <w:t>brightwellii</w:t>
      </w:r>
      <w:proofErr w:type="spellEnd"/>
      <w:r>
        <w:t xml:space="preserve">. </w:t>
      </w:r>
      <w:r>
        <w:rPr>
          <w:i/>
          <w:iCs/>
        </w:rPr>
        <w:t>Limnology and Oceanography</w:t>
      </w:r>
      <w:r>
        <w:t xml:space="preserve">, </w:t>
      </w:r>
      <w:r>
        <w:rPr>
          <w:i/>
          <w:iCs/>
        </w:rPr>
        <w:t>45</w:t>
      </w:r>
      <w:r>
        <w:t xml:space="preserve">(6), 1329–1340. </w:t>
      </w:r>
      <w:hyperlink r:id="rId21" w:history="1">
        <w:r>
          <w:rPr>
            <w:rStyle w:val="Hyperlink"/>
          </w:rPr>
          <w:t>https://doi.org/10.4319/lo.2000.45.6.1329</w:t>
        </w:r>
      </w:hyperlink>
    </w:p>
    <w:p w14:paraId="3797226B" w14:textId="15BF5A68" w:rsidR="00ED5C87" w:rsidRDefault="00ED5C87" w:rsidP="00ED5C87">
      <w:pPr>
        <w:ind w:left="540" w:hanging="540"/>
        <w:rPr>
          <w:rStyle w:val="Hyperlink"/>
        </w:rPr>
      </w:pPr>
      <w:r>
        <w:t xml:space="preserve">Rynearson, T. A., &amp; Virginia Armbrust, E. (2004). Genetic differentiation among populations of the planktonic marine diatom Ditylum </w:t>
      </w:r>
      <w:proofErr w:type="spellStart"/>
      <w:r>
        <w:t>brightwellii</w:t>
      </w:r>
      <w:proofErr w:type="spellEnd"/>
      <w:r>
        <w:t xml:space="preserve"> (Bacillariophyceae): genetically distinct diatom populations. </w:t>
      </w:r>
      <w:r>
        <w:rPr>
          <w:i/>
          <w:iCs/>
        </w:rPr>
        <w:t>Journal of Phycology</w:t>
      </w:r>
      <w:r>
        <w:t xml:space="preserve">, </w:t>
      </w:r>
      <w:r>
        <w:rPr>
          <w:i/>
          <w:iCs/>
        </w:rPr>
        <w:t>40</w:t>
      </w:r>
      <w:r>
        <w:t xml:space="preserve">(1), 34–43. </w:t>
      </w:r>
      <w:hyperlink r:id="rId22" w:history="1">
        <w:r>
          <w:rPr>
            <w:rStyle w:val="Hyperlink"/>
          </w:rPr>
          <w:t>https://doi.org/10.1046/j.1529-8817.2004.03089.x</w:t>
        </w:r>
      </w:hyperlink>
    </w:p>
    <w:p w14:paraId="68FBF855" w14:textId="2D34D06E" w:rsidR="004551D8" w:rsidRDefault="004551D8" w:rsidP="004551D8">
      <w:pPr>
        <w:ind w:left="450" w:hanging="480"/>
      </w:pPr>
      <w:r>
        <w:t xml:space="preserve">Sarmiento, J. L., Gruber, N., Brzezinski, M. A., &amp; Dunne, J. P. (2004). High-latitude controls of thermocline nutrients and low latitude biological productivity. </w:t>
      </w:r>
      <w:r>
        <w:rPr>
          <w:i/>
          <w:iCs/>
        </w:rPr>
        <w:t>Nature</w:t>
      </w:r>
      <w:r>
        <w:t xml:space="preserve">, </w:t>
      </w:r>
      <w:r>
        <w:rPr>
          <w:i/>
          <w:iCs/>
        </w:rPr>
        <w:t>427</w:t>
      </w:r>
      <w:r>
        <w:t xml:space="preserve">(6969), 56–60. </w:t>
      </w:r>
      <w:hyperlink r:id="rId23" w:history="1">
        <w:r>
          <w:rPr>
            <w:rStyle w:val="Hyperlink"/>
          </w:rPr>
          <w:t>https://doi.org/10.1038/nature02127</w:t>
        </w:r>
      </w:hyperlink>
    </w:p>
    <w:p w14:paraId="3C1040AF" w14:textId="77777777" w:rsidR="00ED5C87" w:rsidRDefault="00ED5C87" w:rsidP="00ED5C87">
      <w:pPr>
        <w:ind w:left="540" w:hanging="540"/>
      </w:pPr>
      <w:proofErr w:type="spellStart"/>
      <w:r>
        <w:t>Shishlyannikov</w:t>
      </w:r>
      <w:proofErr w:type="spellEnd"/>
      <w:r>
        <w:t xml:space="preserve">, S. M., </w:t>
      </w:r>
      <w:proofErr w:type="spellStart"/>
      <w:r>
        <w:t>Zakharova</w:t>
      </w:r>
      <w:proofErr w:type="spellEnd"/>
      <w:r>
        <w:t xml:space="preserve">, Y. R., </w:t>
      </w:r>
      <w:proofErr w:type="spellStart"/>
      <w:r>
        <w:t>Volokitina</w:t>
      </w:r>
      <w:proofErr w:type="spellEnd"/>
      <w:r>
        <w:t xml:space="preserve">, N. A., Mikhailov, I. S., </w:t>
      </w:r>
      <w:proofErr w:type="spellStart"/>
      <w:r>
        <w:t>Petrova</w:t>
      </w:r>
      <w:proofErr w:type="spellEnd"/>
      <w:r>
        <w:t xml:space="preserve">, D. P., &amp; </w:t>
      </w:r>
      <w:proofErr w:type="spellStart"/>
      <w:r>
        <w:t>Likhoshway</w:t>
      </w:r>
      <w:proofErr w:type="spellEnd"/>
      <w:r>
        <w:t xml:space="preserve">, Y. V. (2011). A procedure for establishing an axenic culture of the diatom </w:t>
      </w:r>
      <w:r>
        <w:rPr>
          <w:i/>
          <w:iCs/>
        </w:rPr>
        <w:t xml:space="preserve">Synedra </w:t>
      </w:r>
      <w:proofErr w:type="spellStart"/>
      <w:r>
        <w:rPr>
          <w:i/>
          <w:iCs/>
        </w:rPr>
        <w:t>acus</w:t>
      </w:r>
      <w:proofErr w:type="spellEnd"/>
      <w:r>
        <w:t xml:space="preserve"> subsp. </w:t>
      </w:r>
      <w:r>
        <w:rPr>
          <w:i/>
          <w:iCs/>
        </w:rPr>
        <w:t>radians</w:t>
      </w:r>
      <w:r>
        <w:t xml:space="preserve"> (</w:t>
      </w:r>
      <w:proofErr w:type="spellStart"/>
      <w:r>
        <w:t>Kütz</w:t>
      </w:r>
      <w:proofErr w:type="spellEnd"/>
      <w:r>
        <w:t xml:space="preserve">.) </w:t>
      </w:r>
      <w:proofErr w:type="spellStart"/>
      <w:r>
        <w:t>Skabibitsch</w:t>
      </w:r>
      <w:proofErr w:type="spellEnd"/>
      <w:r>
        <w:t xml:space="preserve">. from Lake Baikal: Lake Baikal, Synedra </w:t>
      </w:r>
      <w:proofErr w:type="spellStart"/>
      <w:r>
        <w:t>acus</w:t>
      </w:r>
      <w:proofErr w:type="spellEnd"/>
      <w:r>
        <w:t xml:space="preserve">, axenic culture. </w:t>
      </w:r>
      <w:r>
        <w:rPr>
          <w:i/>
          <w:iCs/>
        </w:rPr>
        <w:t>Limnology and Oceanography: Methods</w:t>
      </w:r>
      <w:r>
        <w:t xml:space="preserve">, </w:t>
      </w:r>
      <w:r>
        <w:rPr>
          <w:i/>
          <w:iCs/>
        </w:rPr>
        <w:t>9</w:t>
      </w:r>
      <w:r>
        <w:t xml:space="preserve">(10), 478–484. </w:t>
      </w:r>
      <w:hyperlink r:id="rId24" w:history="1">
        <w:r>
          <w:rPr>
            <w:rStyle w:val="Hyperlink"/>
          </w:rPr>
          <w:t>https://doi.org/10.4319/lom.2011.9.478</w:t>
        </w:r>
      </w:hyperlink>
    </w:p>
    <w:p w14:paraId="568E3CEF" w14:textId="77777777" w:rsidR="00ED5C87" w:rsidRDefault="00ED5C87" w:rsidP="00ED5C87">
      <w:pPr>
        <w:ind w:left="540" w:hanging="540"/>
      </w:pPr>
      <w:proofErr w:type="spellStart"/>
      <w:r>
        <w:t>Sibbald</w:t>
      </w:r>
      <w:proofErr w:type="spellEnd"/>
      <w:r>
        <w:t xml:space="preserve">, S. J., &amp; Archibald, J. M. (2017). More protist genomes needed. </w:t>
      </w:r>
      <w:r>
        <w:rPr>
          <w:i/>
          <w:iCs/>
        </w:rPr>
        <w:t>Nature Ecology &amp; Evolution</w:t>
      </w:r>
      <w:r>
        <w:t xml:space="preserve">, </w:t>
      </w:r>
      <w:r>
        <w:rPr>
          <w:i/>
          <w:iCs/>
        </w:rPr>
        <w:t>1</w:t>
      </w:r>
      <w:r>
        <w:t xml:space="preserve">(5), 0145. </w:t>
      </w:r>
      <w:hyperlink r:id="rId25" w:history="1">
        <w:r>
          <w:rPr>
            <w:rStyle w:val="Hyperlink"/>
          </w:rPr>
          <w:t>https://doi.org/10.1038/s41559-017-0145</w:t>
        </w:r>
      </w:hyperlink>
    </w:p>
    <w:p w14:paraId="29C481FB" w14:textId="77777777" w:rsidR="00ED5C87" w:rsidRDefault="00ED5C87" w:rsidP="00ED5C87">
      <w:pPr>
        <w:ind w:left="540" w:hanging="540"/>
      </w:pPr>
      <w:proofErr w:type="spellStart"/>
      <w:r>
        <w:t>Slotkin</w:t>
      </w:r>
      <w:proofErr w:type="spellEnd"/>
      <w:r>
        <w:t xml:space="preserve">, R. K., Vaughn, M., Borges, F., </w:t>
      </w:r>
      <w:proofErr w:type="spellStart"/>
      <w:r>
        <w:t>Tanurdžić</w:t>
      </w:r>
      <w:proofErr w:type="spellEnd"/>
      <w:r>
        <w:t xml:space="preserve">, M., Becker, J. D., </w:t>
      </w:r>
      <w:proofErr w:type="spellStart"/>
      <w:r>
        <w:t>Feijó</w:t>
      </w:r>
      <w:proofErr w:type="spellEnd"/>
      <w:r>
        <w:t xml:space="preserve">, J. A., &amp; </w:t>
      </w:r>
      <w:proofErr w:type="spellStart"/>
      <w:r>
        <w:t>Martienssen</w:t>
      </w:r>
      <w:proofErr w:type="spellEnd"/>
      <w:r>
        <w:t xml:space="preserve">, R. A. (2009). Epigenetic Reprogramming and Small RNA Silencing of Transposable Elements in Pollen. </w:t>
      </w:r>
      <w:r>
        <w:rPr>
          <w:i/>
          <w:iCs/>
        </w:rPr>
        <w:t>Cell</w:t>
      </w:r>
      <w:r>
        <w:t xml:space="preserve">, </w:t>
      </w:r>
      <w:r>
        <w:rPr>
          <w:i/>
          <w:iCs/>
        </w:rPr>
        <w:t>136</w:t>
      </w:r>
      <w:r>
        <w:t xml:space="preserve">(3), 461–472. </w:t>
      </w:r>
      <w:hyperlink r:id="rId26" w:history="1">
        <w:r>
          <w:rPr>
            <w:rStyle w:val="Hyperlink"/>
          </w:rPr>
          <w:t>https://doi.org/10.1016/j.cell.2008.12.038</w:t>
        </w:r>
      </w:hyperlink>
    </w:p>
    <w:p w14:paraId="72BB35E6" w14:textId="77777777" w:rsidR="00ED5C87" w:rsidRDefault="00ED5C87" w:rsidP="00ED5C87">
      <w:pPr>
        <w:ind w:left="540" w:hanging="540"/>
      </w:pPr>
      <w:r>
        <w:t xml:space="preserve">Tanaka, T., Maeda, Y., </w:t>
      </w:r>
      <w:proofErr w:type="spellStart"/>
      <w:r>
        <w:t>Veluchamy</w:t>
      </w:r>
      <w:proofErr w:type="spellEnd"/>
      <w:r>
        <w:t xml:space="preserve">, A., Tanaka, M., </w:t>
      </w:r>
      <w:proofErr w:type="spellStart"/>
      <w:r>
        <w:t>Abida</w:t>
      </w:r>
      <w:proofErr w:type="spellEnd"/>
      <w:r>
        <w:t xml:space="preserve">, H., </w:t>
      </w:r>
      <w:proofErr w:type="spellStart"/>
      <w:r>
        <w:t>Maréchal</w:t>
      </w:r>
      <w:proofErr w:type="spellEnd"/>
      <w:r>
        <w:t xml:space="preserve">, E., … </w:t>
      </w:r>
      <w:proofErr w:type="spellStart"/>
      <w:r>
        <w:t>Fujibuchi</w:t>
      </w:r>
      <w:proofErr w:type="spellEnd"/>
      <w:r>
        <w:t xml:space="preserve">, W. (2015). Oil Accumulation by the Oleaginous Diatom </w:t>
      </w:r>
      <w:proofErr w:type="spellStart"/>
      <w:r>
        <w:rPr>
          <w:i/>
          <w:iCs/>
        </w:rPr>
        <w:t>Fistulifera</w:t>
      </w:r>
      <w:proofErr w:type="spellEnd"/>
      <w:r>
        <w:rPr>
          <w:i/>
          <w:iCs/>
        </w:rPr>
        <w:t xml:space="preserve"> </w:t>
      </w:r>
      <w:proofErr w:type="spellStart"/>
      <w:r>
        <w:rPr>
          <w:i/>
          <w:iCs/>
        </w:rPr>
        <w:t>solaris</w:t>
      </w:r>
      <w:proofErr w:type="spellEnd"/>
      <w:r>
        <w:t xml:space="preserve"> as Revealed by the Genome and Transcriptome. </w:t>
      </w:r>
      <w:r>
        <w:rPr>
          <w:i/>
          <w:iCs/>
        </w:rPr>
        <w:t>The Plant Cell Online</w:t>
      </w:r>
      <w:r>
        <w:t xml:space="preserve">, </w:t>
      </w:r>
      <w:r>
        <w:rPr>
          <w:i/>
          <w:iCs/>
        </w:rPr>
        <w:t>27</w:t>
      </w:r>
      <w:r>
        <w:t xml:space="preserve">(1), 162–176. </w:t>
      </w:r>
      <w:hyperlink r:id="rId27" w:history="1">
        <w:r>
          <w:rPr>
            <w:rStyle w:val="Hyperlink"/>
          </w:rPr>
          <w:t>https://doi.org/10.1105/tpc.114.135194</w:t>
        </w:r>
      </w:hyperlink>
    </w:p>
    <w:p w14:paraId="130FAFD8" w14:textId="77777777" w:rsidR="00ED5C87" w:rsidRDefault="00ED5C87" w:rsidP="00ED5C87">
      <w:pPr>
        <w:ind w:left="540" w:hanging="540"/>
      </w:pPr>
      <w:r>
        <w:t xml:space="preserve">Theriot, E. C., Ashworth, M., Ruck, E., </w:t>
      </w:r>
      <w:proofErr w:type="spellStart"/>
      <w:r>
        <w:t>Nakov</w:t>
      </w:r>
      <w:proofErr w:type="spellEnd"/>
      <w:r>
        <w:t xml:space="preserve">, T., &amp; Jansen, R. K. (2010). A preliminary multigene phylogeny of the diatoms (Bacillariophyta): challenges for future research. </w:t>
      </w:r>
      <w:r>
        <w:rPr>
          <w:i/>
          <w:iCs/>
        </w:rPr>
        <w:t>Plant Ecology and Evolution</w:t>
      </w:r>
      <w:r>
        <w:t xml:space="preserve">, </w:t>
      </w:r>
      <w:r>
        <w:rPr>
          <w:i/>
          <w:iCs/>
        </w:rPr>
        <w:t>143</w:t>
      </w:r>
      <w:r>
        <w:t xml:space="preserve">(3), 278–296. </w:t>
      </w:r>
      <w:hyperlink r:id="rId28" w:history="1">
        <w:r>
          <w:rPr>
            <w:rStyle w:val="Hyperlink"/>
          </w:rPr>
          <w:t>https://doi.org/10.5091/plecevo.2010.418</w:t>
        </w:r>
      </w:hyperlink>
    </w:p>
    <w:p w14:paraId="5BD9AB89" w14:textId="77777777" w:rsidR="00ED5C87" w:rsidRDefault="00ED5C87" w:rsidP="00ED5C87">
      <w:pPr>
        <w:ind w:left="540" w:hanging="540"/>
      </w:pPr>
      <w:proofErr w:type="spellStart"/>
      <w:r>
        <w:t>Traller</w:t>
      </w:r>
      <w:proofErr w:type="spellEnd"/>
      <w:r>
        <w:t xml:space="preserve">, J. C., </w:t>
      </w:r>
      <w:proofErr w:type="spellStart"/>
      <w:r>
        <w:t>Cokus</w:t>
      </w:r>
      <w:proofErr w:type="spellEnd"/>
      <w:r>
        <w:t xml:space="preserve">, S. J., Lopez, D. A., </w:t>
      </w:r>
      <w:proofErr w:type="spellStart"/>
      <w:r>
        <w:t>Gaidarenko</w:t>
      </w:r>
      <w:proofErr w:type="spellEnd"/>
      <w:r>
        <w:t xml:space="preserve">, O., Smith, S. R., </w:t>
      </w:r>
      <w:proofErr w:type="spellStart"/>
      <w:r>
        <w:t>McCrow</w:t>
      </w:r>
      <w:proofErr w:type="spellEnd"/>
      <w:r>
        <w:t xml:space="preserve">, J. P., … Hildebrand, M. (2016). Genome and methylome of the oleaginous diatom Cyclotella </w:t>
      </w:r>
      <w:proofErr w:type="spellStart"/>
      <w:r>
        <w:t>cryptica</w:t>
      </w:r>
      <w:proofErr w:type="spellEnd"/>
      <w:r>
        <w:t xml:space="preserve"> reveal genetic flexibility toward a high lipid phenotype. </w:t>
      </w:r>
      <w:r>
        <w:rPr>
          <w:i/>
          <w:iCs/>
        </w:rPr>
        <w:t>Biotechnology for Biofuels</w:t>
      </w:r>
      <w:r>
        <w:t xml:space="preserve">, </w:t>
      </w:r>
      <w:r>
        <w:rPr>
          <w:i/>
          <w:iCs/>
        </w:rPr>
        <w:t>9</w:t>
      </w:r>
      <w:r>
        <w:t xml:space="preserve">(1). </w:t>
      </w:r>
      <w:hyperlink r:id="rId29" w:history="1">
        <w:r>
          <w:rPr>
            <w:rStyle w:val="Hyperlink"/>
          </w:rPr>
          <w:t>https://doi.org/10.1186/s13068-016-0670-3</w:t>
        </w:r>
      </w:hyperlink>
    </w:p>
    <w:p w14:paraId="48969E34" w14:textId="77777777" w:rsidR="00ED5C87" w:rsidRDefault="00ED5C87" w:rsidP="00ED5C87">
      <w:pPr>
        <w:ind w:left="540" w:hanging="540"/>
      </w:pPr>
      <w:r>
        <w:t xml:space="preserve">Tréguer, P. J., &amp; De La Rocha, C. L. (2013). The World Ocean Silica Cycle. </w:t>
      </w:r>
      <w:r>
        <w:rPr>
          <w:i/>
          <w:iCs/>
        </w:rPr>
        <w:t>Annual Review of Marine Science</w:t>
      </w:r>
      <w:r>
        <w:t xml:space="preserve">, </w:t>
      </w:r>
      <w:r>
        <w:rPr>
          <w:i/>
          <w:iCs/>
        </w:rPr>
        <w:t>5</w:t>
      </w:r>
      <w:r>
        <w:t xml:space="preserve">(1), 477–501. </w:t>
      </w:r>
      <w:hyperlink r:id="rId30" w:history="1">
        <w:r>
          <w:rPr>
            <w:rStyle w:val="Hyperlink"/>
          </w:rPr>
          <w:t>https://doi.org/10.1146/annurev-marine-121211-172346</w:t>
        </w:r>
      </w:hyperlink>
    </w:p>
    <w:p w14:paraId="55401F42" w14:textId="5A126932" w:rsidR="00ED5C87" w:rsidRDefault="00ED5C87" w:rsidP="00ED5C87">
      <w:pPr>
        <w:ind w:left="540" w:hanging="540"/>
        <w:rPr>
          <w:rStyle w:val="Hyperlink"/>
        </w:rPr>
      </w:pPr>
      <w:proofErr w:type="spellStart"/>
      <w:r>
        <w:t>Trucchi</w:t>
      </w:r>
      <w:proofErr w:type="spellEnd"/>
      <w:r>
        <w:t xml:space="preserve">, E., </w:t>
      </w:r>
      <w:proofErr w:type="spellStart"/>
      <w:r>
        <w:t>Mazzarella</w:t>
      </w:r>
      <w:proofErr w:type="spellEnd"/>
      <w:r>
        <w:t xml:space="preserve">, A. B., Gilfillan, G. D., Lorenzo, M. T., </w:t>
      </w:r>
      <w:proofErr w:type="spellStart"/>
      <w:r>
        <w:t>Schönswetter</w:t>
      </w:r>
      <w:proofErr w:type="spellEnd"/>
      <w:r>
        <w:t xml:space="preserve">, P., &amp; </w:t>
      </w:r>
      <w:proofErr w:type="spellStart"/>
      <w:r>
        <w:t>Paun</w:t>
      </w:r>
      <w:proofErr w:type="spellEnd"/>
      <w:r>
        <w:t xml:space="preserve">, O. (2016). </w:t>
      </w:r>
      <w:proofErr w:type="spellStart"/>
      <w:r>
        <w:t>BsRADseq</w:t>
      </w:r>
      <w:proofErr w:type="spellEnd"/>
      <w:r>
        <w:t xml:space="preserve">: screening DNA methylation in natural populations of non-model species. </w:t>
      </w:r>
      <w:r>
        <w:rPr>
          <w:i/>
          <w:iCs/>
        </w:rPr>
        <w:t>Molecular Ecology</w:t>
      </w:r>
      <w:r>
        <w:t xml:space="preserve">, </w:t>
      </w:r>
      <w:r>
        <w:rPr>
          <w:i/>
          <w:iCs/>
        </w:rPr>
        <w:t>25</w:t>
      </w:r>
      <w:r>
        <w:t xml:space="preserve">(8), 1697–1713. </w:t>
      </w:r>
      <w:hyperlink r:id="rId31" w:history="1">
        <w:r>
          <w:rPr>
            <w:rStyle w:val="Hyperlink"/>
          </w:rPr>
          <w:t>https://doi.org/10.1111/mec.13550</w:t>
        </w:r>
      </w:hyperlink>
    </w:p>
    <w:p w14:paraId="0F5A95CF" w14:textId="5DEC8B24" w:rsidR="007642CE" w:rsidRDefault="007642CE" w:rsidP="007642CE">
      <w:pPr>
        <w:ind w:left="450" w:hanging="480"/>
      </w:pPr>
      <w:r>
        <w:t xml:space="preserve">van </w:t>
      </w:r>
      <w:proofErr w:type="spellStart"/>
      <w:r>
        <w:t>Oppen</w:t>
      </w:r>
      <w:proofErr w:type="spellEnd"/>
      <w:r>
        <w:t xml:space="preserve">, M. J. H., </w:t>
      </w:r>
      <w:proofErr w:type="spellStart"/>
      <w:r>
        <w:t>Peplow</w:t>
      </w:r>
      <w:proofErr w:type="spellEnd"/>
      <w:r>
        <w:t xml:space="preserve">, L. M., </w:t>
      </w:r>
      <w:proofErr w:type="spellStart"/>
      <w:r>
        <w:t>Kininmonth</w:t>
      </w:r>
      <w:proofErr w:type="spellEnd"/>
      <w:r>
        <w:t xml:space="preserve">, S., &amp; </w:t>
      </w:r>
      <w:proofErr w:type="spellStart"/>
      <w:r>
        <w:t>Berkelmans</w:t>
      </w:r>
      <w:proofErr w:type="spellEnd"/>
      <w:r>
        <w:t xml:space="preserve">, R. (2011). Historical and contemporary factors shape the population genetic structure of the broadcast </w:t>
      </w:r>
      <w:r>
        <w:lastRenderedPageBreak/>
        <w:t xml:space="preserve">spawning coral, Acropora </w:t>
      </w:r>
      <w:proofErr w:type="spellStart"/>
      <w:r>
        <w:t>millepora</w:t>
      </w:r>
      <w:proofErr w:type="spellEnd"/>
      <w:r>
        <w:t xml:space="preserve">, on the Great Barrier Reef: GBR-WIDE GENETIC STRUCTURE IN A CORAL SPECIES. </w:t>
      </w:r>
      <w:r>
        <w:rPr>
          <w:i/>
          <w:iCs/>
        </w:rPr>
        <w:t>Molecular Ecology</w:t>
      </w:r>
      <w:r>
        <w:t xml:space="preserve">, </w:t>
      </w:r>
      <w:r>
        <w:rPr>
          <w:i/>
          <w:iCs/>
        </w:rPr>
        <w:t>20</w:t>
      </w:r>
      <w:r>
        <w:t xml:space="preserve">(23), 4899–4914. </w:t>
      </w:r>
      <w:hyperlink r:id="rId32" w:history="1">
        <w:r>
          <w:rPr>
            <w:rStyle w:val="Hyperlink"/>
          </w:rPr>
          <w:t>https://doi.org/10.1111/j.1365-294X.2011.05328.x</w:t>
        </w:r>
      </w:hyperlink>
      <w:bookmarkStart w:id="0" w:name="_GoBack"/>
      <w:bookmarkEnd w:id="0"/>
    </w:p>
    <w:p w14:paraId="17FC162C" w14:textId="77777777" w:rsidR="00ED5C87" w:rsidRDefault="00ED5C87" w:rsidP="00ED5C87">
      <w:pPr>
        <w:ind w:left="540" w:hanging="540"/>
      </w:pPr>
      <w:r>
        <w:t xml:space="preserve">Vance, D., Little, S. H., de Souza, G. F., </w:t>
      </w:r>
      <w:proofErr w:type="spellStart"/>
      <w:r>
        <w:t>Khatiwala</w:t>
      </w:r>
      <w:proofErr w:type="spellEnd"/>
      <w:r>
        <w:t xml:space="preserve">, S., Lohan, M. C., &amp; </w:t>
      </w:r>
      <w:proofErr w:type="spellStart"/>
      <w:r>
        <w:t>Middag</w:t>
      </w:r>
      <w:proofErr w:type="spellEnd"/>
      <w:r>
        <w:t xml:space="preserve">, R. (2017). Silicon and zinc biogeochemical cycles coupled through the Southern Ocean. </w:t>
      </w:r>
      <w:r>
        <w:rPr>
          <w:i/>
          <w:iCs/>
        </w:rPr>
        <w:t>Nature Geoscience</w:t>
      </w:r>
      <w:r>
        <w:t xml:space="preserve">, </w:t>
      </w:r>
      <w:r>
        <w:rPr>
          <w:i/>
          <w:iCs/>
        </w:rPr>
        <w:t>10</w:t>
      </w:r>
      <w:r>
        <w:t xml:space="preserve">(3), 202–206. </w:t>
      </w:r>
      <w:hyperlink r:id="rId33" w:history="1">
        <w:r>
          <w:rPr>
            <w:rStyle w:val="Hyperlink"/>
          </w:rPr>
          <w:t>https://doi.org/10.1038/ngeo2890</w:t>
        </w:r>
      </w:hyperlink>
    </w:p>
    <w:p w14:paraId="3CEB5EBE" w14:textId="77777777" w:rsidR="00ED5C87" w:rsidRDefault="00ED5C87" w:rsidP="00ED5C87">
      <w:pPr>
        <w:ind w:left="540" w:hanging="540"/>
      </w:pPr>
      <w:proofErr w:type="spellStart"/>
      <w:r>
        <w:t>Veluchamy</w:t>
      </w:r>
      <w:proofErr w:type="spellEnd"/>
      <w:r>
        <w:t xml:space="preserve">, A., Lin, X., </w:t>
      </w:r>
      <w:proofErr w:type="spellStart"/>
      <w:r>
        <w:t>Maumus</w:t>
      </w:r>
      <w:proofErr w:type="spellEnd"/>
      <w:r>
        <w:t xml:space="preserve">, F., </w:t>
      </w:r>
      <w:proofErr w:type="spellStart"/>
      <w:r>
        <w:t>Rivarola</w:t>
      </w:r>
      <w:proofErr w:type="spellEnd"/>
      <w:r>
        <w:t xml:space="preserve">, M., Bhavsar, J., Creasy, T., … </w:t>
      </w:r>
      <w:proofErr w:type="spellStart"/>
      <w:r>
        <w:t>Tirichine</w:t>
      </w:r>
      <w:proofErr w:type="spellEnd"/>
      <w:r>
        <w:t xml:space="preserve">, L. (2013). Insights into the role of DNA methylation in diatoms by genome-wide profiling in </w:t>
      </w:r>
      <w:proofErr w:type="spellStart"/>
      <w:r>
        <w:t>Phaeodactylum</w:t>
      </w:r>
      <w:proofErr w:type="spellEnd"/>
      <w:r>
        <w:t xml:space="preserve"> </w:t>
      </w:r>
      <w:proofErr w:type="spellStart"/>
      <w:r>
        <w:t>tricornutum</w:t>
      </w:r>
      <w:proofErr w:type="spellEnd"/>
      <w:r>
        <w:t xml:space="preserve">. </w:t>
      </w:r>
      <w:r>
        <w:rPr>
          <w:i/>
          <w:iCs/>
        </w:rPr>
        <w:t>Nature Communications</w:t>
      </w:r>
      <w:r>
        <w:t xml:space="preserve">, </w:t>
      </w:r>
      <w:r>
        <w:rPr>
          <w:i/>
          <w:iCs/>
        </w:rPr>
        <w:t>4</w:t>
      </w:r>
      <w:r>
        <w:t xml:space="preserve">(1). </w:t>
      </w:r>
      <w:hyperlink r:id="rId34" w:history="1">
        <w:r>
          <w:rPr>
            <w:rStyle w:val="Hyperlink"/>
          </w:rPr>
          <w:t>https://doi.org/10.1038/ncomms3091</w:t>
        </w:r>
      </w:hyperlink>
    </w:p>
    <w:p w14:paraId="2C9E60D0" w14:textId="77777777" w:rsidR="00ED5C87" w:rsidRDefault="00ED5C87" w:rsidP="00ED5C87">
      <w:pPr>
        <w:ind w:left="540" w:hanging="540"/>
      </w:pPr>
      <w:r>
        <w:t xml:space="preserve">Whittaker, K. A., &amp; Rynearson, T. A. (2017). Evidence for environmental and ecological selection in a microbe with no geographic limits to gene flow. </w:t>
      </w:r>
      <w:r>
        <w:rPr>
          <w:i/>
          <w:iCs/>
        </w:rPr>
        <w:t>Proceedings of the National Academy of Sciences</w:t>
      </w:r>
      <w:r>
        <w:t xml:space="preserve">, </w:t>
      </w:r>
      <w:r>
        <w:rPr>
          <w:i/>
          <w:iCs/>
        </w:rPr>
        <w:t>114</w:t>
      </w:r>
      <w:r>
        <w:t xml:space="preserve">(10), 2651–2656. </w:t>
      </w:r>
      <w:hyperlink r:id="rId35" w:history="1">
        <w:r>
          <w:rPr>
            <w:rStyle w:val="Hyperlink"/>
          </w:rPr>
          <w:t>https://doi.org/10.1073/pnas.1612346114</w:t>
        </w:r>
      </w:hyperlink>
    </w:p>
    <w:p w14:paraId="52F4D178" w14:textId="77777777" w:rsidR="00ED5C87" w:rsidRDefault="00ED5C87" w:rsidP="00ED5C87">
      <w:pPr>
        <w:ind w:left="540" w:hanging="540"/>
      </w:pPr>
      <w:proofErr w:type="spellStart"/>
      <w:r>
        <w:t>Yool</w:t>
      </w:r>
      <w:proofErr w:type="spellEnd"/>
      <w:r>
        <w:t xml:space="preserve">, A., &amp; Tyrrell, T. (2003). Role of diatoms in regulating the ocean’s silicon cycle. </w:t>
      </w:r>
      <w:r>
        <w:rPr>
          <w:i/>
          <w:iCs/>
        </w:rPr>
        <w:t>Global Biogeochemical Cycles</w:t>
      </w:r>
      <w:r>
        <w:t xml:space="preserve">, </w:t>
      </w:r>
      <w:r>
        <w:rPr>
          <w:i/>
          <w:iCs/>
        </w:rPr>
        <w:t>17</w:t>
      </w:r>
      <w:r>
        <w:t xml:space="preserve">(4), n/a-n/a. </w:t>
      </w:r>
      <w:hyperlink r:id="rId36" w:history="1">
        <w:r>
          <w:rPr>
            <w:rStyle w:val="Hyperlink"/>
          </w:rPr>
          <w:t>https://doi.org/10.1029/2002GB002018</w:t>
        </w:r>
      </w:hyperlink>
    </w:p>
    <w:p w14:paraId="79CF0C38" w14:textId="07D040A3" w:rsidR="00A35725" w:rsidRPr="00ED5C87" w:rsidRDefault="00ED5C87" w:rsidP="00ED5C87">
      <w:pPr>
        <w:ind w:left="540" w:hanging="540"/>
      </w:pPr>
      <w:r>
        <w:t xml:space="preserve">Zhao, L., Liu, D., Xu, J., Wang, Z., Chen, Y., Lei, C., … Jiang, Y. (2016). The framework for population epigenetic study. </w:t>
      </w:r>
      <w:r>
        <w:rPr>
          <w:i/>
          <w:iCs/>
        </w:rPr>
        <w:t>Briefings in Bioinformatics</w:t>
      </w:r>
      <w:r>
        <w:t xml:space="preserve">, bbw098. </w:t>
      </w:r>
      <w:hyperlink r:id="rId37" w:history="1">
        <w:r>
          <w:rPr>
            <w:rStyle w:val="Hyperlink"/>
          </w:rPr>
          <w:t>https://doi.org/10.1093/bib/bbw098</w:t>
        </w:r>
      </w:hyperlink>
    </w:p>
    <w:sectPr w:rsidR="00A35725" w:rsidRPr="00ED5C87" w:rsidSect="000E2137">
      <w:footerReference w:type="even"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42CD3" w14:textId="77777777" w:rsidR="00A716DD" w:rsidRDefault="00A716DD" w:rsidP="000C1884">
      <w:r>
        <w:separator/>
      </w:r>
    </w:p>
  </w:endnote>
  <w:endnote w:type="continuationSeparator" w:id="0">
    <w:p w14:paraId="1706BB84" w14:textId="77777777" w:rsidR="00A716DD" w:rsidRDefault="00A716DD" w:rsidP="000C1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7287255"/>
      <w:docPartObj>
        <w:docPartGallery w:val="Page Numbers (Bottom of Page)"/>
        <w:docPartUnique/>
      </w:docPartObj>
    </w:sdtPr>
    <w:sdtEndPr>
      <w:rPr>
        <w:rStyle w:val="PageNumber"/>
      </w:rPr>
    </w:sdtEndPr>
    <w:sdtContent>
      <w:p w14:paraId="0A8F0888" w14:textId="3AB39806" w:rsidR="00B844B8" w:rsidRDefault="00B844B8" w:rsidP="00777B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307F44" w14:textId="77777777" w:rsidR="00B844B8" w:rsidRDefault="00B844B8" w:rsidP="000C18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0736589"/>
      <w:docPartObj>
        <w:docPartGallery w:val="Page Numbers (Bottom of Page)"/>
        <w:docPartUnique/>
      </w:docPartObj>
    </w:sdtPr>
    <w:sdtEndPr>
      <w:rPr>
        <w:rStyle w:val="PageNumber"/>
      </w:rPr>
    </w:sdtEndPr>
    <w:sdtContent>
      <w:p w14:paraId="4B6C6B12" w14:textId="3BD5CDAC" w:rsidR="00B844B8" w:rsidRDefault="00B844B8" w:rsidP="00777B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5253FA" w14:textId="77777777" w:rsidR="00B844B8" w:rsidRDefault="00B844B8" w:rsidP="000C18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92FC0" w14:textId="77777777" w:rsidR="00A716DD" w:rsidRDefault="00A716DD" w:rsidP="000C1884">
      <w:r>
        <w:separator/>
      </w:r>
    </w:p>
  </w:footnote>
  <w:footnote w:type="continuationSeparator" w:id="0">
    <w:p w14:paraId="0CAAA035" w14:textId="77777777" w:rsidR="00A716DD" w:rsidRDefault="00A716DD" w:rsidP="000C18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7092C"/>
    <w:multiLevelType w:val="hybridMultilevel"/>
    <w:tmpl w:val="59160DFE"/>
    <w:lvl w:ilvl="0" w:tplc="0EBC879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06F82"/>
    <w:multiLevelType w:val="hybridMultilevel"/>
    <w:tmpl w:val="AF944A0E"/>
    <w:lvl w:ilvl="0" w:tplc="9C2E237C">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533DD6"/>
    <w:multiLevelType w:val="hybridMultilevel"/>
    <w:tmpl w:val="F904CDAE"/>
    <w:lvl w:ilvl="0" w:tplc="69428A1C">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E727F"/>
    <w:multiLevelType w:val="multilevel"/>
    <w:tmpl w:val="8DC6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10ED5"/>
    <w:multiLevelType w:val="hybridMultilevel"/>
    <w:tmpl w:val="E702F610"/>
    <w:lvl w:ilvl="0" w:tplc="77021F1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608AB"/>
    <w:multiLevelType w:val="hybridMultilevel"/>
    <w:tmpl w:val="A0625C90"/>
    <w:lvl w:ilvl="0" w:tplc="C16A905C">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A7362"/>
    <w:multiLevelType w:val="hybridMultilevel"/>
    <w:tmpl w:val="1700D2EC"/>
    <w:lvl w:ilvl="0" w:tplc="375AECE0">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805504"/>
    <w:multiLevelType w:val="hybridMultilevel"/>
    <w:tmpl w:val="A64A1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063A8"/>
    <w:multiLevelType w:val="hybridMultilevel"/>
    <w:tmpl w:val="5352CB76"/>
    <w:lvl w:ilvl="0" w:tplc="D32AAEE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027334"/>
    <w:multiLevelType w:val="hybridMultilevel"/>
    <w:tmpl w:val="1A2EB54E"/>
    <w:lvl w:ilvl="0" w:tplc="8BC2275A">
      <w:start w:val="1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EF13CA"/>
    <w:multiLevelType w:val="hybridMultilevel"/>
    <w:tmpl w:val="545CC76E"/>
    <w:lvl w:ilvl="0" w:tplc="6610020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5"/>
  </w:num>
  <w:num w:numId="5">
    <w:abstractNumId w:val="6"/>
  </w:num>
  <w:num w:numId="6">
    <w:abstractNumId w:val="8"/>
  </w:num>
  <w:num w:numId="7">
    <w:abstractNumId w:val="9"/>
  </w:num>
  <w:num w:numId="8">
    <w:abstractNumId w:val="7"/>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0B"/>
    <w:rsid w:val="00002467"/>
    <w:rsid w:val="000068D6"/>
    <w:rsid w:val="00006BC0"/>
    <w:rsid w:val="00012283"/>
    <w:rsid w:val="0001413C"/>
    <w:rsid w:val="0002246C"/>
    <w:rsid w:val="00027EF3"/>
    <w:rsid w:val="00043FC9"/>
    <w:rsid w:val="0005031C"/>
    <w:rsid w:val="00073B89"/>
    <w:rsid w:val="00075175"/>
    <w:rsid w:val="000A2EBA"/>
    <w:rsid w:val="000A7DA8"/>
    <w:rsid w:val="000C1884"/>
    <w:rsid w:val="000C6D8F"/>
    <w:rsid w:val="000C754D"/>
    <w:rsid w:val="000D1BF0"/>
    <w:rsid w:val="000D601A"/>
    <w:rsid w:val="000E2137"/>
    <w:rsid w:val="000E4E95"/>
    <w:rsid w:val="000F5913"/>
    <w:rsid w:val="00103DB8"/>
    <w:rsid w:val="00136182"/>
    <w:rsid w:val="00146CBC"/>
    <w:rsid w:val="00161C26"/>
    <w:rsid w:val="001865E4"/>
    <w:rsid w:val="00196ADE"/>
    <w:rsid w:val="001B26AB"/>
    <w:rsid w:val="001C4754"/>
    <w:rsid w:val="001E62FF"/>
    <w:rsid w:val="001E68D9"/>
    <w:rsid w:val="002035B5"/>
    <w:rsid w:val="00210108"/>
    <w:rsid w:val="00234C35"/>
    <w:rsid w:val="0023509D"/>
    <w:rsid w:val="002373BD"/>
    <w:rsid w:val="00240536"/>
    <w:rsid w:val="00250B98"/>
    <w:rsid w:val="00255F3C"/>
    <w:rsid w:val="0029447D"/>
    <w:rsid w:val="0029582C"/>
    <w:rsid w:val="002B4300"/>
    <w:rsid w:val="002D26C4"/>
    <w:rsid w:val="002D5ED2"/>
    <w:rsid w:val="002E0229"/>
    <w:rsid w:val="00303F63"/>
    <w:rsid w:val="003129BC"/>
    <w:rsid w:val="003173A5"/>
    <w:rsid w:val="00322186"/>
    <w:rsid w:val="00323E1E"/>
    <w:rsid w:val="00326C2C"/>
    <w:rsid w:val="003301D3"/>
    <w:rsid w:val="0033145D"/>
    <w:rsid w:val="003429E1"/>
    <w:rsid w:val="00342EC4"/>
    <w:rsid w:val="00367B76"/>
    <w:rsid w:val="00373F36"/>
    <w:rsid w:val="00374334"/>
    <w:rsid w:val="00386796"/>
    <w:rsid w:val="00390CD8"/>
    <w:rsid w:val="003B7DE1"/>
    <w:rsid w:val="003C7633"/>
    <w:rsid w:val="003D6A43"/>
    <w:rsid w:val="003E3A66"/>
    <w:rsid w:val="0041354E"/>
    <w:rsid w:val="0041626E"/>
    <w:rsid w:val="0042586F"/>
    <w:rsid w:val="00435230"/>
    <w:rsid w:val="00440212"/>
    <w:rsid w:val="00454670"/>
    <w:rsid w:val="004551D8"/>
    <w:rsid w:val="00460B80"/>
    <w:rsid w:val="00486A3E"/>
    <w:rsid w:val="004947EB"/>
    <w:rsid w:val="00497363"/>
    <w:rsid w:val="004A0FA5"/>
    <w:rsid w:val="004D5B47"/>
    <w:rsid w:val="004F41D8"/>
    <w:rsid w:val="004F6D7F"/>
    <w:rsid w:val="00503B33"/>
    <w:rsid w:val="005067F9"/>
    <w:rsid w:val="00510135"/>
    <w:rsid w:val="005232C5"/>
    <w:rsid w:val="00543BC7"/>
    <w:rsid w:val="00547298"/>
    <w:rsid w:val="00556C0C"/>
    <w:rsid w:val="005823F0"/>
    <w:rsid w:val="005964DD"/>
    <w:rsid w:val="00596E35"/>
    <w:rsid w:val="005A239C"/>
    <w:rsid w:val="005A72EC"/>
    <w:rsid w:val="005B60A7"/>
    <w:rsid w:val="005E0A6F"/>
    <w:rsid w:val="005E3F94"/>
    <w:rsid w:val="005F0D28"/>
    <w:rsid w:val="006036BC"/>
    <w:rsid w:val="006051BB"/>
    <w:rsid w:val="00613B0B"/>
    <w:rsid w:val="00620237"/>
    <w:rsid w:val="00625F2E"/>
    <w:rsid w:val="00626A89"/>
    <w:rsid w:val="00642669"/>
    <w:rsid w:val="0066063A"/>
    <w:rsid w:val="00662BD4"/>
    <w:rsid w:val="0066321D"/>
    <w:rsid w:val="00696414"/>
    <w:rsid w:val="006B2FF1"/>
    <w:rsid w:val="006C2A06"/>
    <w:rsid w:val="006D4045"/>
    <w:rsid w:val="006E2CFE"/>
    <w:rsid w:val="006F0F87"/>
    <w:rsid w:val="007604C2"/>
    <w:rsid w:val="007628F6"/>
    <w:rsid w:val="007642CE"/>
    <w:rsid w:val="00767FD3"/>
    <w:rsid w:val="00774F6E"/>
    <w:rsid w:val="00777BCF"/>
    <w:rsid w:val="0078292A"/>
    <w:rsid w:val="00794D69"/>
    <w:rsid w:val="007E6BBB"/>
    <w:rsid w:val="007F7545"/>
    <w:rsid w:val="00823F13"/>
    <w:rsid w:val="0083232E"/>
    <w:rsid w:val="008438A1"/>
    <w:rsid w:val="00843AE1"/>
    <w:rsid w:val="00872264"/>
    <w:rsid w:val="008753E5"/>
    <w:rsid w:val="0087581A"/>
    <w:rsid w:val="008873D2"/>
    <w:rsid w:val="00891A96"/>
    <w:rsid w:val="008F79C7"/>
    <w:rsid w:val="008F7A68"/>
    <w:rsid w:val="008F7C81"/>
    <w:rsid w:val="009011A5"/>
    <w:rsid w:val="00910899"/>
    <w:rsid w:val="00914495"/>
    <w:rsid w:val="009160D2"/>
    <w:rsid w:val="009402B0"/>
    <w:rsid w:val="00991E7E"/>
    <w:rsid w:val="00993C7B"/>
    <w:rsid w:val="00994202"/>
    <w:rsid w:val="009A17B9"/>
    <w:rsid w:val="009B6D52"/>
    <w:rsid w:val="009C22EF"/>
    <w:rsid w:val="009C5002"/>
    <w:rsid w:val="00A13390"/>
    <w:rsid w:val="00A15F64"/>
    <w:rsid w:val="00A230E7"/>
    <w:rsid w:val="00A258C8"/>
    <w:rsid w:val="00A35725"/>
    <w:rsid w:val="00A4023C"/>
    <w:rsid w:val="00A5016E"/>
    <w:rsid w:val="00A63964"/>
    <w:rsid w:val="00A66813"/>
    <w:rsid w:val="00A66996"/>
    <w:rsid w:val="00A716DD"/>
    <w:rsid w:val="00A771D9"/>
    <w:rsid w:val="00A77339"/>
    <w:rsid w:val="00A92693"/>
    <w:rsid w:val="00AB422F"/>
    <w:rsid w:val="00AC3109"/>
    <w:rsid w:val="00AC3DC2"/>
    <w:rsid w:val="00AD2C33"/>
    <w:rsid w:val="00AF4AFE"/>
    <w:rsid w:val="00AF66FD"/>
    <w:rsid w:val="00B05FEC"/>
    <w:rsid w:val="00B14134"/>
    <w:rsid w:val="00B16870"/>
    <w:rsid w:val="00B251EF"/>
    <w:rsid w:val="00B27426"/>
    <w:rsid w:val="00B373BD"/>
    <w:rsid w:val="00B52ADB"/>
    <w:rsid w:val="00B62777"/>
    <w:rsid w:val="00B64F9D"/>
    <w:rsid w:val="00B713FB"/>
    <w:rsid w:val="00B8326B"/>
    <w:rsid w:val="00B844B8"/>
    <w:rsid w:val="00B9742E"/>
    <w:rsid w:val="00BA1A51"/>
    <w:rsid w:val="00BB710B"/>
    <w:rsid w:val="00BC7766"/>
    <w:rsid w:val="00BF494A"/>
    <w:rsid w:val="00C118BF"/>
    <w:rsid w:val="00C14110"/>
    <w:rsid w:val="00C36315"/>
    <w:rsid w:val="00C66A16"/>
    <w:rsid w:val="00C71809"/>
    <w:rsid w:val="00C77BB4"/>
    <w:rsid w:val="00C85725"/>
    <w:rsid w:val="00CA1A59"/>
    <w:rsid w:val="00CB7251"/>
    <w:rsid w:val="00D06BF3"/>
    <w:rsid w:val="00D0707B"/>
    <w:rsid w:val="00D23D64"/>
    <w:rsid w:val="00D64AE9"/>
    <w:rsid w:val="00D80910"/>
    <w:rsid w:val="00D976D2"/>
    <w:rsid w:val="00DA297D"/>
    <w:rsid w:val="00DA2D50"/>
    <w:rsid w:val="00DA41D7"/>
    <w:rsid w:val="00DC6DFE"/>
    <w:rsid w:val="00DD3F38"/>
    <w:rsid w:val="00DD4B0E"/>
    <w:rsid w:val="00DE302E"/>
    <w:rsid w:val="00DE368A"/>
    <w:rsid w:val="00DF0644"/>
    <w:rsid w:val="00E2776C"/>
    <w:rsid w:val="00E361D1"/>
    <w:rsid w:val="00E45D79"/>
    <w:rsid w:val="00E63BFB"/>
    <w:rsid w:val="00E832EA"/>
    <w:rsid w:val="00E952BF"/>
    <w:rsid w:val="00EA6691"/>
    <w:rsid w:val="00EA73AC"/>
    <w:rsid w:val="00EB426F"/>
    <w:rsid w:val="00EB656E"/>
    <w:rsid w:val="00EC3862"/>
    <w:rsid w:val="00EC4449"/>
    <w:rsid w:val="00EC7A22"/>
    <w:rsid w:val="00ED5C87"/>
    <w:rsid w:val="00EF10CC"/>
    <w:rsid w:val="00EF69DD"/>
    <w:rsid w:val="00F069B6"/>
    <w:rsid w:val="00F110A3"/>
    <w:rsid w:val="00F171E0"/>
    <w:rsid w:val="00F41A2F"/>
    <w:rsid w:val="00F50AE9"/>
    <w:rsid w:val="00F72DAB"/>
    <w:rsid w:val="00F7485B"/>
    <w:rsid w:val="00F8617F"/>
    <w:rsid w:val="00F862D5"/>
    <w:rsid w:val="00FA1DC0"/>
    <w:rsid w:val="00FC2150"/>
    <w:rsid w:val="00FC4D03"/>
    <w:rsid w:val="00FD0FA5"/>
    <w:rsid w:val="00FD5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F690"/>
  <w15:chartTrackingRefBased/>
  <w15:docId w15:val="{57116569-A1F0-B344-9F83-E6A16582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A89"/>
    <w:pPr>
      <w:ind w:left="720"/>
      <w:contextualSpacing/>
    </w:pPr>
  </w:style>
  <w:style w:type="character" w:styleId="Hyperlink">
    <w:name w:val="Hyperlink"/>
    <w:basedOn w:val="DefaultParagraphFont"/>
    <w:uiPriority w:val="99"/>
    <w:semiHidden/>
    <w:unhideWhenUsed/>
    <w:rsid w:val="00E952BF"/>
    <w:rPr>
      <w:color w:val="0000FF"/>
      <w:u w:val="single"/>
    </w:rPr>
  </w:style>
  <w:style w:type="paragraph" w:styleId="Footer">
    <w:name w:val="footer"/>
    <w:basedOn w:val="Normal"/>
    <w:link w:val="FooterChar"/>
    <w:uiPriority w:val="99"/>
    <w:unhideWhenUsed/>
    <w:rsid w:val="000C1884"/>
    <w:pPr>
      <w:tabs>
        <w:tab w:val="center" w:pos="4680"/>
        <w:tab w:val="right" w:pos="9360"/>
      </w:tabs>
    </w:pPr>
  </w:style>
  <w:style w:type="character" w:customStyle="1" w:styleId="FooterChar">
    <w:name w:val="Footer Char"/>
    <w:basedOn w:val="DefaultParagraphFont"/>
    <w:link w:val="Footer"/>
    <w:uiPriority w:val="99"/>
    <w:rsid w:val="000C1884"/>
  </w:style>
  <w:style w:type="character" w:styleId="PageNumber">
    <w:name w:val="page number"/>
    <w:basedOn w:val="DefaultParagraphFont"/>
    <w:uiPriority w:val="99"/>
    <w:semiHidden/>
    <w:unhideWhenUsed/>
    <w:rsid w:val="000C1884"/>
  </w:style>
  <w:style w:type="paragraph" w:styleId="BalloonText">
    <w:name w:val="Balloon Text"/>
    <w:basedOn w:val="Normal"/>
    <w:link w:val="BalloonTextChar"/>
    <w:uiPriority w:val="99"/>
    <w:semiHidden/>
    <w:unhideWhenUsed/>
    <w:rsid w:val="00625F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5F2E"/>
    <w:rPr>
      <w:rFonts w:ascii="Times New Roman" w:hAnsi="Times New Roman" w:cs="Times New Roman"/>
      <w:sz w:val="18"/>
      <w:szCs w:val="18"/>
    </w:rPr>
  </w:style>
  <w:style w:type="paragraph" w:styleId="Caption">
    <w:name w:val="caption"/>
    <w:basedOn w:val="Normal"/>
    <w:next w:val="Normal"/>
    <w:uiPriority w:val="35"/>
    <w:unhideWhenUsed/>
    <w:qFormat/>
    <w:rsid w:val="00075175"/>
    <w:pPr>
      <w:spacing w:after="200"/>
    </w:pPr>
    <w:rPr>
      <w:i/>
      <w:iCs/>
      <w:color w:val="44546A" w:themeColor="text2"/>
      <w:sz w:val="18"/>
      <w:szCs w:val="18"/>
    </w:rPr>
  </w:style>
  <w:style w:type="character" w:customStyle="1" w:styleId="js-separator">
    <w:name w:val="js-separator"/>
    <w:basedOn w:val="DefaultParagraphFont"/>
    <w:rsid w:val="00596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65823">
      <w:bodyDiv w:val="1"/>
      <w:marLeft w:val="0"/>
      <w:marRight w:val="0"/>
      <w:marTop w:val="0"/>
      <w:marBottom w:val="0"/>
      <w:divBdr>
        <w:top w:val="none" w:sz="0" w:space="0" w:color="auto"/>
        <w:left w:val="none" w:sz="0" w:space="0" w:color="auto"/>
        <w:bottom w:val="none" w:sz="0" w:space="0" w:color="auto"/>
        <w:right w:val="none" w:sz="0" w:space="0" w:color="auto"/>
      </w:divBdr>
      <w:divsChild>
        <w:div w:id="2093162645">
          <w:marLeft w:val="480"/>
          <w:marRight w:val="0"/>
          <w:marTop w:val="0"/>
          <w:marBottom w:val="0"/>
          <w:divBdr>
            <w:top w:val="none" w:sz="0" w:space="0" w:color="auto"/>
            <w:left w:val="none" w:sz="0" w:space="0" w:color="auto"/>
            <w:bottom w:val="none" w:sz="0" w:space="0" w:color="auto"/>
            <w:right w:val="none" w:sz="0" w:space="0" w:color="auto"/>
          </w:divBdr>
          <w:divsChild>
            <w:div w:id="4770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1662">
      <w:bodyDiv w:val="1"/>
      <w:marLeft w:val="0"/>
      <w:marRight w:val="0"/>
      <w:marTop w:val="0"/>
      <w:marBottom w:val="0"/>
      <w:divBdr>
        <w:top w:val="none" w:sz="0" w:space="0" w:color="auto"/>
        <w:left w:val="none" w:sz="0" w:space="0" w:color="auto"/>
        <w:bottom w:val="none" w:sz="0" w:space="0" w:color="auto"/>
        <w:right w:val="none" w:sz="0" w:space="0" w:color="auto"/>
      </w:divBdr>
    </w:div>
    <w:div w:id="755443028">
      <w:bodyDiv w:val="1"/>
      <w:marLeft w:val="0"/>
      <w:marRight w:val="0"/>
      <w:marTop w:val="0"/>
      <w:marBottom w:val="0"/>
      <w:divBdr>
        <w:top w:val="none" w:sz="0" w:space="0" w:color="auto"/>
        <w:left w:val="none" w:sz="0" w:space="0" w:color="auto"/>
        <w:bottom w:val="none" w:sz="0" w:space="0" w:color="auto"/>
        <w:right w:val="none" w:sz="0" w:space="0" w:color="auto"/>
      </w:divBdr>
    </w:div>
    <w:div w:id="1068696547">
      <w:bodyDiv w:val="1"/>
      <w:marLeft w:val="0"/>
      <w:marRight w:val="0"/>
      <w:marTop w:val="0"/>
      <w:marBottom w:val="0"/>
      <w:divBdr>
        <w:top w:val="none" w:sz="0" w:space="0" w:color="auto"/>
        <w:left w:val="none" w:sz="0" w:space="0" w:color="auto"/>
        <w:bottom w:val="none" w:sz="0" w:space="0" w:color="auto"/>
        <w:right w:val="none" w:sz="0" w:space="0" w:color="auto"/>
      </w:divBdr>
      <w:divsChild>
        <w:div w:id="1540625044">
          <w:marLeft w:val="480"/>
          <w:marRight w:val="0"/>
          <w:marTop w:val="0"/>
          <w:marBottom w:val="0"/>
          <w:divBdr>
            <w:top w:val="none" w:sz="0" w:space="0" w:color="auto"/>
            <w:left w:val="none" w:sz="0" w:space="0" w:color="auto"/>
            <w:bottom w:val="none" w:sz="0" w:space="0" w:color="auto"/>
            <w:right w:val="none" w:sz="0" w:space="0" w:color="auto"/>
          </w:divBdr>
          <w:divsChild>
            <w:div w:id="7397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4101">
      <w:bodyDiv w:val="1"/>
      <w:marLeft w:val="0"/>
      <w:marRight w:val="0"/>
      <w:marTop w:val="0"/>
      <w:marBottom w:val="0"/>
      <w:divBdr>
        <w:top w:val="none" w:sz="0" w:space="0" w:color="auto"/>
        <w:left w:val="none" w:sz="0" w:space="0" w:color="auto"/>
        <w:bottom w:val="none" w:sz="0" w:space="0" w:color="auto"/>
        <w:right w:val="none" w:sz="0" w:space="0" w:color="auto"/>
      </w:divBdr>
    </w:div>
    <w:div w:id="1641303616">
      <w:bodyDiv w:val="1"/>
      <w:marLeft w:val="0"/>
      <w:marRight w:val="0"/>
      <w:marTop w:val="0"/>
      <w:marBottom w:val="0"/>
      <w:divBdr>
        <w:top w:val="none" w:sz="0" w:space="0" w:color="auto"/>
        <w:left w:val="none" w:sz="0" w:space="0" w:color="auto"/>
        <w:bottom w:val="none" w:sz="0" w:space="0" w:color="auto"/>
        <w:right w:val="none" w:sz="0" w:space="0" w:color="auto"/>
      </w:divBdr>
    </w:div>
    <w:div w:id="1775589589">
      <w:bodyDiv w:val="1"/>
      <w:marLeft w:val="0"/>
      <w:marRight w:val="0"/>
      <w:marTop w:val="0"/>
      <w:marBottom w:val="0"/>
      <w:divBdr>
        <w:top w:val="none" w:sz="0" w:space="0" w:color="auto"/>
        <w:left w:val="none" w:sz="0" w:space="0" w:color="auto"/>
        <w:bottom w:val="none" w:sz="0" w:space="0" w:color="auto"/>
        <w:right w:val="none" w:sz="0" w:space="0" w:color="auto"/>
      </w:divBdr>
    </w:div>
    <w:div w:id="2037273527">
      <w:bodyDiv w:val="1"/>
      <w:marLeft w:val="0"/>
      <w:marRight w:val="0"/>
      <w:marTop w:val="0"/>
      <w:marBottom w:val="0"/>
      <w:divBdr>
        <w:top w:val="none" w:sz="0" w:space="0" w:color="auto"/>
        <w:left w:val="none" w:sz="0" w:space="0" w:color="auto"/>
        <w:bottom w:val="none" w:sz="0" w:space="0" w:color="auto"/>
        <w:right w:val="none" w:sz="0" w:space="0" w:color="auto"/>
      </w:divBdr>
      <w:divsChild>
        <w:div w:id="1155730903">
          <w:marLeft w:val="480"/>
          <w:marRight w:val="0"/>
          <w:marTop w:val="0"/>
          <w:marBottom w:val="0"/>
          <w:divBdr>
            <w:top w:val="none" w:sz="0" w:space="0" w:color="auto"/>
            <w:left w:val="none" w:sz="0" w:space="0" w:color="auto"/>
            <w:bottom w:val="none" w:sz="0" w:space="0" w:color="auto"/>
            <w:right w:val="none" w:sz="0" w:space="0" w:color="auto"/>
          </w:divBdr>
          <w:divsChild>
            <w:div w:id="489516778">
              <w:marLeft w:val="0"/>
              <w:marRight w:val="0"/>
              <w:marTop w:val="0"/>
              <w:marBottom w:val="0"/>
              <w:divBdr>
                <w:top w:val="none" w:sz="0" w:space="0" w:color="auto"/>
                <w:left w:val="none" w:sz="0" w:space="0" w:color="auto"/>
                <w:bottom w:val="none" w:sz="0" w:space="0" w:color="auto"/>
                <w:right w:val="none" w:sz="0" w:space="0" w:color="auto"/>
              </w:divBdr>
            </w:div>
            <w:div w:id="545603614">
              <w:marLeft w:val="0"/>
              <w:marRight w:val="0"/>
              <w:marTop w:val="0"/>
              <w:marBottom w:val="0"/>
              <w:divBdr>
                <w:top w:val="none" w:sz="0" w:space="0" w:color="auto"/>
                <w:left w:val="none" w:sz="0" w:space="0" w:color="auto"/>
                <w:bottom w:val="none" w:sz="0" w:space="0" w:color="auto"/>
                <w:right w:val="none" w:sz="0" w:space="0" w:color="auto"/>
              </w:divBdr>
            </w:div>
            <w:div w:id="1674455393">
              <w:marLeft w:val="0"/>
              <w:marRight w:val="0"/>
              <w:marTop w:val="0"/>
              <w:marBottom w:val="0"/>
              <w:divBdr>
                <w:top w:val="none" w:sz="0" w:space="0" w:color="auto"/>
                <w:left w:val="none" w:sz="0" w:space="0" w:color="auto"/>
                <w:bottom w:val="none" w:sz="0" w:space="0" w:color="auto"/>
                <w:right w:val="none" w:sz="0" w:space="0" w:color="auto"/>
              </w:divBdr>
            </w:div>
            <w:div w:id="1987972904">
              <w:marLeft w:val="0"/>
              <w:marRight w:val="0"/>
              <w:marTop w:val="0"/>
              <w:marBottom w:val="0"/>
              <w:divBdr>
                <w:top w:val="none" w:sz="0" w:space="0" w:color="auto"/>
                <w:left w:val="none" w:sz="0" w:space="0" w:color="auto"/>
                <w:bottom w:val="none" w:sz="0" w:space="0" w:color="auto"/>
                <w:right w:val="none" w:sz="0" w:space="0" w:color="auto"/>
              </w:divBdr>
            </w:div>
            <w:div w:id="2115855351">
              <w:marLeft w:val="0"/>
              <w:marRight w:val="0"/>
              <w:marTop w:val="0"/>
              <w:marBottom w:val="0"/>
              <w:divBdr>
                <w:top w:val="none" w:sz="0" w:space="0" w:color="auto"/>
                <w:left w:val="none" w:sz="0" w:space="0" w:color="auto"/>
                <w:bottom w:val="none" w:sz="0" w:space="0" w:color="auto"/>
                <w:right w:val="none" w:sz="0" w:space="0" w:color="auto"/>
              </w:divBdr>
            </w:div>
            <w:div w:id="553856524">
              <w:marLeft w:val="0"/>
              <w:marRight w:val="0"/>
              <w:marTop w:val="0"/>
              <w:marBottom w:val="0"/>
              <w:divBdr>
                <w:top w:val="none" w:sz="0" w:space="0" w:color="auto"/>
                <w:left w:val="none" w:sz="0" w:space="0" w:color="auto"/>
                <w:bottom w:val="none" w:sz="0" w:space="0" w:color="auto"/>
                <w:right w:val="none" w:sz="0" w:space="0" w:color="auto"/>
              </w:divBdr>
            </w:div>
            <w:div w:id="368460493">
              <w:marLeft w:val="0"/>
              <w:marRight w:val="0"/>
              <w:marTop w:val="0"/>
              <w:marBottom w:val="0"/>
              <w:divBdr>
                <w:top w:val="none" w:sz="0" w:space="0" w:color="auto"/>
                <w:left w:val="none" w:sz="0" w:space="0" w:color="auto"/>
                <w:bottom w:val="none" w:sz="0" w:space="0" w:color="auto"/>
                <w:right w:val="none" w:sz="0" w:space="0" w:color="auto"/>
              </w:divBdr>
            </w:div>
            <w:div w:id="1283920448">
              <w:marLeft w:val="0"/>
              <w:marRight w:val="0"/>
              <w:marTop w:val="0"/>
              <w:marBottom w:val="0"/>
              <w:divBdr>
                <w:top w:val="none" w:sz="0" w:space="0" w:color="auto"/>
                <w:left w:val="none" w:sz="0" w:space="0" w:color="auto"/>
                <w:bottom w:val="none" w:sz="0" w:space="0" w:color="auto"/>
                <w:right w:val="none" w:sz="0" w:space="0" w:color="auto"/>
              </w:divBdr>
            </w:div>
            <w:div w:id="879705130">
              <w:marLeft w:val="0"/>
              <w:marRight w:val="0"/>
              <w:marTop w:val="0"/>
              <w:marBottom w:val="0"/>
              <w:divBdr>
                <w:top w:val="none" w:sz="0" w:space="0" w:color="auto"/>
                <w:left w:val="none" w:sz="0" w:space="0" w:color="auto"/>
                <w:bottom w:val="none" w:sz="0" w:space="0" w:color="auto"/>
                <w:right w:val="none" w:sz="0" w:space="0" w:color="auto"/>
              </w:divBdr>
            </w:div>
            <w:div w:id="723141480">
              <w:marLeft w:val="0"/>
              <w:marRight w:val="0"/>
              <w:marTop w:val="0"/>
              <w:marBottom w:val="0"/>
              <w:divBdr>
                <w:top w:val="none" w:sz="0" w:space="0" w:color="auto"/>
                <w:left w:val="none" w:sz="0" w:space="0" w:color="auto"/>
                <w:bottom w:val="none" w:sz="0" w:space="0" w:color="auto"/>
                <w:right w:val="none" w:sz="0" w:space="0" w:color="auto"/>
              </w:divBdr>
            </w:div>
            <w:div w:id="426536329">
              <w:marLeft w:val="0"/>
              <w:marRight w:val="0"/>
              <w:marTop w:val="0"/>
              <w:marBottom w:val="0"/>
              <w:divBdr>
                <w:top w:val="none" w:sz="0" w:space="0" w:color="auto"/>
                <w:left w:val="none" w:sz="0" w:space="0" w:color="auto"/>
                <w:bottom w:val="none" w:sz="0" w:space="0" w:color="auto"/>
                <w:right w:val="none" w:sz="0" w:space="0" w:color="auto"/>
              </w:divBdr>
            </w:div>
            <w:div w:id="1367028591">
              <w:marLeft w:val="0"/>
              <w:marRight w:val="0"/>
              <w:marTop w:val="0"/>
              <w:marBottom w:val="0"/>
              <w:divBdr>
                <w:top w:val="none" w:sz="0" w:space="0" w:color="auto"/>
                <w:left w:val="none" w:sz="0" w:space="0" w:color="auto"/>
                <w:bottom w:val="none" w:sz="0" w:space="0" w:color="auto"/>
                <w:right w:val="none" w:sz="0" w:space="0" w:color="auto"/>
              </w:divBdr>
            </w:div>
            <w:div w:id="978651525">
              <w:marLeft w:val="0"/>
              <w:marRight w:val="0"/>
              <w:marTop w:val="0"/>
              <w:marBottom w:val="0"/>
              <w:divBdr>
                <w:top w:val="none" w:sz="0" w:space="0" w:color="auto"/>
                <w:left w:val="none" w:sz="0" w:space="0" w:color="auto"/>
                <w:bottom w:val="none" w:sz="0" w:space="0" w:color="auto"/>
                <w:right w:val="none" w:sz="0" w:space="0" w:color="auto"/>
              </w:divBdr>
            </w:div>
            <w:div w:id="896823896">
              <w:marLeft w:val="0"/>
              <w:marRight w:val="0"/>
              <w:marTop w:val="0"/>
              <w:marBottom w:val="0"/>
              <w:divBdr>
                <w:top w:val="none" w:sz="0" w:space="0" w:color="auto"/>
                <w:left w:val="none" w:sz="0" w:space="0" w:color="auto"/>
                <w:bottom w:val="none" w:sz="0" w:space="0" w:color="auto"/>
                <w:right w:val="none" w:sz="0" w:space="0" w:color="auto"/>
              </w:divBdr>
            </w:div>
            <w:div w:id="914977270">
              <w:marLeft w:val="0"/>
              <w:marRight w:val="0"/>
              <w:marTop w:val="0"/>
              <w:marBottom w:val="0"/>
              <w:divBdr>
                <w:top w:val="none" w:sz="0" w:space="0" w:color="auto"/>
                <w:left w:val="none" w:sz="0" w:space="0" w:color="auto"/>
                <w:bottom w:val="none" w:sz="0" w:space="0" w:color="auto"/>
                <w:right w:val="none" w:sz="0" w:space="0" w:color="auto"/>
              </w:divBdr>
            </w:div>
            <w:div w:id="632297399">
              <w:marLeft w:val="0"/>
              <w:marRight w:val="0"/>
              <w:marTop w:val="0"/>
              <w:marBottom w:val="0"/>
              <w:divBdr>
                <w:top w:val="none" w:sz="0" w:space="0" w:color="auto"/>
                <w:left w:val="none" w:sz="0" w:space="0" w:color="auto"/>
                <w:bottom w:val="none" w:sz="0" w:space="0" w:color="auto"/>
                <w:right w:val="none" w:sz="0" w:space="0" w:color="auto"/>
              </w:divBdr>
            </w:div>
            <w:div w:id="1539665399">
              <w:marLeft w:val="0"/>
              <w:marRight w:val="0"/>
              <w:marTop w:val="0"/>
              <w:marBottom w:val="0"/>
              <w:divBdr>
                <w:top w:val="none" w:sz="0" w:space="0" w:color="auto"/>
                <w:left w:val="none" w:sz="0" w:space="0" w:color="auto"/>
                <w:bottom w:val="none" w:sz="0" w:space="0" w:color="auto"/>
                <w:right w:val="none" w:sz="0" w:space="0" w:color="auto"/>
              </w:divBdr>
            </w:div>
            <w:div w:id="1341662405">
              <w:marLeft w:val="0"/>
              <w:marRight w:val="0"/>
              <w:marTop w:val="0"/>
              <w:marBottom w:val="0"/>
              <w:divBdr>
                <w:top w:val="none" w:sz="0" w:space="0" w:color="auto"/>
                <w:left w:val="none" w:sz="0" w:space="0" w:color="auto"/>
                <w:bottom w:val="none" w:sz="0" w:space="0" w:color="auto"/>
                <w:right w:val="none" w:sz="0" w:space="0" w:color="auto"/>
              </w:divBdr>
            </w:div>
            <w:div w:id="958143177">
              <w:marLeft w:val="0"/>
              <w:marRight w:val="0"/>
              <w:marTop w:val="0"/>
              <w:marBottom w:val="0"/>
              <w:divBdr>
                <w:top w:val="none" w:sz="0" w:space="0" w:color="auto"/>
                <w:left w:val="none" w:sz="0" w:space="0" w:color="auto"/>
                <w:bottom w:val="none" w:sz="0" w:space="0" w:color="auto"/>
                <w:right w:val="none" w:sz="0" w:space="0" w:color="auto"/>
              </w:divBdr>
            </w:div>
            <w:div w:id="249122209">
              <w:marLeft w:val="0"/>
              <w:marRight w:val="0"/>
              <w:marTop w:val="0"/>
              <w:marBottom w:val="0"/>
              <w:divBdr>
                <w:top w:val="none" w:sz="0" w:space="0" w:color="auto"/>
                <w:left w:val="none" w:sz="0" w:space="0" w:color="auto"/>
                <w:bottom w:val="none" w:sz="0" w:space="0" w:color="auto"/>
                <w:right w:val="none" w:sz="0" w:space="0" w:color="auto"/>
              </w:divBdr>
            </w:div>
            <w:div w:id="939677694">
              <w:marLeft w:val="0"/>
              <w:marRight w:val="0"/>
              <w:marTop w:val="0"/>
              <w:marBottom w:val="0"/>
              <w:divBdr>
                <w:top w:val="none" w:sz="0" w:space="0" w:color="auto"/>
                <w:left w:val="none" w:sz="0" w:space="0" w:color="auto"/>
                <w:bottom w:val="none" w:sz="0" w:space="0" w:color="auto"/>
                <w:right w:val="none" w:sz="0" w:space="0" w:color="auto"/>
              </w:divBdr>
            </w:div>
            <w:div w:id="1156998440">
              <w:marLeft w:val="0"/>
              <w:marRight w:val="0"/>
              <w:marTop w:val="0"/>
              <w:marBottom w:val="0"/>
              <w:divBdr>
                <w:top w:val="none" w:sz="0" w:space="0" w:color="auto"/>
                <w:left w:val="none" w:sz="0" w:space="0" w:color="auto"/>
                <w:bottom w:val="none" w:sz="0" w:space="0" w:color="auto"/>
                <w:right w:val="none" w:sz="0" w:space="0" w:color="auto"/>
              </w:divBdr>
            </w:div>
            <w:div w:id="1449157195">
              <w:marLeft w:val="0"/>
              <w:marRight w:val="0"/>
              <w:marTop w:val="0"/>
              <w:marBottom w:val="0"/>
              <w:divBdr>
                <w:top w:val="none" w:sz="0" w:space="0" w:color="auto"/>
                <w:left w:val="none" w:sz="0" w:space="0" w:color="auto"/>
                <w:bottom w:val="none" w:sz="0" w:space="0" w:color="auto"/>
                <w:right w:val="none" w:sz="0" w:space="0" w:color="auto"/>
              </w:divBdr>
            </w:div>
            <w:div w:id="241063307">
              <w:marLeft w:val="0"/>
              <w:marRight w:val="0"/>
              <w:marTop w:val="0"/>
              <w:marBottom w:val="0"/>
              <w:divBdr>
                <w:top w:val="none" w:sz="0" w:space="0" w:color="auto"/>
                <w:left w:val="none" w:sz="0" w:space="0" w:color="auto"/>
                <w:bottom w:val="none" w:sz="0" w:space="0" w:color="auto"/>
                <w:right w:val="none" w:sz="0" w:space="0" w:color="auto"/>
              </w:divBdr>
            </w:div>
            <w:div w:id="1570194691">
              <w:marLeft w:val="0"/>
              <w:marRight w:val="0"/>
              <w:marTop w:val="0"/>
              <w:marBottom w:val="0"/>
              <w:divBdr>
                <w:top w:val="none" w:sz="0" w:space="0" w:color="auto"/>
                <w:left w:val="none" w:sz="0" w:space="0" w:color="auto"/>
                <w:bottom w:val="none" w:sz="0" w:space="0" w:color="auto"/>
                <w:right w:val="none" w:sz="0" w:space="0" w:color="auto"/>
              </w:divBdr>
            </w:div>
            <w:div w:id="364989850">
              <w:marLeft w:val="0"/>
              <w:marRight w:val="0"/>
              <w:marTop w:val="0"/>
              <w:marBottom w:val="0"/>
              <w:divBdr>
                <w:top w:val="none" w:sz="0" w:space="0" w:color="auto"/>
                <w:left w:val="none" w:sz="0" w:space="0" w:color="auto"/>
                <w:bottom w:val="none" w:sz="0" w:space="0" w:color="auto"/>
                <w:right w:val="none" w:sz="0" w:space="0" w:color="auto"/>
              </w:divBdr>
            </w:div>
            <w:div w:id="909270761">
              <w:marLeft w:val="0"/>
              <w:marRight w:val="0"/>
              <w:marTop w:val="0"/>
              <w:marBottom w:val="0"/>
              <w:divBdr>
                <w:top w:val="none" w:sz="0" w:space="0" w:color="auto"/>
                <w:left w:val="none" w:sz="0" w:space="0" w:color="auto"/>
                <w:bottom w:val="none" w:sz="0" w:space="0" w:color="auto"/>
                <w:right w:val="none" w:sz="0" w:space="0" w:color="auto"/>
              </w:divBdr>
            </w:div>
            <w:div w:id="10284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mec.14341" TargetMode="External"/><Relationship Id="rId18" Type="http://schemas.openxmlformats.org/officeDocument/2006/relationships/hyperlink" Target="https://doi.org/10.1371/journal.pone.0037135" TargetMode="External"/><Relationship Id="rId26" Type="http://schemas.openxmlformats.org/officeDocument/2006/relationships/hyperlink" Target="https://doi.org/10.1016/j.cell.2008.12.038" TargetMode="External"/><Relationship Id="rId39" Type="http://schemas.openxmlformats.org/officeDocument/2006/relationships/footer" Target="footer2.xml"/><Relationship Id="rId21" Type="http://schemas.openxmlformats.org/officeDocument/2006/relationships/hyperlink" Target="https://doi.org/10.4319/lo.2000.45.6.1329" TargetMode="External"/><Relationship Id="rId34" Type="http://schemas.openxmlformats.org/officeDocument/2006/relationships/hyperlink" Target="https://doi.org/10.1038/ncomms3091"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111/jeu.12047" TargetMode="External"/><Relationship Id="rId20" Type="http://schemas.openxmlformats.org/officeDocument/2006/relationships/hyperlink" Target="https://doi.org/10.1093/plankt/fbw098" TargetMode="External"/><Relationship Id="rId29" Type="http://schemas.openxmlformats.org/officeDocument/2006/relationships/hyperlink" Target="https://doi.org/10.1186/s13068-016-0670-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gcb.12623" TargetMode="External"/><Relationship Id="rId24" Type="http://schemas.openxmlformats.org/officeDocument/2006/relationships/hyperlink" Target="https://doi.org/10.4319/lom.2011.9.478" TargetMode="External"/><Relationship Id="rId32" Type="http://schemas.openxmlformats.org/officeDocument/2006/relationships/hyperlink" Target="https://doi.org/10.1111/j.1365-294X.2011.05328.x" TargetMode="External"/><Relationship Id="rId37" Type="http://schemas.openxmlformats.org/officeDocument/2006/relationships/hyperlink" Target="https://doi.org/10.1093/bib/bbw098"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86/1471-2164-10-330" TargetMode="External"/><Relationship Id="rId23" Type="http://schemas.openxmlformats.org/officeDocument/2006/relationships/hyperlink" Target="https://doi.org/10.1038/nature02127" TargetMode="External"/><Relationship Id="rId28" Type="http://schemas.openxmlformats.org/officeDocument/2006/relationships/hyperlink" Target="https://doi.org/10.5091/plecevo.2010.418" TargetMode="External"/><Relationship Id="rId36" Type="http://schemas.openxmlformats.org/officeDocument/2006/relationships/hyperlink" Target="https://doi.org/10.1029/2002GB002018" TargetMode="External"/><Relationship Id="rId10" Type="http://schemas.openxmlformats.org/officeDocument/2006/relationships/hyperlink" Target="https://doi.org/10.1073/pnas.1001380107" TargetMode="External"/><Relationship Id="rId19" Type="http://schemas.openxmlformats.org/officeDocument/2006/relationships/hyperlink" Target="https://doi.org/10.3934/genet.2015.3.173" TargetMode="External"/><Relationship Id="rId31" Type="http://schemas.openxmlformats.org/officeDocument/2006/relationships/hyperlink" Target="https://doi.org/10.1111/mec.13550" TargetMode="External"/><Relationship Id="rId4" Type="http://schemas.openxmlformats.org/officeDocument/2006/relationships/webSettings" Target="webSettings.xml"/><Relationship Id="rId9" Type="http://schemas.openxmlformats.org/officeDocument/2006/relationships/hyperlink" Target="https://doi.org/10.1016/j.tree.2007.09.008" TargetMode="External"/><Relationship Id="rId14" Type="http://schemas.openxmlformats.org/officeDocument/2006/relationships/hyperlink" Target="https://doi.org/10.1371/journal.pgen.1006157" TargetMode="External"/><Relationship Id="rId22" Type="http://schemas.openxmlformats.org/officeDocument/2006/relationships/hyperlink" Target="https://doi.org/10.1046/j.1529-8817.2004.03089.x" TargetMode="External"/><Relationship Id="rId27" Type="http://schemas.openxmlformats.org/officeDocument/2006/relationships/hyperlink" Target="https://doi.org/10.1105/tpc.114.135194" TargetMode="External"/><Relationship Id="rId30" Type="http://schemas.openxmlformats.org/officeDocument/2006/relationships/hyperlink" Target="https://doi.org/10.1146/annurev-marine-121211-172346" TargetMode="External"/><Relationship Id="rId35" Type="http://schemas.openxmlformats.org/officeDocument/2006/relationships/hyperlink" Target="https://doi.org/10.1073/pnas.1612346114"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1073/pnas.1013528108" TargetMode="External"/><Relationship Id="rId17" Type="http://schemas.openxmlformats.org/officeDocument/2006/relationships/hyperlink" Target="https://doi.org/10.1029/1999JC000043" TargetMode="External"/><Relationship Id="rId25" Type="http://schemas.openxmlformats.org/officeDocument/2006/relationships/hyperlink" Target="https://doi.org/10.1038/s41559-017-0145" TargetMode="External"/><Relationship Id="rId33" Type="http://schemas.openxmlformats.org/officeDocument/2006/relationships/hyperlink" Target="https://doi.org/10.1038/ngeo2890"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3820</Words>
  <Characters>21780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Graduate School of Oceanography, University of Rhod</Company>
  <LinksUpToDate>false</LinksUpToDate>
  <CharactersWithSpaces>25549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Bishop</dc:creator>
  <cp:keywords/>
  <dc:description/>
  <cp:lastModifiedBy>Ian Bishop</cp:lastModifiedBy>
  <cp:revision>9</cp:revision>
  <dcterms:created xsi:type="dcterms:W3CDTF">2019-04-15T16:23:00Z</dcterms:created>
  <dcterms:modified xsi:type="dcterms:W3CDTF">2019-04-16T11:56:00Z</dcterms:modified>
</cp:coreProperties>
</file>