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before="400"/>
        <w:jc w:val="center"/>
      </w:pPr>
      <w:r>
        <w:rPr>
          <w:rFonts w:ascii="Arial" w:cs="Arial" w:eastAsia="Arial" w:hAnsi="Arial"/>
          <w:b/>
          <w:bCs/>
          <w:color w:val="1F3864"/>
          <w:sz w:val="28"/>
          <w:szCs w:val="28"/>
        </w:rPr>
        <w:t xml:space="preserve">UNIVERSITY OF WEST LONDON</w:t>
      </w:r>
    </w:p>
    <w:p>
      <w:pPr>
        <w:spacing w:after="600" w:before="80"/>
        <w:jc w:val="center"/>
      </w:pPr>
      <w:r>
        <w:rPr>
          <w:rFonts w:ascii="Arial" w:cs="Arial" w:eastAsia="Arial" w:hAnsi="Arial"/>
          <w:color w:val="555555"/>
          <w:sz w:val="22"/>
          <w:szCs w:val="22"/>
        </w:rPr>
        <w:t xml:space="preserve">School of Computing and Engineering / Nutrition, Health and Wellbeing</w:t>
      </w:r>
    </w:p>
    <w:p>
      <w:pPr>
        <w:spacing w:after="200" w:before="200"/>
        <w:jc w:val="center"/>
      </w:pPr>
      <w:r>
        <w:rPr>
          <w:rFonts w:ascii="Arial" w:cs="Arial" w:eastAsia="Arial" w:hAnsi="Arial"/>
          <w:b/>
          <w:bCs/>
          <w:color w:val="2E5496"/>
          <w:sz w:val="24"/>
          <w:szCs w:val="24"/>
        </w:rPr>
        <w:t xml:space="preserve">CA70013E – Research Project</w:t>
      </w:r>
    </w:p>
    <w:p>
      <w:pPr>
        <w:spacing w:after="400" w:before="100"/>
        <w:jc w:val="center"/>
      </w:pPr>
      <w:r>
        <w:rPr>
          <w:rFonts w:ascii="Arial" w:cs="Arial" w:eastAsia="Arial" w:hAnsi="Arial"/>
          <w:color w:val="555555"/>
          <w:sz w:val="22"/>
          <w:szCs w:val="22"/>
        </w:rPr>
        <w:t xml:space="preserve">Summative Assessment A2: Research Proposal</w:t>
      </w:r>
    </w:p>
    <w:p>
      <w:pPr>
        <w:spacing w:after="120" w:before="400"/>
        <w:jc w:val="center"/>
      </w:pPr>
      <w:r>
        <w:rPr>
          <w:rFonts w:ascii="Arial" w:cs="Arial" w:eastAsia="Arial" w:hAnsi="Arial"/>
          <w:b/>
          <w:bCs/>
          <w:color w:val="1F3864"/>
          <w:sz w:val="32"/>
          <w:szCs w:val="32"/>
        </w:rPr>
        <w:t xml:space="preserve">Consumer Awareness and Perceptions of Gut-Health Functional Foods Among University Students in the UK</w:t>
      </w:r>
    </w:p>
    <w:p>
      <w:r>
        <w:t xml:space="preserve"/>
      </w:r>
    </w:p>
    <w:p>
      <w:pPr>
        <w:spacing w:after="80" w:before="400"/>
        <w:jc w:val="center"/>
      </w:pPr>
      <w:r>
        <w:rPr>
          <w:rFonts w:ascii="Arial" w:cs="Arial" w:eastAsia="Arial" w:hAnsi="Arial"/>
          <w:sz w:val="22"/>
          <w:szCs w:val="22"/>
        </w:rPr>
        <w:t xml:space="preserve">Student Name: Surendra</w:t>
      </w:r>
    </w:p>
    <w:p>
      <w:pPr>
        <w:spacing w:after="80" w:before="40"/>
        <w:jc w:val="center"/>
      </w:pPr>
      <w:r>
        <w:rPr>
          <w:rFonts w:ascii="Arial" w:cs="Arial" w:eastAsia="Arial" w:hAnsi="Arial"/>
          <w:sz w:val="22"/>
          <w:szCs w:val="22"/>
        </w:rPr>
        <w:t xml:space="preserve">Student Number: 34143280</w:t>
      </w:r>
    </w:p>
    <w:p>
      <w:pPr>
        <w:spacing w:after="80" w:before="40"/>
        <w:jc w:val="center"/>
      </w:pPr>
      <w:r>
        <w:rPr>
          <w:rFonts w:ascii="Arial" w:cs="Arial" w:eastAsia="Arial" w:hAnsi="Arial"/>
          <w:sz w:val="22"/>
          <w:szCs w:val="22"/>
        </w:rPr>
        <w:t xml:space="preserve">Supervisor: Dr. Neda Sattarzadeh</w:t>
      </w:r>
    </w:p>
    <w:p>
      <w:pPr>
        <w:spacing w:after="80" w:before="40"/>
        <w:jc w:val="center"/>
      </w:pPr>
      <w:r>
        <w:rPr>
          <w:rFonts w:ascii="Arial" w:cs="Arial" w:eastAsia="Arial" w:hAnsi="Arial"/>
          <w:sz w:val="22"/>
          <w:szCs w:val="22"/>
        </w:rPr>
        <w:t xml:space="preserve">Module Code: CA70013E</w:t>
      </w:r>
    </w:p>
    <w:p>
      <w:pPr>
        <w:spacing w:after="80" w:before="40"/>
        <w:jc w:val="center"/>
      </w:pPr>
      <w:r>
        <w:rPr>
          <w:rFonts w:ascii="Arial" w:cs="Arial" w:eastAsia="Arial" w:hAnsi="Arial"/>
          <w:sz w:val="22"/>
          <w:szCs w:val="22"/>
        </w:rPr>
        <w:t xml:space="preserve">Submission Date: 18 May 2026</w:t>
      </w:r>
    </w:p>
    <w:p>
      <w:pPr>
        <w:spacing w:after="80" w:before="40"/>
        <w:jc w:val="center"/>
      </w:pPr>
      <w:r>
        <w:rPr>
          <w:rFonts w:ascii="Arial" w:cs="Arial" w:eastAsia="Arial" w:hAnsi="Arial"/>
          <w:i/>
          <w:iCs/>
          <w:sz w:val="22"/>
          <w:szCs w:val="22"/>
        </w:rPr>
        <w:t xml:space="preserve">Word Count: 2,500 (excluding references, appendix and time plan)</w:t>
      </w:r>
    </w:p>
    <w:p>
      <w:pPr>
        <w:pageBreakBefore/>
      </w:pPr>
      <w:r>
        <w:t xml:space="preserve"/>
      </w:r>
    </w:p>
    <w:p>
      <w:pPr>
        <w:pStyle w:val="Heading1"/>
        <w:spacing w:after="160" w:before="320"/>
      </w:pPr>
      <w:r>
        <w:rPr>
          <w:rFonts w:ascii="Arial" w:cs="Arial" w:eastAsia="Arial" w:hAnsi="Arial"/>
          <w:b/>
          <w:bCs/>
          <w:sz w:val="28"/>
          <w:szCs w:val="28"/>
        </w:rPr>
        <w:t xml:space="preserve">Section 1: Introduction</w:t>
      </w:r>
    </w:p>
    <w:p>
      <w:pPr>
        <w:pStyle w:val="Heading2"/>
        <w:spacing w:after="120" w:before="240"/>
      </w:pPr>
      <w:r>
        <w:rPr>
          <w:rFonts w:ascii="Arial" w:cs="Arial" w:eastAsia="Arial" w:hAnsi="Arial"/>
          <w:b/>
          <w:bCs/>
          <w:sz w:val="24"/>
          <w:szCs w:val="24"/>
        </w:rPr>
        <w:t xml:space="preserve">1.1 Brief Overview of the Research</w:t>
      </w:r>
    </w:p>
    <w:p>
      <w:pPr>
        <w:spacing w:after="100" w:before="100" w:line="480"/>
        <w:jc w:val="both"/>
      </w:pPr>
      <w:r>
        <w:rPr>
          <w:rFonts w:ascii="Times New Roman" w:cs="Times New Roman" w:eastAsia="Times New Roman" w:hAnsi="Times New Roman"/>
          <w:sz w:val="22"/>
          <w:szCs w:val="22"/>
        </w:rPr>
        <w:t xml:space="preserve">The global functional food market has experienced substantial growth over the past decade, driven by rising consumer interest in preventive healthcare, digestive wellness, and personalised nutrition. In the United Kingdom alone, the probiotic sector is projected to reach £26 billion by 2027 (</w:t>
      </w:r>
      <w:r>
        <w:rPr>
          <w:rFonts w:ascii="Times New Roman" w:cs="Times New Roman" w:eastAsia="Times New Roman" w:hAnsi="Times New Roman"/>
          <w:i w:val="false"/>
          <w:iCs w:val="false"/>
          <w:sz w:val="22"/>
          <w:szCs w:val="22"/>
        </w:rPr>
        <w:t xml:space="preserve">Grand View Research, 2023</w:t>
      </w:r>
      <w:r>
        <w:rPr>
          <w:rFonts w:ascii="Times New Roman" w:cs="Times New Roman" w:eastAsia="Times New Roman" w:hAnsi="Times New Roman"/>
          <w:sz w:val="22"/>
          <w:szCs w:val="22"/>
        </w:rPr>
        <w:t xml:space="preserve">). Against this commercial backdrop, a fundamental question emerges: do consumers, and specifically young adults at university, possess sufficient knowledge to evaluate and act upon the health claims made by these products? This research proposal sets out to investigate consumer awareness, attitudes, and purchasing behaviour relating to gut-health functional foods among UK university students, and to identify the structural and social factors shaping their engagement with such products.</w:t>
      </w:r>
    </w:p>
    <w:p>
      <w:pPr>
        <w:spacing w:after="100" w:before="100" w:line="480"/>
        <w:jc w:val="both"/>
      </w:pPr>
      <w:r>
        <w:rPr>
          <w:rFonts w:ascii="Times New Roman" w:cs="Times New Roman" w:eastAsia="Times New Roman" w:hAnsi="Times New Roman"/>
          <w:sz w:val="22"/>
          <w:szCs w:val="22"/>
        </w:rPr>
        <w:t xml:space="preserve">University students constitute an especially important demographic for this investigation. As young adults navigating independent dietary decision-making for the first time, they simultaneously form long-term eating habits (</w:t>
      </w:r>
      <w:r>
        <w:rPr>
          <w:rFonts w:ascii="Times New Roman" w:cs="Times New Roman" w:eastAsia="Times New Roman" w:hAnsi="Times New Roman"/>
          <w:i w:val="false"/>
          <w:iCs w:val="false"/>
          <w:sz w:val="22"/>
          <w:szCs w:val="22"/>
        </w:rPr>
        <w:t xml:space="preserve">Deliens et al., 2014</w:t>
      </w:r>
      <w:r>
        <w:rPr>
          <w:rFonts w:ascii="Times New Roman" w:cs="Times New Roman" w:eastAsia="Times New Roman" w:hAnsi="Times New Roman"/>
          <w:sz w:val="22"/>
          <w:szCs w:val="22"/>
        </w:rPr>
        <w:t xml:space="preserve">) and consume health information primarily through digital channels rather than formal nutrition education (</w:t>
      </w:r>
      <w:r>
        <w:rPr>
          <w:rFonts w:ascii="Times New Roman" w:cs="Times New Roman" w:eastAsia="Times New Roman" w:hAnsi="Times New Roman"/>
          <w:i w:val="false"/>
          <w:iCs w:val="false"/>
          <w:sz w:val="22"/>
          <w:szCs w:val="22"/>
        </w:rPr>
        <w:t xml:space="preserve">Stanton et al., 2005</w:t>
      </w:r>
      <w:r>
        <w:rPr>
          <w:rFonts w:ascii="Times New Roman" w:cs="Times New Roman" w:eastAsia="Times New Roman" w:hAnsi="Times New Roman"/>
          <w:sz w:val="22"/>
          <w:szCs w:val="22"/>
        </w:rPr>
        <w:t xml:space="preserve">). This combination of factors creates conditions in which marketing narratives may readily substitute for scientific literacy, with significant long-term implications for public health and food policy.</w:t>
      </w:r>
    </w:p>
    <w:p>
      <w:pPr>
        <w:pStyle w:val="Heading2"/>
        <w:spacing w:after="120" w:before="240"/>
      </w:pPr>
      <w:r>
        <w:rPr>
          <w:rFonts w:ascii="Arial" w:cs="Arial" w:eastAsia="Arial" w:hAnsi="Arial"/>
          <w:b/>
          <w:bCs/>
          <w:sz w:val="24"/>
          <w:szCs w:val="24"/>
        </w:rPr>
        <w:t xml:space="preserve">1.2 Identification of Theoretical Area and Rationale for Research</w:t>
      </w:r>
    </w:p>
    <w:p>
      <w:pPr>
        <w:spacing w:after="100" w:before="100" w:line="480"/>
        <w:jc w:val="both"/>
      </w:pPr>
      <w:r>
        <w:rPr>
          <w:rFonts w:ascii="Times New Roman" w:cs="Times New Roman" w:eastAsia="Times New Roman" w:hAnsi="Times New Roman"/>
          <w:sz w:val="22"/>
          <w:szCs w:val="22"/>
        </w:rPr>
        <w:t xml:space="preserve">Functional foods are broadly defined as foods formulated not solely to satisfy nutritional requirements but to prevent nutrition-related diseases and actively promote health (</w:t>
      </w:r>
      <w:r>
        <w:rPr>
          <w:rFonts w:ascii="Times New Roman" w:cs="Times New Roman" w:eastAsia="Times New Roman" w:hAnsi="Times New Roman"/>
          <w:i w:val="false"/>
          <w:iCs w:val="false"/>
          <w:sz w:val="22"/>
          <w:szCs w:val="22"/>
        </w:rPr>
        <w:t xml:space="preserve">El Sohaimy, 2012</w:t>
      </w:r>
      <w:r>
        <w:rPr>
          <w:rFonts w:ascii="Times New Roman" w:cs="Times New Roman" w:eastAsia="Times New Roman" w:hAnsi="Times New Roman"/>
          <w:sz w:val="22"/>
          <w:szCs w:val="22"/>
        </w:rPr>
        <w:t xml:space="preserve">). Within this category, probiotic products contain live microorganisms which, when administered in adequate amounts, confer a health benefit on the host (</w:t>
      </w:r>
      <w:r>
        <w:rPr>
          <w:rFonts w:ascii="Times New Roman" w:cs="Times New Roman" w:eastAsia="Times New Roman" w:hAnsi="Times New Roman"/>
          <w:i w:val="false"/>
          <w:iCs w:val="false"/>
          <w:sz w:val="22"/>
          <w:szCs w:val="22"/>
        </w:rPr>
        <w:t xml:space="preserve">Hill et al., 2014, p.506</w:t>
      </w:r>
      <w:r>
        <w:rPr>
          <w:rFonts w:ascii="Times New Roman" w:cs="Times New Roman" w:eastAsia="Times New Roman" w:hAnsi="Times New Roman"/>
          <w:sz w:val="22"/>
          <w:szCs w:val="22"/>
        </w:rPr>
        <w:t xml:space="preserve">). Prebiotics, in contrast, are substrates selectively utilised by host microorganisms to confer a health benefit (</w:t>
      </w:r>
      <w:r>
        <w:rPr>
          <w:rFonts w:ascii="Times New Roman" w:cs="Times New Roman" w:eastAsia="Times New Roman" w:hAnsi="Times New Roman"/>
          <w:i w:val="false"/>
          <w:iCs w:val="false"/>
          <w:sz w:val="22"/>
          <w:szCs w:val="22"/>
        </w:rPr>
        <w:t xml:space="preserve">Gibson et al., 2017, p.491</w:t>
      </w:r>
      <w:r>
        <w:rPr>
          <w:rFonts w:ascii="Times New Roman" w:cs="Times New Roman" w:eastAsia="Times New Roman" w:hAnsi="Times New Roman"/>
          <w:sz w:val="22"/>
          <w:szCs w:val="22"/>
        </w:rPr>
        <w:t xml:space="preserve">), a definition that extends and refines the earlier formulation offered by </w:t>
      </w:r>
      <w:r>
        <w:rPr>
          <w:rFonts w:ascii="Times New Roman" w:cs="Times New Roman" w:eastAsia="Times New Roman" w:hAnsi="Times New Roman"/>
          <w:i w:val="false"/>
          <w:iCs w:val="false"/>
          <w:sz w:val="22"/>
          <w:szCs w:val="22"/>
        </w:rPr>
        <w:t xml:space="preserve">Roberfroid (2000)</w:t>
      </w:r>
      <w:r>
        <w:rPr>
          <w:rFonts w:ascii="Times New Roman" w:cs="Times New Roman" w:eastAsia="Times New Roman" w:hAnsi="Times New Roman"/>
          <w:sz w:val="22"/>
          <w:szCs w:val="22"/>
        </w:rPr>
        <w:t xml:space="preserve">. Despite the biological distinction between these concepts, research consistently demonstrates that a majority of consumers conflate the two terms or misunderstand their respective mechanisms (</w:t>
      </w:r>
      <w:r>
        <w:rPr>
          <w:rFonts w:ascii="Times New Roman" w:cs="Times New Roman" w:eastAsia="Times New Roman" w:hAnsi="Times New Roman"/>
          <w:i w:val="false"/>
          <w:iCs w:val="false"/>
          <w:sz w:val="22"/>
          <w:szCs w:val="22"/>
        </w:rPr>
        <w:t xml:space="preserve">Faber et al., 2020; Verbeke, 2005</w:t>
      </w:r>
      <w:r>
        <w:rPr>
          <w:rFonts w:ascii="Times New Roman" w:cs="Times New Roman" w:eastAsia="Times New Roman" w:hAnsi="Times New Roman"/>
          <w:sz w:val="22"/>
          <w:szCs w:val="22"/>
        </w:rPr>
        <w:t xml:space="preserve">).</w:t>
      </w:r>
    </w:p>
    <w:p>
      <w:pPr>
        <w:spacing w:after="100" w:before="100" w:line="480"/>
        <w:jc w:val="both"/>
      </w:pPr>
      <w:r>
        <w:rPr>
          <w:rFonts w:ascii="Times New Roman" w:cs="Times New Roman" w:eastAsia="Times New Roman" w:hAnsi="Times New Roman"/>
          <w:sz w:val="22"/>
          <w:szCs w:val="22"/>
        </w:rPr>
        <w:t xml:space="preserve">The gut microbiota, comprising trillions of microorganisms residing in the gastrointestinal tract, plays a fundamental role in immune regulation, metabolic function, and mental health (</w:t>
      </w:r>
      <w:r>
        <w:rPr>
          <w:rFonts w:ascii="Times New Roman" w:cs="Times New Roman" w:eastAsia="Times New Roman" w:hAnsi="Times New Roman"/>
          <w:i w:val="false"/>
          <w:iCs w:val="false"/>
          <w:sz w:val="22"/>
          <w:szCs w:val="22"/>
        </w:rPr>
        <w:t xml:space="preserve">Dimidi et al., 2019; Markowiak and Slizewska, 2017</w:t>
      </w:r>
      <w:r>
        <w:rPr>
          <w:rFonts w:ascii="Times New Roman" w:cs="Times New Roman" w:eastAsia="Times New Roman" w:hAnsi="Times New Roman"/>
          <w:sz w:val="22"/>
          <w:szCs w:val="22"/>
        </w:rPr>
        <w:t xml:space="preserve">). This growing body of evidence has been enthusiastically adopted by food manufacturers seeking to position their products within a health-and-wellness narrative (</w:t>
      </w:r>
      <w:r>
        <w:rPr>
          <w:rFonts w:ascii="Times New Roman" w:cs="Times New Roman" w:eastAsia="Times New Roman" w:hAnsi="Times New Roman"/>
          <w:i w:val="false"/>
          <w:iCs w:val="false"/>
          <w:sz w:val="22"/>
          <w:szCs w:val="22"/>
        </w:rPr>
        <w:t xml:space="preserve">Marco et al., 2017</w:t>
      </w:r>
      <w:r>
        <w:rPr>
          <w:rFonts w:ascii="Times New Roman" w:cs="Times New Roman" w:eastAsia="Times New Roman" w:hAnsi="Times New Roman"/>
          <w:sz w:val="22"/>
          <w:szCs w:val="22"/>
        </w:rPr>
        <w:t xml:space="preserve">). However, </w:t>
      </w:r>
      <w:r>
        <w:rPr>
          <w:rFonts w:ascii="Times New Roman" w:cs="Times New Roman" w:eastAsia="Times New Roman" w:hAnsi="Times New Roman"/>
          <w:i w:val="false"/>
          <w:iCs w:val="false"/>
          <w:sz w:val="22"/>
          <w:szCs w:val="22"/>
        </w:rPr>
        <w:t xml:space="preserve">Ozen et al. (2012)</w:t>
      </w:r>
      <w:r>
        <w:rPr>
          <w:rFonts w:ascii="Times New Roman" w:cs="Times New Roman" w:eastAsia="Times New Roman" w:hAnsi="Times New Roman"/>
          <w:sz w:val="22"/>
          <w:szCs w:val="22"/>
        </w:rPr>
        <w:t xml:space="preserve"> found that high rates of functional food consumption among younger European consumers were not accompanied by accurate understanding of the mechanisms underpinning claimed health benefits, a finding corroborated by </w:t>
      </w:r>
      <w:r>
        <w:rPr>
          <w:rFonts w:ascii="Times New Roman" w:cs="Times New Roman" w:eastAsia="Times New Roman" w:hAnsi="Times New Roman"/>
          <w:i w:val="false"/>
          <w:iCs w:val="false"/>
          <w:sz w:val="22"/>
          <w:szCs w:val="22"/>
        </w:rPr>
        <w:t xml:space="preserve">Annunziata and Vecchio (2013)</w:t>
      </w:r>
      <w:r>
        <w:rPr>
          <w:rFonts w:ascii="Times New Roman" w:cs="Times New Roman" w:eastAsia="Times New Roman" w:hAnsi="Times New Roman"/>
          <w:sz w:val="22"/>
          <w:szCs w:val="22"/>
        </w:rPr>
        <w:t xml:space="preserve">, who demonstrated that purchasing behaviour in young adult cohorts was driven more by brand trust and novelty than by nutritional knowledge.</w:t>
      </w:r>
    </w:p>
    <w:p>
      <w:pPr>
        <w:spacing w:after="100" w:before="100" w:line="480"/>
        <w:jc w:val="both"/>
      </w:pPr>
      <w:r>
        <w:rPr>
          <w:rFonts w:ascii="Times New Roman" w:cs="Times New Roman" w:eastAsia="Times New Roman" w:hAnsi="Times New Roman"/>
          <w:sz w:val="22"/>
          <w:szCs w:val="22"/>
        </w:rPr>
        <w:t xml:space="preserve">Three theoretical frameworks underpin this study. The Theory of Planned Behaviour (</w:t>
      </w:r>
      <w:r>
        <w:rPr>
          <w:rFonts w:ascii="Times New Roman" w:cs="Times New Roman" w:eastAsia="Times New Roman" w:hAnsi="Times New Roman"/>
          <w:i w:val="false"/>
          <w:iCs w:val="false"/>
          <w:sz w:val="22"/>
          <w:szCs w:val="22"/>
        </w:rPr>
        <w:t xml:space="preserve">Ajzen, 1991</w:t>
      </w:r>
      <w:r>
        <w:rPr>
          <w:rFonts w:ascii="Times New Roman" w:cs="Times New Roman" w:eastAsia="Times New Roman" w:hAnsi="Times New Roman"/>
          <w:sz w:val="22"/>
          <w:szCs w:val="22"/>
        </w:rPr>
        <w:t xml:space="preserve">) posits that attitudes towards a behaviour, subjective norms, and perceived behavioural control collectively predict intention and, subsequently, action. Applied here, students who hold positive attitudes towards gut-health products, perceive social endorsement, and feel confident in their ability to make informed choices are more likely to purchase such products. The Health Belief Model (</w:t>
      </w:r>
      <w:r>
        <w:rPr>
          <w:rFonts w:ascii="Times New Roman" w:cs="Times New Roman" w:eastAsia="Times New Roman" w:hAnsi="Times New Roman"/>
          <w:i w:val="false"/>
          <w:iCs w:val="false"/>
          <w:sz w:val="22"/>
          <w:szCs w:val="22"/>
        </w:rPr>
        <w:t xml:space="preserve">Becker, 1974</w:t>
      </w:r>
      <w:r>
        <w:rPr>
          <w:rFonts w:ascii="Times New Roman" w:cs="Times New Roman" w:eastAsia="Times New Roman" w:hAnsi="Times New Roman"/>
          <w:sz w:val="22"/>
          <w:szCs w:val="22"/>
        </w:rPr>
        <w:t xml:space="preserve">) adds a complementary lens, focusing on perceived susceptibility to health threats and the perceived benefits of preventive action. Finally, Verbeke's Consumer Acceptance Framework (</w:t>
      </w:r>
      <w:r>
        <w:rPr>
          <w:rFonts w:ascii="Times New Roman" w:cs="Times New Roman" w:eastAsia="Times New Roman" w:hAnsi="Times New Roman"/>
          <w:i w:val="false"/>
          <w:iCs w:val="false"/>
          <w:sz w:val="22"/>
          <w:szCs w:val="22"/>
        </w:rPr>
        <w:t xml:space="preserve">Verbeke, 2005</w:t>
      </w:r>
      <w:r>
        <w:rPr>
          <w:rFonts w:ascii="Times New Roman" w:cs="Times New Roman" w:eastAsia="Times New Roman" w:hAnsi="Times New Roman"/>
          <w:sz w:val="22"/>
          <w:szCs w:val="22"/>
        </w:rPr>
        <w:t xml:space="preserve">) addresses the moderating variables specific to functional food adoption, including health consciousness, product familiarity, and trust in labelling claims.</w:t>
      </w:r>
    </w:p>
    <w:p>
      <w:pPr>
        <w:spacing w:after="100" w:before="100" w:line="480"/>
        <w:jc w:val="both"/>
      </w:pPr>
      <w:r>
        <w:rPr>
          <w:rFonts w:ascii="Times New Roman" w:cs="Times New Roman" w:eastAsia="Times New Roman" w:hAnsi="Times New Roman"/>
          <w:sz w:val="22"/>
          <w:szCs w:val="22"/>
        </w:rPr>
        <w:t xml:space="preserve">Existing literature has examined functional food consumer behaviour across diverse populations (</w:t>
      </w:r>
      <w:r>
        <w:rPr>
          <w:rFonts w:ascii="Times New Roman" w:cs="Times New Roman" w:eastAsia="Times New Roman" w:hAnsi="Times New Roman"/>
          <w:i w:val="false"/>
          <w:iCs w:val="false"/>
          <w:sz w:val="22"/>
          <w:szCs w:val="22"/>
        </w:rPr>
        <w:t xml:space="preserve">Urala and Lahteenmaki, 2007; Niva, 2007; Ozen et al., 2012</w:t>
      </w:r>
      <w:r>
        <w:rPr>
          <w:rFonts w:ascii="Times New Roman" w:cs="Times New Roman" w:eastAsia="Times New Roman" w:hAnsi="Times New Roman"/>
          <w:sz w:val="22"/>
          <w:szCs w:val="22"/>
        </w:rPr>
        <w:t xml:space="preserve">), yet no study has specifically focused on UK university students as a digitally-native gut-health consumer group. This represents a significant gap in knowledge with clear practical implications for public health communication, university nutrition services, and food labelling policy. This proposal addresses that gap.</w:t>
      </w:r>
    </w:p>
    <w:p>
      <w:pPr>
        <w:pStyle w:val="Heading2"/>
        <w:spacing w:after="120" w:before="240"/>
      </w:pPr>
      <w:r>
        <w:rPr>
          <w:rFonts w:ascii="Arial" w:cs="Arial" w:eastAsia="Arial" w:hAnsi="Arial"/>
          <w:b/>
          <w:bCs/>
          <w:sz w:val="24"/>
          <w:szCs w:val="24"/>
        </w:rPr>
        <w:t xml:space="preserve">1.3 Research Focus</w:t>
      </w:r>
    </w:p>
    <w:p>
      <w:pPr>
        <w:spacing w:after="100" w:before="200"/>
      </w:pPr>
      <w:r>
        <w:rPr>
          <w:rFonts w:ascii="Arial" w:cs="Arial" w:eastAsia="Arial" w:hAnsi="Arial"/>
          <w:b/>
          <w:bCs/>
          <w:sz w:val="22"/>
          <w:szCs w:val="22"/>
        </w:rPr>
        <w:t xml:space="preserve">Research Aim</w:t>
      </w:r>
    </w:p>
    <w:p>
      <w:pPr>
        <w:spacing w:after="100" w:before="100" w:line="480"/>
        <w:jc w:val="both"/>
      </w:pPr>
      <w:r>
        <w:rPr>
          <w:rFonts w:ascii="Times New Roman" w:cs="Times New Roman" w:eastAsia="Times New Roman" w:hAnsi="Times New Roman"/>
          <w:sz w:val="22"/>
          <w:szCs w:val="22"/>
        </w:rPr>
        <w:t xml:space="preserve">To investigate consumer awareness, attitudes, and purchasing behaviour relating to gut-health functional foods among UK university students, and to identify the key factors shaping their engagement with such products.</w:t>
      </w:r>
    </w:p>
    <w:p>
      <w:pPr>
        <w:spacing w:after="100" w:before="200"/>
      </w:pPr>
      <w:r>
        <w:rPr>
          <w:rFonts w:ascii="Arial" w:cs="Arial" w:eastAsia="Arial" w:hAnsi="Arial"/>
          <w:b/>
          <w:bCs/>
          <w:sz w:val="22"/>
          <w:szCs w:val="22"/>
        </w:rPr>
        <w:t xml:space="preserve">Research Objectives</w:t>
      </w:r>
    </w:p>
    <w:p>
      <w:pPr>
        <w:pStyle w:val="ListParagraph"/>
        <w:numPr>
          <w:ilvl w:val="0"/>
          <w:numId w:val="2"/>
        </w:numPr>
        <w:spacing w:after="80" w:before="80" w:line="480"/>
        <w:jc w:val="both"/>
      </w:pPr>
      <w:r>
        <w:rPr>
          <w:rFonts w:ascii="Times New Roman" w:cs="Times New Roman" w:eastAsia="Times New Roman" w:hAnsi="Times New Roman"/>
          <w:sz w:val="22"/>
          <w:szCs w:val="22"/>
        </w:rPr>
        <w:t xml:space="preserve">To assess the level of awareness and knowledge of gut-health functional foods, probiotics, and prebiotics among UK university students.</w:t>
      </w:r>
    </w:p>
    <w:p>
      <w:pPr>
        <w:pStyle w:val="ListParagraph"/>
        <w:numPr>
          <w:ilvl w:val="0"/>
          <w:numId w:val="2"/>
        </w:numPr>
        <w:spacing w:after="80" w:before="80" w:line="480"/>
        <w:jc w:val="both"/>
      </w:pPr>
      <w:r>
        <w:rPr>
          <w:rFonts w:ascii="Times New Roman" w:cs="Times New Roman" w:eastAsia="Times New Roman" w:hAnsi="Times New Roman"/>
          <w:sz w:val="22"/>
          <w:szCs w:val="22"/>
        </w:rPr>
        <w:t xml:space="preserve">To examine students' attitudes and beliefs about the perceived health benefits of probiotic and prebiotic products.</w:t>
      </w:r>
    </w:p>
    <w:p>
      <w:pPr>
        <w:pStyle w:val="ListParagraph"/>
        <w:numPr>
          <w:ilvl w:val="0"/>
          <w:numId w:val="2"/>
        </w:numPr>
        <w:spacing w:after="80" w:before="80" w:line="480"/>
        <w:jc w:val="both"/>
      </w:pPr>
      <w:r>
        <w:rPr>
          <w:rFonts w:ascii="Times New Roman" w:cs="Times New Roman" w:eastAsia="Times New Roman" w:hAnsi="Times New Roman"/>
          <w:sz w:val="22"/>
          <w:szCs w:val="22"/>
        </w:rPr>
        <w:t xml:space="preserve">To evaluate how health claims and product labelling influence students' trust and purchasing decisions.</w:t>
      </w:r>
    </w:p>
    <w:p>
      <w:pPr>
        <w:pStyle w:val="ListParagraph"/>
        <w:numPr>
          <w:ilvl w:val="0"/>
          <w:numId w:val="2"/>
        </w:numPr>
        <w:spacing w:after="80" w:before="80" w:line="480"/>
        <w:jc w:val="both"/>
      </w:pPr>
      <w:r>
        <w:rPr>
          <w:rFonts w:ascii="Times New Roman" w:cs="Times New Roman" w:eastAsia="Times New Roman" w:hAnsi="Times New Roman"/>
          <w:sz w:val="22"/>
          <w:szCs w:val="22"/>
        </w:rPr>
        <w:t xml:space="preserve">To explore the role of socio-demographic factors and social media in shaping students' awareness and consumption of functional foods.</w:t>
      </w:r>
    </w:p>
    <w:p>
      <w:pPr>
        <w:spacing w:after="100" w:before="200"/>
      </w:pPr>
      <w:r>
        <w:rPr>
          <w:rFonts w:ascii="Arial" w:cs="Arial" w:eastAsia="Arial" w:hAnsi="Arial"/>
          <w:b/>
          <w:bCs/>
          <w:sz w:val="22"/>
          <w:szCs w:val="22"/>
        </w:rPr>
        <w:t xml:space="preserve">Research Questions</w:t>
      </w:r>
    </w:p>
    <w:p>
      <w:pPr>
        <w:pStyle w:val="ListParagraph"/>
        <w:numPr>
          <w:ilvl w:val="0"/>
          <w:numId w:val="2"/>
        </w:numPr>
        <w:spacing w:after="80" w:before="80" w:line="480"/>
        <w:jc w:val="both"/>
      </w:pPr>
      <w:r>
        <w:rPr>
          <w:rFonts w:ascii="Times New Roman" w:cs="Times New Roman" w:eastAsia="Times New Roman" w:hAnsi="Times New Roman"/>
          <w:sz w:val="22"/>
          <w:szCs w:val="22"/>
        </w:rPr>
        <w:t xml:space="preserve">RQ1: How aware are UK university students of gut-health functional foods, and what do they actually know about probiotics and prebiotics?</w:t>
      </w:r>
    </w:p>
    <w:p>
      <w:pPr>
        <w:pStyle w:val="ListParagraph"/>
        <w:numPr>
          <w:ilvl w:val="0"/>
          <w:numId w:val="2"/>
        </w:numPr>
        <w:spacing w:after="80" w:before="80" w:line="480"/>
        <w:jc w:val="both"/>
      </w:pPr>
      <w:r>
        <w:rPr>
          <w:rFonts w:ascii="Times New Roman" w:cs="Times New Roman" w:eastAsia="Times New Roman" w:hAnsi="Times New Roman"/>
          <w:sz w:val="22"/>
          <w:szCs w:val="22"/>
        </w:rPr>
        <w:t xml:space="preserve">RQ2: What attitudes and beliefs do students hold about the health benefits of probiotic and prebiotic products?</w:t>
      </w:r>
    </w:p>
    <w:p>
      <w:pPr>
        <w:pStyle w:val="ListParagraph"/>
        <w:numPr>
          <w:ilvl w:val="0"/>
          <w:numId w:val="2"/>
        </w:numPr>
        <w:spacing w:after="80" w:before="80" w:line="480"/>
        <w:jc w:val="both"/>
      </w:pPr>
      <w:r>
        <w:rPr>
          <w:rFonts w:ascii="Times New Roman" w:cs="Times New Roman" w:eastAsia="Times New Roman" w:hAnsi="Times New Roman"/>
          <w:sz w:val="22"/>
          <w:szCs w:val="22"/>
        </w:rPr>
        <w:t xml:space="preserve">RQ3: In what ways do health claims and product labelling affect students' trust and purchasing decisions?</w:t>
      </w:r>
    </w:p>
    <w:p>
      <w:pPr>
        <w:pStyle w:val="ListParagraph"/>
        <w:numPr>
          <w:ilvl w:val="0"/>
          <w:numId w:val="2"/>
        </w:numPr>
        <w:spacing w:after="80" w:before="80" w:line="480"/>
        <w:jc w:val="both"/>
      </w:pPr>
      <w:r>
        <w:rPr>
          <w:rFonts w:ascii="Times New Roman" w:cs="Times New Roman" w:eastAsia="Times New Roman" w:hAnsi="Times New Roman"/>
          <w:sz w:val="22"/>
          <w:szCs w:val="22"/>
        </w:rPr>
        <w:t xml:space="preserve">RQ4: How do personal background and information sources, especially social media, shape students' awareness and eating habits?</w:t>
      </w:r>
    </w:p>
    <w:p>
      <w:pPr>
        <w:pageBreakBefore/>
      </w:pPr>
      <w:r>
        <w:t xml:space="preserve"/>
      </w:r>
    </w:p>
    <w:p>
      <w:pPr>
        <w:pStyle w:val="Heading1"/>
        <w:spacing w:after="160" w:before="320"/>
      </w:pPr>
      <w:r>
        <w:rPr>
          <w:rFonts w:ascii="Arial" w:cs="Arial" w:eastAsia="Arial" w:hAnsi="Arial"/>
          <w:b/>
          <w:bCs/>
          <w:sz w:val="28"/>
          <w:szCs w:val="28"/>
        </w:rPr>
        <w:t xml:space="preserve">Section 2: Literature Review</w:t>
      </w:r>
    </w:p>
    <w:p>
      <w:pPr>
        <w:pStyle w:val="Heading2"/>
        <w:spacing w:after="120" w:before="240"/>
      </w:pPr>
      <w:r>
        <w:rPr>
          <w:rFonts w:ascii="Arial" w:cs="Arial" w:eastAsia="Arial" w:hAnsi="Arial"/>
          <w:b/>
          <w:bCs/>
          <w:sz w:val="24"/>
          <w:szCs w:val="24"/>
        </w:rPr>
        <w:t xml:space="preserve">2.1 Defining Gut-Health Functional Foods</w:t>
      </w:r>
    </w:p>
    <w:p>
      <w:pPr>
        <w:spacing w:after="100" w:before="100" w:line="480"/>
        <w:jc w:val="both"/>
      </w:pPr>
      <w:r>
        <w:rPr>
          <w:rFonts w:ascii="Times New Roman" w:cs="Times New Roman" w:eastAsia="Times New Roman" w:hAnsi="Times New Roman"/>
          <w:sz w:val="22"/>
          <w:szCs w:val="22"/>
        </w:rPr>
        <w:t xml:space="preserve">The concept of functional food originated in Japan during the 1980s under the regulatory designation FOSHU (Foods for Specified Health Uses) and has since permeated global food policy and commercial marketing (</w:t>
      </w:r>
      <w:r>
        <w:rPr>
          <w:rFonts w:ascii="Times New Roman" w:cs="Times New Roman" w:eastAsia="Times New Roman" w:hAnsi="Times New Roman"/>
          <w:i w:val="false"/>
          <w:iCs w:val="false"/>
          <w:sz w:val="22"/>
          <w:szCs w:val="22"/>
        </w:rPr>
        <w:t xml:space="preserve">Kotilainen et al., 2006</w:t>
      </w:r>
      <w:r>
        <w:rPr>
          <w:rFonts w:ascii="Times New Roman" w:cs="Times New Roman" w:eastAsia="Times New Roman" w:hAnsi="Times New Roman"/>
          <w:sz w:val="22"/>
          <w:szCs w:val="22"/>
        </w:rPr>
        <w:t xml:space="preserve">). </w:t>
      </w:r>
      <w:r>
        <w:rPr>
          <w:rFonts w:ascii="Times New Roman" w:cs="Times New Roman" w:eastAsia="Times New Roman" w:hAnsi="Times New Roman"/>
          <w:i w:val="false"/>
          <w:iCs w:val="false"/>
          <w:sz w:val="22"/>
          <w:szCs w:val="22"/>
        </w:rPr>
        <w:t xml:space="preserve">El Sohaimy (2012, p.168)</w:t>
      </w:r>
      <w:r>
        <w:rPr>
          <w:rFonts w:ascii="Times New Roman" w:cs="Times New Roman" w:eastAsia="Times New Roman" w:hAnsi="Times New Roman"/>
          <w:sz w:val="22"/>
          <w:szCs w:val="22"/>
        </w:rPr>
        <w:t xml:space="preserve"> defines functional foods as those 'formulated not only to provide nutritional value but also to prevent nutrition-related diseases and to promote health,' a definition that encompasses naturally fermented foods such as yoghurt and kefir as well as commercially manufactured supplements and fortified beverages. This definitional breadth creates inherent challenges for consumer comprehension and regulatory oversight alike.</w:t>
      </w:r>
    </w:p>
    <w:p>
      <w:pPr>
        <w:spacing w:after="100" w:before="100" w:line="480"/>
        <w:jc w:val="both"/>
      </w:pPr>
      <w:r>
        <w:rPr>
          <w:rFonts w:ascii="Times New Roman" w:cs="Times New Roman" w:eastAsia="Times New Roman" w:hAnsi="Times New Roman"/>
          <w:sz w:val="22"/>
          <w:szCs w:val="22"/>
        </w:rPr>
        <w:t xml:space="preserve">Within this landscape, probiotic products have attracted the greatest scientific and commercial attention. The most widely adopted definition, established by the International Scientific Association for Probiotics and Prebiotics (ISAPP), specifies that probiotics are 'live microorganisms that, when administered in adequate amounts, confer a health benefit on the host' (</w:t>
      </w:r>
      <w:r>
        <w:rPr>
          <w:rFonts w:ascii="Times New Roman" w:cs="Times New Roman" w:eastAsia="Times New Roman" w:hAnsi="Times New Roman"/>
          <w:i w:val="false"/>
          <w:iCs w:val="false"/>
          <w:sz w:val="22"/>
          <w:szCs w:val="22"/>
        </w:rPr>
        <w:t xml:space="preserve">Hill et al., 2014, p.506</w:t>
      </w:r>
      <w:r>
        <w:rPr>
          <w:rFonts w:ascii="Times New Roman" w:cs="Times New Roman" w:eastAsia="Times New Roman" w:hAnsi="Times New Roman"/>
          <w:sz w:val="22"/>
          <w:szCs w:val="22"/>
        </w:rPr>
        <w:t xml:space="preserve">). </w:t>
      </w:r>
      <w:r>
        <w:rPr>
          <w:rFonts w:ascii="Times New Roman" w:cs="Times New Roman" w:eastAsia="Times New Roman" w:hAnsi="Times New Roman"/>
          <w:i w:val="false"/>
          <w:iCs w:val="false"/>
          <w:sz w:val="22"/>
          <w:szCs w:val="22"/>
        </w:rPr>
        <w:t xml:space="preserve">Gibson et al. (2017)</w:t>
      </w:r>
      <w:r>
        <w:rPr>
          <w:rFonts w:ascii="Times New Roman" w:cs="Times New Roman" w:eastAsia="Times New Roman" w:hAnsi="Times New Roman"/>
          <w:sz w:val="22"/>
          <w:szCs w:val="22"/>
        </w:rPr>
        <w:t xml:space="preserve"> subsequently updated the ISAPP consensus definition of prebiotics to encompass a wider range of substrates, defining them as compounds selectively utilised by host microorganisms to confer a health benefit. This update extended the concept beyond its original dietary fibre focus articulated by </w:t>
      </w:r>
      <w:r>
        <w:rPr>
          <w:rFonts w:ascii="Times New Roman" w:cs="Times New Roman" w:eastAsia="Times New Roman" w:hAnsi="Times New Roman"/>
          <w:i w:val="false"/>
          <w:iCs w:val="false"/>
          <w:sz w:val="22"/>
          <w:szCs w:val="22"/>
        </w:rPr>
        <w:t xml:space="preserve">Roberfroid (2000)</w:t>
      </w:r>
      <w:r>
        <w:rPr>
          <w:rFonts w:ascii="Times New Roman" w:cs="Times New Roman" w:eastAsia="Times New Roman" w:hAnsi="Times New Roman"/>
          <w:sz w:val="22"/>
          <w:szCs w:val="22"/>
        </w:rPr>
        <w:t xml:space="preserve"> and is particularly relevant to labelling and consumer communication.</w:t>
      </w:r>
    </w:p>
    <w:p>
      <w:pPr>
        <w:pStyle w:val="Heading2"/>
        <w:spacing w:after="120" w:before="240"/>
      </w:pPr>
      <w:r>
        <w:rPr>
          <w:rFonts w:ascii="Arial" w:cs="Arial" w:eastAsia="Arial" w:hAnsi="Arial"/>
          <w:b/>
          <w:bCs/>
          <w:sz w:val="24"/>
          <w:szCs w:val="24"/>
        </w:rPr>
        <w:t xml:space="preserve">2.2 The Gut Microbiota and Health Claims</w:t>
      </w:r>
    </w:p>
    <w:p>
      <w:pPr>
        <w:spacing w:after="100" w:before="100" w:line="480"/>
        <w:jc w:val="both"/>
      </w:pPr>
      <w:r>
        <w:rPr>
          <w:rFonts w:ascii="Times New Roman" w:cs="Times New Roman" w:eastAsia="Times New Roman" w:hAnsi="Times New Roman"/>
          <w:sz w:val="22"/>
          <w:szCs w:val="22"/>
        </w:rPr>
        <w:t xml:space="preserve">Scientific understanding of the gut microbiome has advanced considerably over the past decade. </w:t>
      </w:r>
      <w:r>
        <w:rPr>
          <w:rFonts w:ascii="Times New Roman" w:cs="Times New Roman" w:eastAsia="Times New Roman" w:hAnsi="Times New Roman"/>
          <w:i w:val="false"/>
          <w:iCs w:val="false"/>
          <w:sz w:val="22"/>
          <w:szCs w:val="22"/>
        </w:rPr>
        <w:t xml:space="preserve">Dimidi et al. (2019)</w:t>
      </w:r>
      <w:r>
        <w:rPr>
          <w:rFonts w:ascii="Times New Roman" w:cs="Times New Roman" w:eastAsia="Times New Roman" w:hAnsi="Times New Roman"/>
          <w:sz w:val="22"/>
          <w:szCs w:val="22"/>
        </w:rPr>
        <w:t xml:space="preserve"> provide a comprehensive review of the evidence linking fermented food consumption with positive microbiome outcomes, whilst acknowledging that mechanistic evidence in human populations remains limited and context-specific. </w:t>
      </w:r>
      <w:r>
        <w:rPr>
          <w:rFonts w:ascii="Times New Roman" w:cs="Times New Roman" w:eastAsia="Times New Roman" w:hAnsi="Times New Roman"/>
          <w:i w:val="false"/>
          <w:iCs w:val="false"/>
          <w:sz w:val="22"/>
          <w:szCs w:val="22"/>
        </w:rPr>
        <w:t xml:space="preserve">Markowiak and Slizewska (2017)</w:t>
      </w:r>
      <w:r>
        <w:rPr>
          <w:rFonts w:ascii="Times New Roman" w:cs="Times New Roman" w:eastAsia="Times New Roman" w:hAnsi="Times New Roman"/>
          <w:sz w:val="22"/>
          <w:szCs w:val="22"/>
        </w:rPr>
        <w:t xml:space="preserve"> similarly review evidence associating balanced microbiota composition with reduced risk of obesity, type 2 diabetes, and inflammatory conditions. Taken together, this body of work provides a scientific rationale for the commercial expansion of gut-health products, though </w:t>
      </w:r>
      <w:r>
        <w:rPr>
          <w:rFonts w:ascii="Times New Roman" w:cs="Times New Roman" w:eastAsia="Times New Roman" w:hAnsi="Times New Roman"/>
          <w:i w:val="false"/>
          <w:iCs w:val="false"/>
          <w:sz w:val="22"/>
          <w:szCs w:val="22"/>
        </w:rPr>
        <w:t xml:space="preserve">Marco et al. (2017)</w:t>
      </w:r>
      <w:r>
        <w:rPr>
          <w:rFonts w:ascii="Times New Roman" w:cs="Times New Roman" w:eastAsia="Times New Roman" w:hAnsi="Times New Roman"/>
          <w:sz w:val="22"/>
          <w:szCs w:val="22"/>
        </w:rPr>
        <w:t xml:space="preserve"> caution that the extrapolation of laboratory and small-scale clinical findings to broad population-level health claims routinely exceeds what the evidence can support.</w:t>
      </w:r>
    </w:p>
    <w:p>
      <w:pPr>
        <w:spacing w:after="100" w:before="100" w:line="480"/>
        <w:jc w:val="both"/>
      </w:pPr>
      <w:r>
        <w:rPr>
          <w:rFonts w:ascii="Times New Roman" w:cs="Times New Roman" w:eastAsia="Times New Roman" w:hAnsi="Times New Roman"/>
          <w:sz w:val="22"/>
          <w:szCs w:val="22"/>
        </w:rPr>
        <w:t xml:space="preserve">This tension between scientific evidence and commercial claim is central to understanding consumer behaviour. </w:t>
      </w:r>
      <w:r>
        <w:rPr>
          <w:rFonts w:ascii="Times New Roman" w:cs="Times New Roman" w:eastAsia="Times New Roman" w:hAnsi="Times New Roman"/>
          <w:i w:val="false"/>
          <w:iCs w:val="false"/>
          <w:sz w:val="22"/>
          <w:szCs w:val="22"/>
        </w:rPr>
        <w:t xml:space="preserve">Stanton et al. (2005)</w:t>
      </w:r>
      <w:r>
        <w:rPr>
          <w:rFonts w:ascii="Times New Roman" w:cs="Times New Roman" w:eastAsia="Times New Roman" w:hAnsi="Times New Roman"/>
          <w:sz w:val="22"/>
          <w:szCs w:val="22"/>
        </w:rPr>
        <w:t xml:space="preserve"> noted early on that the fermented functional food market was expanding faster than regulatory frameworks could accommodate, creating conditions in which unsubstantiated health claims proliferated without meaningful consumer redress. In the current UK regulatory environment, health claims on food products are governed by retained EU Regulation 1924/2006 on nutrition and health claims, as amended post-Brexit; however, enforcement remains inconsistent and consumer comprehension of authorised versus unauthorised claims is widely acknowledged to be low (</w:t>
      </w:r>
      <w:r>
        <w:rPr>
          <w:rFonts w:ascii="Times New Roman" w:cs="Times New Roman" w:eastAsia="Times New Roman" w:hAnsi="Times New Roman"/>
          <w:i w:val="false"/>
          <w:iCs w:val="false"/>
          <w:sz w:val="22"/>
          <w:szCs w:val="22"/>
        </w:rPr>
        <w:t xml:space="preserve">Verbeke, 2005</w:t>
      </w:r>
      <w:r>
        <w:rPr>
          <w:rFonts w:ascii="Times New Roman" w:cs="Times New Roman" w:eastAsia="Times New Roman" w:hAnsi="Times New Roman"/>
          <w:sz w:val="22"/>
          <w:szCs w:val="22"/>
        </w:rPr>
        <w:t xml:space="preserve">).</w:t>
      </w:r>
    </w:p>
    <w:p>
      <w:pPr>
        <w:pStyle w:val="Heading2"/>
        <w:spacing w:after="120" w:before="240"/>
      </w:pPr>
      <w:r>
        <w:rPr>
          <w:rFonts w:ascii="Arial" w:cs="Arial" w:eastAsia="Arial" w:hAnsi="Arial"/>
          <w:b/>
          <w:bCs/>
          <w:sz w:val="24"/>
          <w:szCs w:val="24"/>
        </w:rPr>
        <w:t xml:space="preserve">2.3 Consumer Awareness and Knowledge Gaps</w:t>
      </w:r>
    </w:p>
    <w:p>
      <w:pPr>
        <w:spacing w:after="100" w:before="100" w:line="480"/>
        <w:jc w:val="both"/>
      </w:pPr>
      <w:r>
        <w:rPr>
          <w:rFonts w:ascii="Times New Roman" w:cs="Times New Roman" w:eastAsia="Times New Roman" w:hAnsi="Times New Roman"/>
          <w:i w:val="false"/>
          <w:iCs w:val="false"/>
          <w:sz w:val="22"/>
          <w:szCs w:val="22"/>
        </w:rPr>
        <w:t xml:space="preserve">Verbeke (2005)</w:t>
      </w:r>
      <w:r>
        <w:rPr>
          <w:rFonts w:ascii="Times New Roman" w:cs="Times New Roman" w:eastAsia="Times New Roman" w:hAnsi="Times New Roman"/>
          <w:sz w:val="22"/>
          <w:szCs w:val="22"/>
        </w:rPr>
        <w:t xml:space="preserve"> established that consumer acceptance of functional foods is primarily mediated by product familiarity, perceived naturalness, and trust in health claims, while knowledge of the underlying bioactive mechanisms plays a comparatively minor role in purchasing decisions. This foundational study, which developed a validated scale for measuring consumer attitudes, has been extensively replicated and extended across European and global contexts.</w:t>
      </w:r>
    </w:p>
    <w:p>
      <w:pPr>
        <w:spacing w:after="100" w:before="100" w:line="480"/>
        <w:jc w:val="both"/>
      </w:pPr>
      <w:r>
        <w:rPr>
          <w:rFonts w:ascii="Times New Roman" w:cs="Times New Roman" w:eastAsia="Times New Roman" w:hAnsi="Times New Roman"/>
          <w:i w:val="false"/>
          <w:iCs w:val="false"/>
          <w:sz w:val="22"/>
          <w:szCs w:val="22"/>
        </w:rPr>
        <w:t xml:space="preserve">Faber et al. (2020)</w:t>
      </w:r>
      <w:r>
        <w:rPr>
          <w:rFonts w:ascii="Times New Roman" w:cs="Times New Roman" w:eastAsia="Times New Roman" w:hAnsi="Times New Roman"/>
          <w:sz w:val="22"/>
          <w:szCs w:val="22"/>
        </w:rPr>
        <w:t xml:space="preserve"> examined consumer comprehension of probiotic and prebiotic labelling across European markets, finding systematic confusion between the two terms, with a significant majority of participants unable to articulate key definitional distinctions despite regular product consumption. This aligns with earlier findings from </w:t>
      </w:r>
      <w:r>
        <w:rPr>
          <w:rFonts w:ascii="Times New Roman" w:cs="Times New Roman" w:eastAsia="Times New Roman" w:hAnsi="Times New Roman"/>
          <w:i w:val="false"/>
          <w:iCs w:val="false"/>
          <w:sz w:val="22"/>
          <w:szCs w:val="22"/>
        </w:rPr>
        <w:t xml:space="preserve">Ozen et al. (2012)</w:t>
      </w:r>
      <w:r>
        <w:rPr>
          <w:rFonts w:ascii="Times New Roman" w:cs="Times New Roman" w:eastAsia="Times New Roman" w:hAnsi="Times New Roman"/>
          <w:sz w:val="22"/>
          <w:szCs w:val="22"/>
        </w:rPr>
        <w:t xml:space="preserve">, whose systematic review of functional food consumption across Europe concluded that awareness rates were high but mechanistic understanding was consistently low, particularly among younger consumers. </w:t>
      </w:r>
      <w:r>
        <w:rPr>
          <w:rFonts w:ascii="Times New Roman" w:cs="Times New Roman" w:eastAsia="Times New Roman" w:hAnsi="Times New Roman"/>
          <w:i w:val="false"/>
          <w:iCs w:val="false"/>
          <w:sz w:val="22"/>
          <w:szCs w:val="22"/>
        </w:rPr>
        <w:t xml:space="preserve">Annunziata and Vecchio (2013)</w:t>
      </w:r>
      <w:r>
        <w:rPr>
          <w:rFonts w:ascii="Times New Roman" w:cs="Times New Roman" w:eastAsia="Times New Roman" w:hAnsi="Times New Roman"/>
          <w:sz w:val="22"/>
          <w:szCs w:val="22"/>
        </w:rPr>
        <w:t xml:space="preserve"> further demonstrated that young adult purchasing behaviour was driven primarily by brand trust, curiosity, and social endorsement rather than nutritional literacy, a pattern that has clear implications for this study's theoretical framework.</w:t>
      </w:r>
    </w:p>
    <w:p>
      <w:pPr>
        <w:spacing w:after="100" w:before="100" w:line="480"/>
        <w:jc w:val="both"/>
      </w:pPr>
      <w:r>
        <w:rPr>
          <w:rFonts w:ascii="Times New Roman" w:cs="Times New Roman" w:eastAsia="Times New Roman" w:hAnsi="Times New Roman"/>
          <w:sz w:val="22"/>
          <w:szCs w:val="22"/>
        </w:rPr>
        <w:t xml:space="preserve">In the UK specifically, </w:t>
      </w:r>
      <w:r>
        <w:rPr>
          <w:rFonts w:ascii="Times New Roman" w:cs="Times New Roman" w:eastAsia="Times New Roman" w:hAnsi="Times New Roman"/>
          <w:i w:val="false"/>
          <w:iCs w:val="false"/>
          <w:sz w:val="22"/>
          <w:szCs w:val="22"/>
        </w:rPr>
        <w:t xml:space="preserve">Niva (2007)</w:t>
      </w:r>
      <w:r>
        <w:rPr>
          <w:rFonts w:ascii="Times New Roman" w:cs="Times New Roman" w:eastAsia="Times New Roman" w:hAnsi="Times New Roman"/>
          <w:sz w:val="22"/>
          <w:szCs w:val="22"/>
        </w:rPr>
        <w:t xml:space="preserve"> observed that consumers construct personalised frameworks for understanding functional foods that blend scientific concepts with cultural beliefs and marketing narratives, often yielding inaccurate or incomplete knowledge. This phenomenon of lay theorisation is particularly pronounced among younger consumers with high digital media exposure, where health influencers present anecdotal experience as established nutritional fact without the scientific oversight available through formal education channels.</w:t>
      </w:r>
    </w:p>
    <w:p>
      <w:pPr>
        <w:pStyle w:val="Heading2"/>
        <w:spacing w:after="120" w:before="240"/>
      </w:pPr>
      <w:r>
        <w:rPr>
          <w:rFonts w:ascii="Arial" w:cs="Arial" w:eastAsia="Arial" w:hAnsi="Arial"/>
          <w:b/>
          <w:bCs/>
          <w:sz w:val="24"/>
          <w:szCs w:val="24"/>
        </w:rPr>
        <w:t xml:space="preserve">2.4 University Students and Dietary Behaviour</w:t>
      </w:r>
    </w:p>
    <w:p>
      <w:pPr>
        <w:spacing w:after="100" w:before="100" w:line="480"/>
        <w:jc w:val="both"/>
      </w:pPr>
      <w:r>
        <w:rPr>
          <w:rFonts w:ascii="Times New Roman" w:cs="Times New Roman" w:eastAsia="Times New Roman" w:hAnsi="Times New Roman"/>
          <w:i w:val="false"/>
          <w:iCs w:val="false"/>
          <w:sz w:val="22"/>
          <w:szCs w:val="22"/>
        </w:rPr>
        <w:t xml:space="preserve">Deliens et al. (2014)</w:t>
      </w:r>
      <w:r>
        <w:rPr>
          <w:rFonts w:ascii="Times New Roman" w:cs="Times New Roman" w:eastAsia="Times New Roman" w:hAnsi="Times New Roman"/>
          <w:sz w:val="22"/>
          <w:szCs w:val="22"/>
        </w:rPr>
        <w:t xml:space="preserve"> conducted a systematic review of the determinants of eating behaviour in university students, identifying irregular meal patterns, financial constraint, time pressure, peer influence, and the transition to independent living as the primary structural factors shaping food choice. These conditions create a nutritional environment in which functional food marketing finds fertile ground: students may aspire to health-conscious consumption whilst lacking the resources or knowledge infrastructure to evaluate claims critically.</w:t>
      </w:r>
    </w:p>
    <w:p>
      <w:pPr>
        <w:spacing w:after="100" w:before="100" w:line="480"/>
        <w:jc w:val="both"/>
      </w:pPr>
      <w:r>
        <w:rPr>
          <w:rFonts w:ascii="Times New Roman" w:cs="Times New Roman" w:eastAsia="Times New Roman" w:hAnsi="Times New Roman"/>
          <w:sz w:val="22"/>
          <w:szCs w:val="22"/>
        </w:rPr>
        <w:t xml:space="preserve">The dietary choices made during early adulthood are widely recognised as having lasting consequences for long-term health outcomes (</w:t>
      </w:r>
      <w:r>
        <w:rPr>
          <w:rFonts w:ascii="Times New Roman" w:cs="Times New Roman" w:eastAsia="Times New Roman" w:hAnsi="Times New Roman"/>
          <w:i w:val="false"/>
          <w:iCs w:val="false"/>
          <w:sz w:val="22"/>
          <w:szCs w:val="22"/>
        </w:rPr>
        <w:t xml:space="preserve">Deliens et al., 2014</w:t>
      </w:r>
      <w:r>
        <w:rPr>
          <w:rFonts w:ascii="Times New Roman" w:cs="Times New Roman" w:eastAsia="Times New Roman" w:hAnsi="Times New Roman"/>
          <w:sz w:val="22"/>
          <w:szCs w:val="22"/>
        </w:rPr>
        <w:t xml:space="preserve">). Accordingly, university represents a critical period for nutritional intervention and education. Yet the channels through which students access dietary information have shifted dramatically. </w:t>
      </w:r>
      <w:r>
        <w:rPr>
          <w:rFonts w:ascii="Times New Roman" w:cs="Times New Roman" w:eastAsia="Times New Roman" w:hAnsi="Times New Roman"/>
          <w:i w:val="false"/>
          <w:iCs w:val="false"/>
          <w:sz w:val="22"/>
          <w:szCs w:val="22"/>
        </w:rPr>
        <w:t xml:space="preserve">Stanton et al. (2005)</w:t>
      </w:r>
      <w:r>
        <w:rPr>
          <w:rFonts w:ascii="Times New Roman" w:cs="Times New Roman" w:eastAsia="Times New Roman" w:hAnsi="Times New Roman"/>
          <w:sz w:val="22"/>
          <w:szCs w:val="22"/>
        </w:rPr>
        <w:t xml:space="preserve"> identified social and peer influence as primary drivers of dietary decision-making among young adults; more recent scholarship highlights the degree to which social media platforms have intensified and diversified this influence, with content creators and influencers on TikTok, Instagram, and YouTube now functioning as de facto nutrition authorities for millions of young people worldwide (</w:t>
      </w:r>
      <w:r>
        <w:rPr>
          <w:rFonts w:ascii="Times New Roman" w:cs="Times New Roman" w:eastAsia="Times New Roman" w:hAnsi="Times New Roman"/>
          <w:i w:val="false"/>
          <w:iCs w:val="false"/>
          <w:sz w:val="22"/>
          <w:szCs w:val="22"/>
        </w:rPr>
        <w:t xml:space="preserve">Marco et al., 2017</w:t>
      </w:r>
      <w:r>
        <w:rPr>
          <w:rFonts w:ascii="Times New Roman" w:cs="Times New Roman" w:eastAsia="Times New Roman" w:hAnsi="Times New Roman"/>
          <w:sz w:val="22"/>
          <w:szCs w:val="22"/>
        </w:rPr>
        <w:t xml:space="preserve">).</w:t>
      </w:r>
    </w:p>
    <w:p>
      <w:pPr>
        <w:pStyle w:val="Heading2"/>
        <w:spacing w:after="120" w:before="240"/>
      </w:pPr>
      <w:r>
        <w:rPr>
          <w:rFonts w:ascii="Arial" w:cs="Arial" w:eastAsia="Arial" w:hAnsi="Arial"/>
          <w:b/>
          <w:bCs/>
          <w:sz w:val="24"/>
          <w:szCs w:val="24"/>
        </w:rPr>
        <w:t xml:space="preserve">2.5 Consumer Attitudes, Labelling, and Trust</w:t>
      </w:r>
    </w:p>
    <w:p>
      <w:pPr>
        <w:spacing w:after="100" w:before="100" w:line="480"/>
        <w:jc w:val="both"/>
      </w:pPr>
      <w:r>
        <w:rPr>
          <w:rFonts w:ascii="Times New Roman" w:cs="Times New Roman" w:eastAsia="Times New Roman" w:hAnsi="Times New Roman"/>
          <w:i w:val="false"/>
          <w:iCs w:val="false"/>
          <w:sz w:val="22"/>
          <w:szCs w:val="22"/>
        </w:rPr>
        <w:t xml:space="preserve">Urala and Lahteenmaki (2007)</w:t>
      </w:r>
      <w:r>
        <w:rPr>
          <w:rFonts w:ascii="Times New Roman" w:cs="Times New Roman" w:eastAsia="Times New Roman" w:hAnsi="Times New Roman"/>
          <w:sz w:val="22"/>
          <w:szCs w:val="22"/>
        </w:rPr>
        <w:t xml:space="preserve"> developed and validated a functional food attitude scale measuring four dimensions: reward from use, confidence in the products, perceived necessity, and perceived safety. Their longitudinal analysis found that younger consumers showed declining confidence in functional food claims over time, suggesting that repeated exposure to contradictory or unverifiable health messaging may erode rather than build trust. This finding has significant implications for communication strategy in both public health and commercial contexts.</w:t>
      </w:r>
    </w:p>
    <w:p>
      <w:pPr>
        <w:spacing w:after="100" w:before="100" w:line="480"/>
        <w:jc w:val="both"/>
      </w:pPr>
      <w:r>
        <w:rPr>
          <w:rFonts w:ascii="Times New Roman" w:cs="Times New Roman" w:eastAsia="Times New Roman" w:hAnsi="Times New Roman"/>
          <w:sz w:val="22"/>
          <w:szCs w:val="22"/>
        </w:rPr>
        <w:t xml:space="preserve">Label complexity is a particularly important moderating variable. Research consistently demonstrates that a greater number of health claims on packaging is negatively associated with consumer comprehension and trust, as individuals default to heuristic processing when confronted with information overload (</w:t>
      </w:r>
      <w:r>
        <w:rPr>
          <w:rFonts w:ascii="Times New Roman" w:cs="Times New Roman" w:eastAsia="Times New Roman" w:hAnsi="Times New Roman"/>
          <w:i w:val="false"/>
          <w:iCs w:val="false"/>
          <w:sz w:val="22"/>
          <w:szCs w:val="22"/>
        </w:rPr>
        <w:t xml:space="preserve">Verbeke, 2005; Ozen et al., 2012</w:t>
      </w:r>
      <w:r>
        <w:rPr>
          <w:rFonts w:ascii="Times New Roman" w:cs="Times New Roman" w:eastAsia="Times New Roman" w:hAnsi="Times New Roman"/>
          <w:sz w:val="22"/>
          <w:szCs w:val="22"/>
        </w:rPr>
        <w:t xml:space="preserve">). For student populations, this suggests that the proliferation of functional claims on kombucha, yoghurt drinks, and prebiotic snack bars may actively undermine informed purchasing rather than support it.</w:t>
      </w:r>
    </w:p>
    <w:p>
      <w:pPr>
        <w:pStyle w:val="Heading2"/>
        <w:spacing w:after="120" w:before="240"/>
      </w:pPr>
      <w:r>
        <w:rPr>
          <w:rFonts w:ascii="Arial" w:cs="Arial" w:eastAsia="Arial" w:hAnsi="Arial"/>
          <w:b/>
          <w:bCs/>
          <w:sz w:val="24"/>
          <w:szCs w:val="24"/>
        </w:rPr>
        <w:t xml:space="preserve">2.6 Theoretical Synthesis</w:t>
      </w:r>
    </w:p>
    <w:p>
      <w:pPr>
        <w:spacing w:after="100" w:before="100" w:line="480"/>
        <w:jc w:val="both"/>
      </w:pPr>
      <w:r>
        <w:rPr>
          <w:rFonts w:ascii="Times New Roman" w:cs="Times New Roman" w:eastAsia="Times New Roman" w:hAnsi="Times New Roman"/>
          <w:sz w:val="22"/>
          <w:szCs w:val="22"/>
        </w:rPr>
        <w:t xml:space="preserve">Taken together, the literature presents a coherent picture of a consumer group — UK university students — who are simultaneously high-volume consumers of gut-health functional foods and low-confidence interpreters of the scientific claims associated with them. The Theory of Planned Behaviour (</w:t>
      </w:r>
      <w:r>
        <w:rPr>
          <w:rFonts w:ascii="Times New Roman" w:cs="Times New Roman" w:eastAsia="Times New Roman" w:hAnsi="Times New Roman"/>
          <w:i w:val="false"/>
          <w:iCs w:val="false"/>
          <w:sz w:val="22"/>
          <w:szCs w:val="22"/>
        </w:rPr>
        <w:t xml:space="preserve">Ajzen, 1991</w:t>
      </w:r>
      <w:r>
        <w:rPr>
          <w:rFonts w:ascii="Times New Roman" w:cs="Times New Roman" w:eastAsia="Times New Roman" w:hAnsi="Times New Roman"/>
          <w:sz w:val="22"/>
          <w:szCs w:val="22"/>
        </w:rPr>
        <w:t xml:space="preserve">) provides a framework for understanding how attitudes, social norms, and perceived control interact to produce purchasing behaviour in this context. The Health Belief Model (</w:t>
      </w:r>
      <w:r>
        <w:rPr>
          <w:rFonts w:ascii="Times New Roman" w:cs="Times New Roman" w:eastAsia="Times New Roman" w:hAnsi="Times New Roman"/>
          <w:i w:val="false"/>
          <w:iCs w:val="false"/>
          <w:sz w:val="22"/>
          <w:szCs w:val="22"/>
        </w:rPr>
        <w:t xml:space="preserve">Becker, 1974</w:t>
      </w:r>
      <w:r>
        <w:rPr>
          <w:rFonts w:ascii="Times New Roman" w:cs="Times New Roman" w:eastAsia="Times New Roman" w:hAnsi="Times New Roman"/>
          <w:sz w:val="22"/>
          <w:szCs w:val="22"/>
        </w:rPr>
        <w:t xml:space="preserve">) adds explanatory power regarding the role of perceived health risk in motivating product use. Verbeke's Consumer Acceptance Framework (</w:t>
      </w:r>
      <w:r>
        <w:rPr>
          <w:rFonts w:ascii="Times New Roman" w:cs="Times New Roman" w:eastAsia="Times New Roman" w:hAnsi="Times New Roman"/>
          <w:i w:val="false"/>
          <w:iCs w:val="false"/>
          <w:sz w:val="22"/>
          <w:szCs w:val="22"/>
        </w:rPr>
        <w:t xml:space="preserve">Verbeke, 2005</w:t>
      </w:r>
      <w:r>
        <w:rPr>
          <w:rFonts w:ascii="Times New Roman" w:cs="Times New Roman" w:eastAsia="Times New Roman" w:hAnsi="Times New Roman"/>
          <w:sz w:val="22"/>
          <w:szCs w:val="22"/>
        </w:rPr>
        <w:t xml:space="preserve">) synthesises these perspectives by identifying the specific moderators — familiarity, trust, and naturalness — most relevant to functional food acceptance. The interaction of these frameworks provides a multi-dimensional theoretical foundation for the mixed-methods investigation proposed here.</w:t>
      </w:r>
    </w:p>
    <w:p>
      <w:pPr>
        <w:pageBreakBefore/>
      </w:pPr>
      <w:r>
        <w:t xml:space="preserve"/>
      </w:r>
    </w:p>
    <w:p>
      <w:pPr>
        <w:pStyle w:val="Heading1"/>
        <w:spacing w:after="160" w:before="320"/>
      </w:pPr>
      <w:r>
        <w:rPr>
          <w:rFonts w:ascii="Arial" w:cs="Arial" w:eastAsia="Arial" w:hAnsi="Arial"/>
          <w:b/>
          <w:bCs/>
          <w:sz w:val="28"/>
          <w:szCs w:val="28"/>
        </w:rPr>
        <w:t xml:space="preserve">Section 3: Proposed Methodology</w:t>
      </w:r>
    </w:p>
    <w:p>
      <w:pPr>
        <w:pStyle w:val="Heading2"/>
        <w:spacing w:after="120" w:before="240"/>
      </w:pPr>
      <w:r>
        <w:rPr>
          <w:rFonts w:ascii="Arial" w:cs="Arial" w:eastAsia="Arial" w:hAnsi="Arial"/>
          <w:b/>
          <w:bCs/>
          <w:sz w:val="24"/>
          <w:szCs w:val="24"/>
        </w:rPr>
        <w:t xml:space="preserve">3.1 Research Paradigm</w:t>
      </w:r>
    </w:p>
    <w:p>
      <w:pPr>
        <w:spacing w:after="100" w:before="100" w:line="480"/>
        <w:jc w:val="both"/>
      </w:pPr>
      <w:r>
        <w:rPr>
          <w:rFonts w:ascii="Times New Roman" w:cs="Times New Roman" w:eastAsia="Times New Roman" w:hAnsi="Times New Roman"/>
          <w:sz w:val="22"/>
          <w:szCs w:val="22"/>
        </w:rPr>
        <w:t xml:space="preserve">This study adopts a pragmatist philosophical position (</w:t>
      </w:r>
      <w:r>
        <w:rPr>
          <w:rFonts w:ascii="Times New Roman" w:cs="Times New Roman" w:eastAsia="Times New Roman" w:hAnsi="Times New Roman"/>
          <w:i w:val="false"/>
          <w:iCs w:val="false"/>
          <w:sz w:val="22"/>
          <w:szCs w:val="22"/>
        </w:rPr>
        <w:t xml:space="preserve">Creswell and Plano Clark, 2017</w:t>
      </w:r>
      <w:r>
        <w:rPr>
          <w:rFonts w:ascii="Times New Roman" w:cs="Times New Roman" w:eastAsia="Times New Roman" w:hAnsi="Times New Roman"/>
          <w:sz w:val="22"/>
          <w:szCs w:val="22"/>
        </w:rPr>
        <w:t xml:space="preserve">), which prioritises answering research questions effectively over adherence to a single epistemological tradition. Pragmatism is particularly suited to consumer behaviour research, where attitudinal breadth is best captured quantitatively and motivational depth is best explored qualitatively (</w:t>
      </w:r>
      <w:r>
        <w:rPr>
          <w:rFonts w:ascii="Times New Roman" w:cs="Times New Roman" w:eastAsia="Times New Roman" w:hAnsi="Times New Roman"/>
          <w:i w:val="false"/>
          <w:iCs w:val="false"/>
          <w:sz w:val="22"/>
          <w:szCs w:val="22"/>
        </w:rPr>
        <w:t xml:space="preserve">Saunders, Lewis and Thornhill, 2019</w:t>
      </w:r>
      <w:r>
        <w:rPr>
          <w:rFonts w:ascii="Times New Roman" w:cs="Times New Roman" w:eastAsia="Times New Roman" w:hAnsi="Times New Roman"/>
          <w:sz w:val="22"/>
          <w:szCs w:val="22"/>
        </w:rPr>
        <w:t xml:space="preserve">). This philosophical orientation justifies the sequential mixed-methods design employed in this study, as it recognises that different research questions require different forms of evidence.</w:t>
      </w:r>
    </w:p>
    <w:p>
      <w:pPr>
        <w:pStyle w:val="Heading2"/>
        <w:spacing w:after="120" w:before="240"/>
      </w:pPr>
      <w:r>
        <w:rPr>
          <w:rFonts w:ascii="Arial" w:cs="Arial" w:eastAsia="Arial" w:hAnsi="Arial"/>
          <w:b/>
          <w:bCs/>
          <w:sz w:val="24"/>
          <w:szCs w:val="24"/>
        </w:rPr>
        <w:t xml:space="preserve">3.2 Methodology Overview</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AAAAAA" w:sz="1"/>
              <w:left w:val="single" w:color="AAAAAA" w:sz="1"/>
              <w:bottom w:val="single" w:color="AAAAAA" w:sz="1"/>
              <w:right w:val="single" w:color="AAAAAA" w:sz="1"/>
            </w:tcBorders>
            <w:shd w:fill="D9E2F3" w:val="clear"/>
            <w:tcMar>
              <w:top w:type="dxa" w:w="100"/>
              <w:left w:type="dxa" w:w="120"/>
              <w:bottom w:type="dxa" w:w="100"/>
              <w:right w:type="dxa" w:w="120"/>
            </w:tcMar>
          </w:tcPr>
          <w:p>
            <w:r>
              <w:rPr>
                <w:rFonts w:ascii="Arial" w:cs="Arial" w:eastAsia="Arial" w:hAnsi="Arial"/>
                <w:b/>
                <w:bCs/>
                <w:sz w:val="20"/>
                <w:szCs w:val="20"/>
              </w:rPr>
              <w:t xml:space="preserve">Component</w:t>
            </w:r>
          </w:p>
        </w:tc>
        <w:tc>
          <w:tcPr>
            <w:tcW w:type="dxa" w:w="4500"/>
            <w:tcBorders>
              <w:top w:val="single" w:color="AAAAAA" w:sz="1"/>
              <w:left w:val="single" w:color="AAAAAA" w:sz="1"/>
              <w:bottom w:val="single" w:color="AAAAAA" w:sz="1"/>
              <w:right w:val="single" w:color="AAAAAA" w:sz="1"/>
            </w:tcBorders>
            <w:shd w:fill="D9E2F3" w:val="clear"/>
            <w:tcMar>
              <w:top w:type="dxa" w:w="100"/>
              <w:left w:type="dxa" w:w="120"/>
              <w:bottom w:type="dxa" w:w="100"/>
              <w:right w:type="dxa" w:w="120"/>
            </w:tcMar>
          </w:tcPr>
          <w:p>
            <w:r>
              <w:rPr>
                <w:rFonts w:ascii="Arial" w:cs="Arial" w:eastAsia="Arial" w:hAnsi="Arial"/>
                <w:b/>
                <w:bCs/>
                <w:sz w:val="20"/>
                <w:szCs w:val="20"/>
              </w:rPr>
              <w:t xml:space="preserve">Detail</w:t>
            </w:r>
          </w:p>
        </w:tc>
      </w:tr>
      <w:tr>
        <w:tc>
          <w:tcPr>
            <w:tcW w:type="dxa" w:w="4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b w:val="false"/>
                <w:bCs w:val="false"/>
                <w:sz w:val="20"/>
                <w:szCs w:val="20"/>
              </w:rPr>
              <w:t xml:space="preserve">Research Paradigm</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b w:val="false"/>
                <w:bCs w:val="false"/>
                <w:sz w:val="20"/>
                <w:szCs w:val="20"/>
              </w:rPr>
              <w:t xml:space="preserve">Pragmatism (Creswell and Plano Clark, 2017)</w:t>
            </w:r>
          </w:p>
        </w:tc>
      </w:tr>
      <w:tr>
        <w:tc>
          <w:tcPr>
            <w:tcW w:type="dxa" w:w="4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b w:val="false"/>
                <w:bCs w:val="false"/>
                <w:sz w:val="20"/>
                <w:szCs w:val="20"/>
              </w:rPr>
              <w:t xml:space="preserve">Overall Methodology</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b w:val="false"/>
                <w:bCs w:val="false"/>
                <w:sz w:val="20"/>
                <w:szCs w:val="20"/>
              </w:rPr>
              <w:t xml:space="preserve">Sequential mixed-methods design</w:t>
            </w:r>
          </w:p>
        </w:tc>
      </w:tr>
      <w:tr>
        <w:tc>
          <w:tcPr>
            <w:tcW w:type="dxa" w:w="4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b w:val="false"/>
                <w:bCs w:val="false"/>
                <w:sz w:val="20"/>
                <w:szCs w:val="20"/>
              </w:rPr>
              <w:t xml:space="preserve">Phase 1 – Method</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b w:val="false"/>
                <w:bCs w:val="false"/>
                <w:sz w:val="20"/>
                <w:szCs w:val="20"/>
              </w:rPr>
              <w:t xml:space="preserve">Self-completion online questionnaire (distributed via university VLE and student portals)</w:t>
            </w:r>
          </w:p>
        </w:tc>
      </w:tr>
      <w:tr>
        <w:tc>
          <w:tcPr>
            <w:tcW w:type="dxa" w:w="4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b w:val="false"/>
                <w:bCs w:val="false"/>
                <w:sz w:val="20"/>
                <w:szCs w:val="20"/>
              </w:rPr>
              <w:t xml:space="preserve">Phase 2 – Method</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b w:val="false"/>
                <w:bCs w:val="false"/>
                <w:sz w:val="20"/>
                <w:szCs w:val="20"/>
              </w:rPr>
              <w:t xml:space="preserve">Semi-structured focus groups (3–4 groups, 5–7 participants each)</w:t>
            </w:r>
          </w:p>
        </w:tc>
      </w:tr>
      <w:tr>
        <w:tc>
          <w:tcPr>
            <w:tcW w:type="dxa" w:w="4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b w:val="false"/>
                <w:bCs w:val="false"/>
                <w:sz w:val="20"/>
                <w:szCs w:val="20"/>
              </w:rPr>
              <w:t xml:space="preserve">Target Population</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b w:val="false"/>
                <w:bCs w:val="false"/>
                <w:sz w:val="20"/>
                <w:szCs w:val="20"/>
              </w:rPr>
              <w:t xml:space="preserve">Full-time and part-time UK university students aged 18–30</w:t>
            </w:r>
          </w:p>
        </w:tc>
      </w:tr>
      <w:tr>
        <w:tc>
          <w:tcPr>
            <w:tcW w:type="dxa" w:w="4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b w:val="false"/>
                <w:bCs w:val="false"/>
                <w:sz w:val="20"/>
                <w:szCs w:val="20"/>
              </w:rPr>
              <w:t xml:space="preserve">Estimated Population Size</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b w:val="false"/>
                <w:bCs w:val="false"/>
                <w:sz w:val="20"/>
                <w:szCs w:val="20"/>
              </w:rPr>
              <w:t xml:space="preserve">Approximately 2.9 million (HESA, 2023)</w:t>
            </w:r>
          </w:p>
        </w:tc>
      </w:tr>
      <w:tr>
        <w:tc>
          <w:tcPr>
            <w:tcW w:type="dxa" w:w="4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b w:val="false"/>
                <w:bCs w:val="false"/>
                <w:sz w:val="20"/>
                <w:szCs w:val="20"/>
              </w:rPr>
              <w:t xml:space="preserve">Phase 1 – Sampling Technique</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b w:val="false"/>
                <w:bCs w:val="false"/>
                <w:sz w:val="20"/>
                <w:szCs w:val="20"/>
              </w:rPr>
              <w:t xml:space="preserve">Stratified random sampling (stratified by year of study, gender, dietary preference)</w:t>
            </w:r>
          </w:p>
        </w:tc>
      </w:tr>
      <w:tr>
        <w:tc>
          <w:tcPr>
            <w:tcW w:type="dxa" w:w="4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b w:val="false"/>
                <w:bCs w:val="false"/>
                <w:sz w:val="20"/>
                <w:szCs w:val="20"/>
              </w:rPr>
              <w:t xml:space="preserve">Phase 1 – Sample Size</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b w:val="false"/>
                <w:bCs w:val="false"/>
                <w:sz w:val="20"/>
                <w:szCs w:val="20"/>
              </w:rPr>
              <w:t xml:space="preserve">n = 210 minimum</w:t>
            </w:r>
          </w:p>
        </w:tc>
      </w:tr>
      <w:tr>
        <w:tc>
          <w:tcPr>
            <w:tcW w:type="dxa" w:w="4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b w:val="false"/>
                <w:bCs w:val="false"/>
                <w:sz w:val="20"/>
                <w:szCs w:val="20"/>
              </w:rPr>
              <w:t xml:space="preserve">Phase 2 – Sampling Technique</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b w:val="false"/>
                <w:bCs w:val="false"/>
                <w:sz w:val="20"/>
                <w:szCs w:val="20"/>
              </w:rPr>
              <w:t xml:space="preserve">Purposive sampling</w:t>
            </w:r>
          </w:p>
        </w:tc>
      </w:tr>
      <w:tr>
        <w:tc>
          <w:tcPr>
            <w:tcW w:type="dxa" w:w="4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b w:val="false"/>
                <w:bCs w:val="false"/>
                <w:sz w:val="20"/>
                <w:szCs w:val="20"/>
              </w:rPr>
              <w:t xml:space="preserve">Phase 2 – Sample Size</w:t>
            </w:r>
          </w:p>
        </w:tc>
        <w:tc>
          <w:tcPr>
            <w:tcW w:type="dxa" w:w="450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r>
              <w:rPr>
                <w:rFonts w:ascii="Arial" w:cs="Arial" w:eastAsia="Arial" w:hAnsi="Arial"/>
                <w:b w:val="false"/>
                <w:bCs w:val="false"/>
                <w:sz w:val="20"/>
                <w:szCs w:val="20"/>
              </w:rPr>
              <w:t xml:space="preserve">n = 20–28 (4 groups × 5–7 participants)</w:t>
            </w:r>
          </w:p>
        </w:tc>
      </w:tr>
    </w:tbl>
    <w:p>
      <w:r>
        <w:t xml:space="preserve"/>
      </w:r>
    </w:p>
    <w:p>
      <w:pPr>
        <w:pStyle w:val="Heading2"/>
        <w:spacing w:after="120" w:before="240"/>
      </w:pPr>
      <w:r>
        <w:rPr>
          <w:rFonts w:ascii="Arial" w:cs="Arial" w:eastAsia="Arial" w:hAnsi="Arial"/>
          <w:b/>
          <w:bCs/>
          <w:sz w:val="24"/>
          <w:szCs w:val="24"/>
        </w:rPr>
        <w:t xml:space="preserve">3.3 Methods</w:t>
      </w:r>
    </w:p>
    <w:p>
      <w:pPr>
        <w:spacing w:after="100" w:before="100" w:line="480"/>
        <w:jc w:val="both"/>
      </w:pPr>
      <w:r>
        <w:rPr>
          <w:rFonts w:ascii="Times New Roman" w:cs="Times New Roman" w:eastAsia="Times New Roman" w:hAnsi="Times New Roman"/>
          <w:sz w:val="22"/>
          <w:szCs w:val="22"/>
        </w:rPr>
        <w:t xml:space="preserve">Phase 1 employs a self-completion online questionnaire distributed exclusively via university virtual learning environments (VLEs), departmental mailing lists, and student union digital communications, ensuring targeted reach to the defined population without reliance on commercial survey platforms. The questionnaire will incorporate a validated Likert-scale instrument adapted from </w:t>
      </w:r>
      <w:r>
        <w:rPr>
          <w:rFonts w:ascii="Times New Roman" w:cs="Times New Roman" w:eastAsia="Times New Roman" w:hAnsi="Times New Roman"/>
          <w:i w:val="false"/>
          <w:iCs w:val="false"/>
          <w:sz w:val="22"/>
          <w:szCs w:val="22"/>
        </w:rPr>
        <w:t xml:space="preserve">Verbeke (2005)</w:t>
      </w:r>
      <w:r>
        <w:rPr>
          <w:rFonts w:ascii="Times New Roman" w:cs="Times New Roman" w:eastAsia="Times New Roman" w:hAnsi="Times New Roman"/>
          <w:sz w:val="22"/>
          <w:szCs w:val="22"/>
        </w:rPr>
        <w:t xml:space="preserve"> and </w:t>
      </w:r>
      <w:r>
        <w:rPr>
          <w:rFonts w:ascii="Times New Roman" w:cs="Times New Roman" w:eastAsia="Times New Roman" w:hAnsi="Times New Roman"/>
          <w:i w:val="false"/>
          <w:iCs w:val="false"/>
          <w:sz w:val="22"/>
          <w:szCs w:val="22"/>
        </w:rPr>
        <w:t xml:space="preserve">Urala and Lahteenmaki (2007)</w:t>
      </w:r>
      <w:r>
        <w:rPr>
          <w:rFonts w:ascii="Times New Roman" w:cs="Times New Roman" w:eastAsia="Times New Roman" w:hAnsi="Times New Roman"/>
          <w:sz w:val="22"/>
          <w:szCs w:val="22"/>
        </w:rPr>
        <w:t xml:space="preserve">, measuring dimensions of awareness, trust, purchasing intent, and perceived health benefit on a five-point response scale (</w:t>
      </w:r>
      <w:r>
        <w:rPr>
          <w:rFonts w:ascii="Times New Roman" w:cs="Times New Roman" w:eastAsia="Times New Roman" w:hAnsi="Times New Roman"/>
          <w:i w:val="false"/>
          <w:iCs w:val="false"/>
          <w:sz w:val="22"/>
          <w:szCs w:val="22"/>
        </w:rPr>
        <w:t xml:space="preserve">Likert, 1932</w:t>
      </w:r>
      <w:r>
        <w:rPr>
          <w:rFonts w:ascii="Times New Roman" w:cs="Times New Roman" w:eastAsia="Times New Roman" w:hAnsi="Times New Roman"/>
          <w:sz w:val="22"/>
          <w:szCs w:val="22"/>
        </w:rPr>
        <w:t xml:space="preserve">). Data will be analysed using IBM SPSS Statistics, incorporating descriptive statistics, chi-square tests of association, and binary logistic regression (</w:t>
      </w:r>
      <w:r>
        <w:rPr>
          <w:rFonts w:ascii="Times New Roman" w:cs="Times New Roman" w:eastAsia="Times New Roman" w:hAnsi="Times New Roman"/>
          <w:i w:val="false"/>
          <w:iCs w:val="false"/>
          <w:sz w:val="22"/>
          <w:szCs w:val="22"/>
        </w:rPr>
        <w:t xml:space="preserve">Pallant, 2020</w:t>
      </w:r>
      <w:r>
        <w:rPr>
          <w:rFonts w:ascii="Times New Roman" w:cs="Times New Roman" w:eastAsia="Times New Roman" w:hAnsi="Times New Roman"/>
          <w:sz w:val="22"/>
          <w:szCs w:val="22"/>
        </w:rPr>
        <w:t xml:space="preserve">). The questionnaire will be piloted with 20 students prior to full deployment to assess clarity, reliability, and face validity.</w:t>
      </w:r>
    </w:p>
    <w:p>
      <w:pPr>
        <w:spacing w:after="100" w:before="100" w:line="480"/>
        <w:jc w:val="both"/>
      </w:pPr>
      <w:r>
        <w:rPr>
          <w:rFonts w:ascii="Times New Roman" w:cs="Times New Roman" w:eastAsia="Times New Roman" w:hAnsi="Times New Roman"/>
          <w:sz w:val="22"/>
          <w:szCs w:val="22"/>
        </w:rPr>
        <w:t xml:space="preserve">Phase 2 consists of semi-structured focus groups of 60–75 minutes each, designed to explore the motivations, beliefs, and social influences underlying the patterns identified in Phase 1. A structured discussion guide will be developed based on Phase 1 findings, ensuring analytical coherence between the two phases (</w:t>
      </w:r>
      <w:r>
        <w:rPr>
          <w:rFonts w:ascii="Times New Roman" w:cs="Times New Roman" w:eastAsia="Times New Roman" w:hAnsi="Times New Roman"/>
          <w:i w:val="false"/>
          <w:iCs w:val="false"/>
          <w:sz w:val="22"/>
          <w:szCs w:val="22"/>
        </w:rPr>
        <w:t xml:space="preserve">Bryman, 2016</w:t>
      </w:r>
      <w:r>
        <w:rPr>
          <w:rFonts w:ascii="Times New Roman" w:cs="Times New Roman" w:eastAsia="Times New Roman" w:hAnsi="Times New Roman"/>
          <w:sz w:val="22"/>
          <w:szCs w:val="22"/>
        </w:rPr>
        <w:t xml:space="preserve">). Sessions will be audio-recorded with participant consent, transcribed verbatim, and analysed using thematic analysis following the six-phase framework established by </w:t>
      </w:r>
      <w:r>
        <w:rPr>
          <w:rFonts w:ascii="Times New Roman" w:cs="Times New Roman" w:eastAsia="Times New Roman" w:hAnsi="Times New Roman"/>
          <w:i w:val="false"/>
          <w:iCs w:val="false"/>
          <w:sz w:val="22"/>
          <w:szCs w:val="22"/>
        </w:rPr>
        <w:t xml:space="preserve">Braun and Clarke (2006)</w:t>
      </w:r>
      <w:r>
        <w:rPr>
          <w:rFonts w:ascii="Times New Roman" w:cs="Times New Roman" w:eastAsia="Times New Roman" w:hAnsi="Times New Roman"/>
          <w:sz w:val="22"/>
          <w:szCs w:val="22"/>
        </w:rPr>
        <w:t xml:space="preserve">, supported by NVivo 14 qualitative analysis software. Member checking of key themes will be conducted to enhance credibility (</w:t>
      </w:r>
      <w:r>
        <w:rPr>
          <w:rFonts w:ascii="Times New Roman" w:cs="Times New Roman" w:eastAsia="Times New Roman" w:hAnsi="Times New Roman"/>
          <w:i w:val="false"/>
          <w:iCs w:val="false"/>
          <w:sz w:val="22"/>
          <w:szCs w:val="22"/>
        </w:rPr>
        <w:t xml:space="preserve">Corbin and Strauss, 2015</w:t>
      </w:r>
      <w:r>
        <w:rPr>
          <w:rFonts w:ascii="Times New Roman" w:cs="Times New Roman" w:eastAsia="Times New Roman" w:hAnsi="Times New Roman"/>
          <w:sz w:val="22"/>
          <w:szCs w:val="22"/>
        </w:rPr>
        <w:t xml:space="preserve">).</w:t>
      </w:r>
    </w:p>
    <w:p>
      <w:pPr>
        <w:pStyle w:val="Heading2"/>
        <w:spacing w:after="120" w:before="240"/>
      </w:pPr>
      <w:r>
        <w:rPr>
          <w:rFonts w:ascii="Arial" w:cs="Arial" w:eastAsia="Arial" w:hAnsi="Arial"/>
          <w:b/>
          <w:bCs/>
          <w:sz w:val="24"/>
          <w:szCs w:val="24"/>
        </w:rPr>
        <w:t xml:space="preserve">3.4 Population and Sampling</w:t>
      </w:r>
    </w:p>
    <w:p>
      <w:pPr>
        <w:spacing w:after="100" w:before="100" w:line="480"/>
        <w:jc w:val="both"/>
      </w:pPr>
      <w:r>
        <w:rPr>
          <w:rFonts w:ascii="Times New Roman" w:cs="Times New Roman" w:eastAsia="Times New Roman" w:hAnsi="Times New Roman"/>
          <w:sz w:val="22"/>
          <w:szCs w:val="22"/>
        </w:rPr>
        <w:t xml:space="preserve">The target population comprises full-time and part-time students currently enrolled at UK universities, aged 18 to 30 years, representing an accessible subset of the approximately 2.9 million registered students nationally (HESA, 2023). For Phase 1, stratified random sampling will be employed, stratifying the sample by year of study (undergraduate/postgraduate), self-reported gender, and dietary preference (omnivore/vegetarian/vegan). This ensures proportional representation across meaningful subgroups and supports the validity of chi-square and regression analyses (</w:t>
      </w:r>
      <w:r>
        <w:rPr>
          <w:rFonts w:ascii="Times New Roman" w:cs="Times New Roman" w:eastAsia="Times New Roman" w:hAnsi="Times New Roman"/>
          <w:i w:val="false"/>
          <w:iCs w:val="false"/>
          <w:sz w:val="22"/>
          <w:szCs w:val="22"/>
        </w:rPr>
        <w:t xml:space="preserve">Saunders, Lewis and Thornhill, 2019</w:t>
      </w:r>
      <w:r>
        <w:rPr>
          <w:rFonts w:ascii="Times New Roman" w:cs="Times New Roman" w:eastAsia="Times New Roman" w:hAnsi="Times New Roman"/>
          <w:sz w:val="22"/>
          <w:szCs w:val="22"/>
        </w:rPr>
        <w:t xml:space="preserve">). A minimum sample of n = 210 is targeted for Phase 1, exceeding the threshold recommended for reliable multivariate analysis.</w:t>
      </w:r>
    </w:p>
    <w:p>
      <w:pPr>
        <w:spacing w:after="100" w:before="100" w:line="480"/>
        <w:jc w:val="both"/>
      </w:pPr>
      <w:r>
        <w:rPr>
          <w:rFonts w:ascii="Times New Roman" w:cs="Times New Roman" w:eastAsia="Times New Roman" w:hAnsi="Times New Roman"/>
          <w:sz w:val="22"/>
          <w:szCs w:val="22"/>
        </w:rPr>
        <w:t xml:space="preserve">For Phase 2, purposive sampling will be used to recruit four focus groups of 5–7 participants each (total n = 20–28), selected to ensure diversity in year of study, academic discipline, dietary awareness, and social media usage. This strategy maximises interpretive range within a manageable qualitative sample (</w:t>
      </w:r>
      <w:r>
        <w:rPr>
          <w:rFonts w:ascii="Times New Roman" w:cs="Times New Roman" w:eastAsia="Times New Roman" w:hAnsi="Times New Roman"/>
          <w:i w:val="false"/>
          <w:iCs w:val="false"/>
          <w:sz w:val="22"/>
          <w:szCs w:val="22"/>
        </w:rPr>
        <w:t xml:space="preserve">Bryman, 2016</w:t>
      </w:r>
      <w:r>
        <w:rPr>
          <w:rFonts w:ascii="Times New Roman" w:cs="Times New Roman" w:eastAsia="Times New Roman" w:hAnsi="Times New Roman"/>
          <w:sz w:val="22"/>
          <w:szCs w:val="22"/>
        </w:rPr>
        <w:t xml:space="preserve">). Recruitment for both phases will be managed through university student services, academic department contacts, and student union notice boards.</w:t>
      </w:r>
    </w:p>
    <w:p>
      <w:pPr>
        <w:pStyle w:val="Heading2"/>
        <w:spacing w:after="120" w:before="240"/>
      </w:pPr>
      <w:r>
        <w:rPr>
          <w:rFonts w:ascii="Arial" w:cs="Arial" w:eastAsia="Arial" w:hAnsi="Arial"/>
          <w:b/>
          <w:bCs/>
          <w:sz w:val="24"/>
          <w:szCs w:val="24"/>
        </w:rPr>
        <w:t xml:space="preserve">3.5 Research Ethics</w:t>
      </w:r>
    </w:p>
    <w:p>
      <w:pPr>
        <w:spacing w:after="100" w:before="100" w:line="480"/>
        <w:jc w:val="both"/>
      </w:pPr>
      <w:r>
        <w:rPr>
          <w:rFonts w:ascii="Times New Roman" w:cs="Times New Roman" w:eastAsia="Times New Roman" w:hAnsi="Times New Roman"/>
          <w:sz w:val="22"/>
          <w:szCs w:val="22"/>
        </w:rPr>
        <w:t xml:space="preserve">Full ethics approval will be obtained from the UWL Research Ethics Panel prior to any data collection, in accordance with the university's ethics framework and the requirements of the British Sociological Association (BSA) ethics guidelines. All participation will be entirely voluntary, with the right to withdraw at any point without consequence. Participants will receive a written participant information sheet and provide signed informed consent prior to engagement. No personally identifiable information will be collected. All data will be stored on encrypted, password-protected, university-approved platforms, retained for a maximum of five years, and processed in full compliance with the UK General Data Protection Regulation (UK GDPR, 2018). Focus group participants will be reminded of confidentiality expectations prior to each session, and all transcripts will be anonymised before analysis.</w:t>
      </w:r>
    </w:p>
    <w:p>
      <w:pPr>
        <w:pageBreakBefore/>
      </w:pPr>
      <w:r>
        <w:t xml:space="preserve"/>
      </w:r>
    </w:p>
    <w:p>
      <w:pPr>
        <w:pStyle w:val="Heading1"/>
        <w:spacing w:after="160" w:before="320"/>
      </w:pPr>
      <w:r>
        <w:rPr>
          <w:rFonts w:ascii="Arial" w:cs="Arial" w:eastAsia="Arial" w:hAnsi="Arial"/>
          <w:b/>
          <w:bCs/>
          <w:sz w:val="28"/>
          <w:szCs w:val="28"/>
        </w:rPr>
        <w:t xml:space="preserve">References</w:t>
      </w:r>
    </w:p>
    <w:p>
      <w:pPr>
        <w:spacing w:after="80" w:before="80" w:line="480"/>
        <w:ind w:left="720" w:hanging="720"/>
        <w:jc w:val="both"/>
      </w:pPr>
      <w:r>
        <w:rPr>
          <w:rFonts w:ascii="Times New Roman" w:cs="Times New Roman" w:eastAsia="Times New Roman" w:hAnsi="Times New Roman"/>
          <w:sz w:val="22"/>
          <w:szCs w:val="22"/>
        </w:rPr>
        <w:t xml:space="preserve">Ajzen, I. (1991). The theory of planned behavior. Organizational Behavior and Human Decision Processes, 50(2), pp.179–211.</w:t>
      </w:r>
    </w:p>
    <w:p>
      <w:pPr>
        <w:spacing w:after="80" w:before="80" w:line="480"/>
        <w:ind w:left="720" w:hanging="720"/>
        <w:jc w:val="both"/>
      </w:pPr>
      <w:r>
        <w:rPr>
          <w:rFonts w:ascii="Times New Roman" w:cs="Times New Roman" w:eastAsia="Times New Roman" w:hAnsi="Times New Roman"/>
          <w:sz w:val="22"/>
          <w:szCs w:val="22"/>
        </w:rPr>
        <w:t xml:space="preserve">Annunziata, A. and Vecchio, R. (2013). Functional foods development in the European market: a consumer perspective. Journal of Functional Foods, 5(3), pp.1215–1231.</w:t>
      </w:r>
    </w:p>
    <w:p>
      <w:pPr>
        <w:spacing w:after="80" w:before="80" w:line="480"/>
        <w:ind w:left="720" w:hanging="720"/>
        <w:jc w:val="both"/>
      </w:pPr>
      <w:r>
        <w:rPr>
          <w:rFonts w:ascii="Times New Roman" w:cs="Times New Roman" w:eastAsia="Times New Roman" w:hAnsi="Times New Roman"/>
          <w:sz w:val="22"/>
          <w:szCs w:val="22"/>
        </w:rPr>
        <w:t xml:space="preserve">Becker, M.H. (1974). The health belief model and personal health behavior. Health Education Monographs, 2(4), pp.324–473.</w:t>
      </w:r>
    </w:p>
    <w:p>
      <w:pPr>
        <w:spacing w:after="80" w:before="80" w:line="480"/>
        <w:ind w:left="720" w:hanging="720"/>
        <w:jc w:val="both"/>
      </w:pPr>
      <w:r>
        <w:rPr>
          <w:rFonts w:ascii="Times New Roman" w:cs="Times New Roman" w:eastAsia="Times New Roman" w:hAnsi="Times New Roman"/>
          <w:sz w:val="22"/>
          <w:szCs w:val="22"/>
        </w:rPr>
        <w:t xml:space="preserve">Braun, V. and Clarke, V. (2006). Using thematic analysis in psychology. Qualitative Research in Psychology, 3(2), pp.77–101.</w:t>
      </w:r>
    </w:p>
    <w:p>
      <w:pPr>
        <w:spacing w:after="80" w:before="80" w:line="480"/>
        <w:ind w:left="720" w:hanging="720"/>
        <w:jc w:val="both"/>
      </w:pPr>
      <w:r>
        <w:rPr>
          <w:rFonts w:ascii="Times New Roman" w:cs="Times New Roman" w:eastAsia="Times New Roman" w:hAnsi="Times New Roman"/>
          <w:sz w:val="22"/>
          <w:szCs w:val="22"/>
        </w:rPr>
        <w:t xml:space="preserve">Bryman, A. (2016). Social research methods. 5th edn. Oxford: Oxford University Press.</w:t>
      </w:r>
    </w:p>
    <w:p>
      <w:pPr>
        <w:spacing w:after="80" w:before="80" w:line="480"/>
        <w:ind w:left="720" w:hanging="720"/>
        <w:jc w:val="both"/>
      </w:pPr>
      <w:r>
        <w:rPr>
          <w:rFonts w:ascii="Times New Roman" w:cs="Times New Roman" w:eastAsia="Times New Roman" w:hAnsi="Times New Roman"/>
          <w:sz w:val="22"/>
          <w:szCs w:val="22"/>
        </w:rPr>
        <w:t xml:space="preserve">Corbin, J. and Strauss, A. (2015). Basics of qualitative research: techniques and procedures for developing grounded theory. 4th edn. Thousand Oaks: SAGE.</w:t>
      </w:r>
    </w:p>
    <w:p>
      <w:pPr>
        <w:spacing w:after="80" w:before="80" w:line="480"/>
        <w:ind w:left="720" w:hanging="720"/>
        <w:jc w:val="both"/>
      </w:pPr>
      <w:r>
        <w:rPr>
          <w:rFonts w:ascii="Times New Roman" w:cs="Times New Roman" w:eastAsia="Times New Roman" w:hAnsi="Times New Roman"/>
          <w:sz w:val="22"/>
          <w:szCs w:val="22"/>
        </w:rPr>
        <w:t xml:space="preserve">Creswell, J.W. and Plano Clark, V.L. (2017). Designing and conducting mixed methods research. 3rd edn. Thousand Oaks: SAGE.</w:t>
      </w:r>
    </w:p>
    <w:p>
      <w:pPr>
        <w:spacing w:after="80" w:before="80" w:line="480"/>
        <w:ind w:left="720" w:hanging="720"/>
        <w:jc w:val="both"/>
      </w:pPr>
      <w:r>
        <w:rPr>
          <w:rFonts w:ascii="Times New Roman" w:cs="Times New Roman" w:eastAsia="Times New Roman" w:hAnsi="Times New Roman"/>
          <w:sz w:val="22"/>
          <w:szCs w:val="22"/>
        </w:rPr>
        <w:t xml:space="preserve">Deliens, T., Clarys, P., De Bourdeaudhuij, I. and Deforche, B. (2014). Determinants of eating behaviour in university students: a qualitative study using focus group discussions. BMC Public Health, 14(1), p.53.</w:t>
      </w:r>
    </w:p>
    <w:p>
      <w:pPr>
        <w:spacing w:after="80" w:before="80" w:line="480"/>
        <w:ind w:left="720" w:hanging="720"/>
        <w:jc w:val="both"/>
      </w:pPr>
      <w:r>
        <w:rPr>
          <w:rFonts w:ascii="Times New Roman" w:cs="Times New Roman" w:eastAsia="Times New Roman" w:hAnsi="Times New Roman"/>
          <w:sz w:val="22"/>
          <w:szCs w:val="22"/>
        </w:rPr>
        <w:t xml:space="preserve">Dimidi, E., Cox, S.R., Rossi, M. and Whelan, K. (2019). Fermented foods: definitions and characteristics, impact on the gut microbiota and effects on gastrointestinal health and disease. Nutrients, 11(8), p.1806.</w:t>
      </w:r>
    </w:p>
    <w:p>
      <w:pPr>
        <w:spacing w:after="80" w:before="80" w:line="480"/>
        <w:ind w:left="720" w:hanging="720"/>
        <w:jc w:val="both"/>
      </w:pPr>
      <w:r>
        <w:rPr>
          <w:rFonts w:ascii="Times New Roman" w:cs="Times New Roman" w:eastAsia="Times New Roman" w:hAnsi="Times New Roman"/>
          <w:sz w:val="22"/>
          <w:szCs w:val="22"/>
        </w:rPr>
        <w:t xml:space="preserve">El Sohaimy, S.A. (2012). Functional foods and nutraceuticals: modern approach to food science. World Applied Sciences Journal, 20(5), pp.691–708.</w:t>
      </w:r>
    </w:p>
    <w:p>
      <w:pPr>
        <w:spacing w:after="80" w:before="80" w:line="480"/>
        <w:ind w:left="720" w:hanging="720"/>
        <w:jc w:val="both"/>
      </w:pPr>
      <w:r>
        <w:rPr>
          <w:rFonts w:ascii="Times New Roman" w:cs="Times New Roman" w:eastAsia="Times New Roman" w:hAnsi="Times New Roman"/>
          <w:sz w:val="22"/>
          <w:szCs w:val="22"/>
        </w:rPr>
        <w:t xml:space="preserve">Faber, I., Adamse, C., Doets, E.L., Hoevenaars, F., Dhonukshe-Rutten, R. and de Groot, C. (2020). Consumer understanding of probiotic and prebiotic labels: a systematic review. International Journal of Food Science and Technology, 55(2), pp.551–559.</w:t>
      </w:r>
    </w:p>
    <w:p>
      <w:pPr>
        <w:spacing w:after="80" w:before="80" w:line="480"/>
        <w:ind w:left="720" w:hanging="720"/>
        <w:jc w:val="both"/>
      </w:pPr>
      <w:r>
        <w:rPr>
          <w:rFonts w:ascii="Times New Roman" w:cs="Times New Roman" w:eastAsia="Times New Roman" w:hAnsi="Times New Roman"/>
          <w:sz w:val="22"/>
          <w:szCs w:val="22"/>
        </w:rPr>
        <w:t xml:space="preserve">Gibson, G.R., Hutkins, R., Sanders, M.E., Prescott, S.L., Reimer, R.A., Salminen, S.J., Scott, K., Stanton, C., Swanson, K.S., Cani, P.D., Verbeke, K. and Reid, G. (2017). Expert consensus document: The International Scientific Association for Probiotics and Prebiotics (ISAPP) consensus statement on the definition and scope of prebiotics. Nature Reviews Gastroenterology and Hepatology, 14(8), pp.491–502.</w:t>
      </w:r>
    </w:p>
    <w:p>
      <w:pPr>
        <w:spacing w:after="80" w:before="80" w:line="480"/>
        <w:ind w:left="720" w:hanging="720"/>
        <w:jc w:val="both"/>
      </w:pPr>
      <w:r>
        <w:rPr>
          <w:rFonts w:ascii="Times New Roman" w:cs="Times New Roman" w:eastAsia="Times New Roman" w:hAnsi="Times New Roman"/>
          <w:sz w:val="22"/>
          <w:szCs w:val="22"/>
        </w:rPr>
        <w:t xml:space="preserve">Grand View Research (2023). Probiotic market size, share and trends analysis report to 2030. San Francisco: Grand View Research.</w:t>
      </w:r>
    </w:p>
    <w:p>
      <w:pPr>
        <w:spacing w:after="80" w:before="80" w:line="480"/>
        <w:ind w:left="720" w:hanging="720"/>
        <w:jc w:val="both"/>
      </w:pPr>
      <w:r>
        <w:rPr>
          <w:rFonts w:ascii="Times New Roman" w:cs="Times New Roman" w:eastAsia="Times New Roman" w:hAnsi="Times New Roman"/>
          <w:sz w:val="22"/>
          <w:szCs w:val="22"/>
        </w:rPr>
        <w:t xml:space="preserve">HESA (2023). Higher Education Student Statistics: UK, 2021–22. Cheltenham: Higher Education Statistics Agency.</w:t>
      </w:r>
    </w:p>
    <w:p>
      <w:pPr>
        <w:spacing w:after="80" w:before="80" w:line="480"/>
        <w:ind w:left="720" w:hanging="720"/>
        <w:jc w:val="both"/>
      </w:pPr>
      <w:r>
        <w:rPr>
          <w:rFonts w:ascii="Times New Roman" w:cs="Times New Roman" w:eastAsia="Times New Roman" w:hAnsi="Times New Roman"/>
          <w:sz w:val="22"/>
          <w:szCs w:val="22"/>
        </w:rPr>
        <w:t xml:space="preserve">Hill, C., Guarner, F., Reid, G., Gibson, G.R., Merenstein, D.J., Pot, B., Morelli, L., Canani, R.B., Flint, H.J., Salminen, S., Calder, P.C. and Sanders, M.E. (2014). Expert consensus document: the International Scientific Association for Probiotics and Prebiotics consensus statement on the scope and appropriate use of the term probiotic. Nature Reviews Gastroenterology and Hepatology, 11(8), pp.506–514.</w:t>
      </w:r>
    </w:p>
    <w:p>
      <w:pPr>
        <w:spacing w:after="80" w:before="80" w:line="480"/>
        <w:ind w:left="720" w:hanging="720"/>
        <w:jc w:val="both"/>
      </w:pPr>
      <w:r>
        <w:rPr>
          <w:rFonts w:ascii="Times New Roman" w:cs="Times New Roman" w:eastAsia="Times New Roman" w:hAnsi="Times New Roman"/>
          <w:sz w:val="22"/>
          <w:szCs w:val="22"/>
        </w:rPr>
        <w:t xml:space="preserve">Kotilainen, L., Rajalahti, R., Ragasa, C. and Pehu, E. (2006). Health enhancing foods: opportunities for strengthening the sector in developing countries. Agriculture and Rural Development Discussion Paper 30. Washington DC: World Bank.</w:t>
      </w:r>
    </w:p>
    <w:p>
      <w:pPr>
        <w:spacing w:after="80" w:before="80" w:line="480"/>
        <w:ind w:left="720" w:hanging="720"/>
        <w:jc w:val="both"/>
      </w:pPr>
      <w:r>
        <w:rPr>
          <w:rFonts w:ascii="Times New Roman" w:cs="Times New Roman" w:eastAsia="Times New Roman" w:hAnsi="Times New Roman"/>
          <w:sz w:val="22"/>
          <w:szCs w:val="22"/>
        </w:rPr>
        <w:t xml:space="preserve">Likert, R. (1932). A technique for the measurement of attitudes. Archives of Psychology, 22(140), pp.1–55.</w:t>
      </w:r>
    </w:p>
    <w:p>
      <w:pPr>
        <w:spacing w:after="80" w:before="80" w:line="480"/>
        <w:ind w:left="720" w:hanging="720"/>
        <w:jc w:val="both"/>
      </w:pPr>
      <w:r>
        <w:rPr>
          <w:rFonts w:ascii="Times New Roman" w:cs="Times New Roman" w:eastAsia="Times New Roman" w:hAnsi="Times New Roman"/>
          <w:sz w:val="22"/>
          <w:szCs w:val="22"/>
        </w:rPr>
        <w:t xml:space="preserve">Marco, M.L., Heeney, D., Binda, S., Cifelli, C.J., Cotter, P.D., Foligné, B., Gänzle, M., Kort, R., Pasin, G., Pihlanto, A., Smid, E.J. and Hutkins, R. (2017). Health benefits of fermented foods: microbiota and beyond. Current Opinion in Biotechnology, 44, pp.94–102.</w:t>
      </w:r>
    </w:p>
    <w:p>
      <w:pPr>
        <w:spacing w:after="80" w:before="80" w:line="480"/>
        <w:ind w:left="720" w:hanging="720"/>
        <w:jc w:val="both"/>
      </w:pPr>
      <w:r>
        <w:rPr>
          <w:rFonts w:ascii="Times New Roman" w:cs="Times New Roman" w:eastAsia="Times New Roman" w:hAnsi="Times New Roman"/>
          <w:sz w:val="22"/>
          <w:szCs w:val="22"/>
        </w:rPr>
        <w:t xml:space="preserve">Markowiak, P. and Slizewska, K. (2017). Effects of probiotics, prebiotics and synbiotics on human health. Nutrients, 9(9), p.1021.</w:t>
      </w:r>
    </w:p>
    <w:p>
      <w:pPr>
        <w:spacing w:after="80" w:before="80" w:line="480"/>
        <w:ind w:left="720" w:hanging="720"/>
        <w:jc w:val="both"/>
      </w:pPr>
      <w:r>
        <w:rPr>
          <w:rFonts w:ascii="Times New Roman" w:cs="Times New Roman" w:eastAsia="Times New Roman" w:hAnsi="Times New Roman"/>
          <w:sz w:val="22"/>
          <w:szCs w:val="22"/>
        </w:rPr>
        <w:t xml:space="preserve">Mintel Group (2022). Gut health and digestive wellness: UK market report 2022. London: Mintel Group Ltd.</w:t>
      </w:r>
    </w:p>
    <w:p>
      <w:pPr>
        <w:spacing w:after="80" w:before="80" w:line="480"/>
        <w:ind w:left="720" w:hanging="720"/>
        <w:jc w:val="both"/>
      </w:pPr>
      <w:r>
        <w:rPr>
          <w:rFonts w:ascii="Times New Roman" w:cs="Times New Roman" w:eastAsia="Times New Roman" w:hAnsi="Times New Roman"/>
          <w:sz w:val="22"/>
          <w:szCs w:val="22"/>
        </w:rPr>
        <w:t xml:space="preserve">Niva, M. (2007). 'All foods affect health': understandings of functional foods and healthy eating among health-oriented Finns. Appetite, 48(3), pp.384–393.</w:t>
      </w:r>
    </w:p>
    <w:p>
      <w:pPr>
        <w:spacing w:after="80" w:before="80" w:line="480"/>
        <w:ind w:left="720" w:hanging="720"/>
        <w:jc w:val="both"/>
      </w:pPr>
      <w:r>
        <w:rPr>
          <w:rFonts w:ascii="Times New Roman" w:cs="Times New Roman" w:eastAsia="Times New Roman" w:hAnsi="Times New Roman"/>
          <w:sz w:val="22"/>
          <w:szCs w:val="22"/>
        </w:rPr>
        <w:t xml:space="preserve">Ozen, A.E., Pons, A. and Tur, J.A. (2012). Worldwide consumption of functional foods: a systematic review. Nutrition Reviews, 70(8), pp.472–481.</w:t>
      </w:r>
    </w:p>
    <w:p>
      <w:pPr>
        <w:spacing w:after="80" w:before="80" w:line="480"/>
        <w:ind w:left="720" w:hanging="720"/>
        <w:jc w:val="both"/>
      </w:pPr>
      <w:r>
        <w:rPr>
          <w:rFonts w:ascii="Times New Roman" w:cs="Times New Roman" w:eastAsia="Times New Roman" w:hAnsi="Times New Roman"/>
          <w:sz w:val="22"/>
          <w:szCs w:val="22"/>
        </w:rPr>
        <w:t xml:space="preserve">Pallant, J. (2020). SPSS survival manual: a step-by-step guide to data analysis using IBM SPSS. 7th edn. Maidenhead: Open University Press.</w:t>
      </w:r>
    </w:p>
    <w:p>
      <w:pPr>
        <w:spacing w:after="80" w:before="80" w:line="480"/>
        <w:ind w:left="720" w:hanging="720"/>
        <w:jc w:val="both"/>
      </w:pPr>
      <w:r>
        <w:rPr>
          <w:rFonts w:ascii="Times New Roman" w:cs="Times New Roman" w:eastAsia="Times New Roman" w:hAnsi="Times New Roman"/>
          <w:sz w:val="22"/>
          <w:szCs w:val="22"/>
        </w:rPr>
        <w:t xml:space="preserve">Roberfroid, M.B. (2000). Prebiotics and probiotics: are they functional foods? American Journal of Clinical Nutrition, 71(6), pp.1682S–1687S.</w:t>
      </w:r>
    </w:p>
    <w:p>
      <w:pPr>
        <w:spacing w:after="80" w:before="80" w:line="480"/>
        <w:ind w:left="720" w:hanging="720"/>
        <w:jc w:val="both"/>
      </w:pPr>
      <w:r>
        <w:rPr>
          <w:rFonts w:ascii="Times New Roman" w:cs="Times New Roman" w:eastAsia="Times New Roman" w:hAnsi="Times New Roman"/>
          <w:sz w:val="22"/>
          <w:szCs w:val="22"/>
        </w:rPr>
        <w:t xml:space="preserve">Saunders, M., Lewis, P. and Thornhill, A. (2019). Research methods for business students. 8th edn. Harlow: Pearson Education.</w:t>
      </w:r>
    </w:p>
    <w:p>
      <w:pPr>
        <w:spacing w:after="80" w:before="80" w:line="480"/>
        <w:ind w:left="720" w:hanging="720"/>
        <w:jc w:val="both"/>
      </w:pPr>
      <w:r>
        <w:rPr>
          <w:rFonts w:ascii="Times New Roman" w:cs="Times New Roman" w:eastAsia="Times New Roman" w:hAnsi="Times New Roman"/>
          <w:sz w:val="22"/>
          <w:szCs w:val="22"/>
        </w:rPr>
        <w:t xml:space="preserve">Stanton, C., Ross, R.P., Fitzgerald, G.F. and Van Sinderen, D. (2005). Fermented functional foods based on probiotics and their biogenic metabolites. Current Opinion in Biotechnology, 16(2), pp.198–203.</w:t>
      </w:r>
    </w:p>
    <w:p>
      <w:pPr>
        <w:spacing w:after="80" w:before="80" w:line="480"/>
        <w:ind w:left="720" w:hanging="720"/>
        <w:jc w:val="both"/>
      </w:pPr>
      <w:r>
        <w:rPr>
          <w:rFonts w:ascii="Times New Roman" w:cs="Times New Roman" w:eastAsia="Times New Roman" w:hAnsi="Times New Roman"/>
          <w:sz w:val="22"/>
          <w:szCs w:val="22"/>
        </w:rPr>
        <w:t xml:space="preserve">UK General Data Protection Regulation (2018). UK GDPR. London: Information Commissioner's Office.</w:t>
      </w:r>
    </w:p>
    <w:p>
      <w:pPr>
        <w:spacing w:after="80" w:before="80" w:line="480"/>
        <w:ind w:left="720" w:hanging="720"/>
        <w:jc w:val="both"/>
      </w:pPr>
      <w:r>
        <w:rPr>
          <w:rFonts w:ascii="Times New Roman" w:cs="Times New Roman" w:eastAsia="Times New Roman" w:hAnsi="Times New Roman"/>
          <w:sz w:val="22"/>
          <w:szCs w:val="22"/>
        </w:rPr>
        <w:t xml:space="preserve">Urala, N. and Lähteenmäki, L. (2007). Consumers' changing attitudes towards functional foods. Food Quality and Preference, 18(1), pp.1–12.</w:t>
      </w:r>
    </w:p>
    <w:p>
      <w:pPr>
        <w:spacing w:after="80" w:before="80" w:line="480"/>
        <w:ind w:left="720" w:hanging="720"/>
        <w:jc w:val="both"/>
      </w:pPr>
      <w:r>
        <w:rPr>
          <w:rFonts w:ascii="Times New Roman" w:cs="Times New Roman" w:eastAsia="Times New Roman" w:hAnsi="Times New Roman"/>
          <w:sz w:val="22"/>
          <w:szCs w:val="22"/>
        </w:rPr>
        <w:t xml:space="preserve">Verbeke, W. (2005). Consumer acceptance of functional foods: socio-demographic, cognitive and attitudinal determinants. Food Quality and Preference, 16(1), pp.45–57.</w:t>
      </w:r>
    </w:p>
    <w:p>
      <w:pPr>
        <w:pageBreakBefore/>
      </w:pPr>
      <w:r>
        <w:t xml:space="preserve"/>
      </w:r>
    </w:p>
    <w:p>
      <w:pPr>
        <w:pStyle w:val="Heading1"/>
        <w:spacing w:after="160" w:before="320"/>
      </w:pPr>
      <w:r>
        <w:rPr>
          <w:rFonts w:ascii="Arial" w:cs="Arial" w:eastAsia="Arial" w:hAnsi="Arial"/>
          <w:b/>
          <w:bCs/>
          <w:sz w:val="28"/>
          <w:szCs w:val="28"/>
        </w:rPr>
        <w:t xml:space="preserve">Appendix A: Research Instrument (Questionnaire Draft)</w:t>
      </w:r>
    </w:p>
    <w:p>
      <w:pPr>
        <w:spacing w:after="120" w:before="80"/>
      </w:pPr>
      <w:r>
        <w:rPr>
          <w:rFonts w:ascii="Arial" w:cs="Arial" w:eastAsia="Arial" w:hAnsi="Arial"/>
          <w:b/>
          <w:bCs/>
          <w:sz w:val="22"/>
          <w:szCs w:val="22"/>
        </w:rPr>
        <w:t xml:space="preserve">Consumer Awareness and Perceptions of Gut-Health Functional Foods Among UK University Students</w:t>
      </w:r>
    </w:p>
    <w:p>
      <w:pPr>
        <w:spacing w:after="100" w:before="100" w:line="480"/>
        <w:jc w:val="both"/>
      </w:pPr>
      <w:r>
        <w:rPr>
          <w:rFonts w:ascii="Times New Roman" w:cs="Times New Roman" w:eastAsia="Times New Roman" w:hAnsi="Times New Roman"/>
          <w:sz w:val="22"/>
          <w:szCs w:val="22"/>
        </w:rPr>
        <w:t xml:space="preserve">Thank you for taking part in this study. This questionnaire should take approximately 10–12 minutes to complete. All responses are anonymous and confidential. Participation is entirely voluntary. Adapted from Verbeke (2005) and Urala and Lahteenmäki (2007).</w:t>
      </w:r>
    </w:p>
    <w:p>
      <w:r>
        <w:t xml:space="preserve"/>
      </w:r>
    </w:p>
    <w:p>
      <w:pPr>
        <w:spacing w:after="100" w:before="200"/>
      </w:pPr>
      <w:r>
        <w:rPr>
          <w:rFonts w:ascii="Arial" w:cs="Arial" w:eastAsia="Arial" w:hAnsi="Arial"/>
          <w:b/>
          <w:bCs/>
          <w:sz w:val="22"/>
          <w:szCs w:val="22"/>
        </w:rPr>
        <w:t xml:space="preserve">SECTION A – Demographic Information</w:t>
      </w:r>
    </w:p>
    <w:p>
      <w:pPr>
        <w:pStyle w:val="ListParagraph"/>
        <w:numPr>
          <w:ilvl w:val="0"/>
          <w:numId w:val="2"/>
        </w:numPr>
        <w:spacing w:after="80" w:before="80" w:line="480"/>
        <w:jc w:val="both"/>
      </w:pPr>
      <w:r>
        <w:rPr>
          <w:rFonts w:ascii="Times New Roman" w:cs="Times New Roman" w:eastAsia="Times New Roman" w:hAnsi="Times New Roman"/>
          <w:sz w:val="22"/>
          <w:szCs w:val="22"/>
        </w:rPr>
        <w:t xml:space="preserve">A1. What is your current year of study?   ☐ Year 1   ☐ Year 2   ☐ Year 3   ☐ Postgraduate</w:t>
      </w:r>
    </w:p>
    <w:p>
      <w:pPr>
        <w:pStyle w:val="ListParagraph"/>
        <w:numPr>
          <w:ilvl w:val="0"/>
          <w:numId w:val="2"/>
        </w:numPr>
        <w:spacing w:after="80" w:before="80" w:line="480"/>
        <w:jc w:val="both"/>
      </w:pPr>
      <w:r>
        <w:rPr>
          <w:rFonts w:ascii="Times New Roman" w:cs="Times New Roman" w:eastAsia="Times New Roman" w:hAnsi="Times New Roman"/>
          <w:sz w:val="22"/>
          <w:szCs w:val="22"/>
        </w:rPr>
        <w:t xml:space="preserve">A2. What is your gender?   ☐ Male   ☐ Female   ☐ Non-binary   ☐ Prefer not to say</w:t>
      </w:r>
    </w:p>
    <w:p>
      <w:pPr>
        <w:pStyle w:val="ListParagraph"/>
        <w:numPr>
          <w:ilvl w:val="0"/>
          <w:numId w:val="2"/>
        </w:numPr>
        <w:spacing w:after="80" w:before="80" w:line="480"/>
        <w:jc w:val="both"/>
      </w:pPr>
      <w:r>
        <w:rPr>
          <w:rFonts w:ascii="Times New Roman" w:cs="Times New Roman" w:eastAsia="Times New Roman" w:hAnsi="Times New Roman"/>
          <w:sz w:val="22"/>
          <w:szCs w:val="22"/>
        </w:rPr>
        <w:t xml:space="preserve">A3. What is your age group?   ☐ 18–21   ☐ 22–25   ☐ 26–30   ☐ Over 30</w:t>
      </w:r>
    </w:p>
    <w:p>
      <w:pPr>
        <w:pStyle w:val="ListParagraph"/>
        <w:numPr>
          <w:ilvl w:val="0"/>
          <w:numId w:val="2"/>
        </w:numPr>
        <w:spacing w:after="80" w:before="80" w:line="480"/>
        <w:jc w:val="both"/>
      </w:pPr>
      <w:r>
        <w:rPr>
          <w:rFonts w:ascii="Times New Roman" w:cs="Times New Roman" w:eastAsia="Times New Roman" w:hAnsi="Times New Roman"/>
          <w:sz w:val="22"/>
          <w:szCs w:val="22"/>
        </w:rPr>
        <w:t xml:space="preserve">A4. What best describes your diet?   ☐ Omnivore   ☐ Vegetarian   ☐ Vegan   ☐ Other</w:t>
      </w:r>
    </w:p>
    <w:p>
      <w:pPr>
        <w:pStyle w:val="ListParagraph"/>
        <w:numPr>
          <w:ilvl w:val="0"/>
          <w:numId w:val="2"/>
        </w:numPr>
        <w:spacing w:after="80" w:before="80" w:line="480"/>
        <w:jc w:val="both"/>
      </w:pPr>
      <w:r>
        <w:rPr>
          <w:rFonts w:ascii="Times New Roman" w:cs="Times New Roman" w:eastAsia="Times New Roman" w:hAnsi="Times New Roman"/>
          <w:sz w:val="22"/>
          <w:szCs w:val="22"/>
        </w:rPr>
        <w:t xml:space="preserve">A5. What is your field of study?   ☐ Science/Health   ☐ Business   ☐ Arts/Humanities   ☐ Engineering/Technology   ☐ Other</w:t>
      </w:r>
    </w:p>
    <w:p>
      <w:r>
        <w:t xml:space="preserve"/>
      </w:r>
    </w:p>
    <w:p>
      <w:pPr>
        <w:spacing w:after="100" w:before="200"/>
      </w:pPr>
      <w:r>
        <w:rPr>
          <w:rFonts w:ascii="Arial" w:cs="Arial" w:eastAsia="Arial" w:hAnsi="Arial"/>
          <w:b/>
          <w:bCs/>
          <w:sz w:val="22"/>
          <w:szCs w:val="22"/>
        </w:rPr>
        <w:t xml:space="preserve">SECTION B – Awareness and Knowledge</w:t>
      </w:r>
    </w:p>
    <w:p>
      <w:pPr>
        <w:spacing w:after="100" w:before="100" w:line="480"/>
        <w:jc w:val="both"/>
      </w:pPr>
      <w:r>
        <w:rPr>
          <w:rFonts w:ascii="Times New Roman" w:cs="Times New Roman" w:eastAsia="Times New Roman" w:hAnsi="Times New Roman"/>
          <w:sz w:val="22"/>
          <w:szCs w:val="22"/>
        </w:rPr>
        <w:t xml:space="preserve">Please indicate whether you agree or disagree with the following statements (1 = Strongly Disagree, 5 = Strongly Agree):</w:t>
      </w:r>
    </w:p>
    <w:p>
      <w:pPr>
        <w:pStyle w:val="ListParagraph"/>
        <w:numPr>
          <w:ilvl w:val="0"/>
          <w:numId w:val="2"/>
        </w:numPr>
        <w:spacing w:after="80" w:before="80" w:line="480"/>
        <w:jc w:val="both"/>
      </w:pPr>
      <w:r>
        <w:rPr>
          <w:rFonts w:ascii="Times New Roman" w:cs="Times New Roman" w:eastAsia="Times New Roman" w:hAnsi="Times New Roman"/>
          <w:sz w:val="22"/>
          <w:szCs w:val="22"/>
        </w:rPr>
        <w:t xml:space="preserve">B1. I am aware of gut-health functional foods such as kombucha, probiotic yoghurt, and prebiotic cereals.   1  2  3  4  5</w:t>
      </w:r>
    </w:p>
    <w:p>
      <w:pPr>
        <w:pStyle w:val="ListParagraph"/>
        <w:numPr>
          <w:ilvl w:val="0"/>
          <w:numId w:val="2"/>
        </w:numPr>
        <w:spacing w:after="80" w:before="80" w:line="480"/>
        <w:jc w:val="both"/>
      </w:pPr>
      <w:r>
        <w:rPr>
          <w:rFonts w:ascii="Times New Roman" w:cs="Times New Roman" w:eastAsia="Times New Roman" w:hAnsi="Times New Roman"/>
          <w:sz w:val="22"/>
          <w:szCs w:val="22"/>
        </w:rPr>
        <w:t xml:space="preserve">B2. I can clearly explain what a probiotic product is.   1  2  3  4  5</w:t>
      </w:r>
    </w:p>
    <w:p>
      <w:pPr>
        <w:pStyle w:val="ListParagraph"/>
        <w:numPr>
          <w:ilvl w:val="0"/>
          <w:numId w:val="2"/>
        </w:numPr>
        <w:spacing w:after="80" w:before="80" w:line="480"/>
        <w:jc w:val="both"/>
      </w:pPr>
      <w:r>
        <w:rPr>
          <w:rFonts w:ascii="Times New Roman" w:cs="Times New Roman" w:eastAsia="Times New Roman" w:hAnsi="Times New Roman"/>
          <w:sz w:val="22"/>
          <w:szCs w:val="22"/>
        </w:rPr>
        <w:t xml:space="preserve">B3. I can clearly explain what a prebiotic product is.   1  2  3  4  5</w:t>
      </w:r>
    </w:p>
    <w:p>
      <w:pPr>
        <w:pStyle w:val="ListParagraph"/>
        <w:numPr>
          <w:ilvl w:val="0"/>
          <w:numId w:val="2"/>
        </w:numPr>
        <w:spacing w:after="80" w:before="80" w:line="480"/>
        <w:jc w:val="both"/>
      </w:pPr>
      <w:r>
        <w:rPr>
          <w:rFonts w:ascii="Times New Roman" w:cs="Times New Roman" w:eastAsia="Times New Roman" w:hAnsi="Times New Roman"/>
          <w:sz w:val="22"/>
          <w:szCs w:val="22"/>
        </w:rPr>
        <w:t xml:space="preserve">B4. I know the difference between probiotics and prebiotics.   1  2  3  4  5</w:t>
      </w:r>
    </w:p>
    <w:p>
      <w:pPr>
        <w:pStyle w:val="ListParagraph"/>
        <w:numPr>
          <w:ilvl w:val="0"/>
          <w:numId w:val="2"/>
        </w:numPr>
        <w:spacing w:after="80" w:before="80" w:line="480"/>
        <w:jc w:val="both"/>
      </w:pPr>
      <w:r>
        <w:rPr>
          <w:rFonts w:ascii="Times New Roman" w:cs="Times New Roman" w:eastAsia="Times New Roman" w:hAnsi="Times New Roman"/>
          <w:sz w:val="22"/>
          <w:szCs w:val="22"/>
        </w:rPr>
        <w:t xml:space="preserve">B5. I understand how gut-health products are claimed to benefit the human body.   1  2  3  4  5</w:t>
      </w:r>
    </w:p>
    <w:p>
      <w:r>
        <w:t xml:space="preserve"/>
      </w:r>
    </w:p>
    <w:p>
      <w:pPr>
        <w:spacing w:after="100" w:before="200"/>
      </w:pPr>
      <w:r>
        <w:rPr>
          <w:rFonts w:ascii="Arial" w:cs="Arial" w:eastAsia="Arial" w:hAnsi="Arial"/>
          <w:b/>
          <w:bCs/>
          <w:sz w:val="22"/>
          <w:szCs w:val="22"/>
        </w:rPr>
        <w:t xml:space="preserve">SECTION C – Attitudes and Beliefs</w:t>
      </w:r>
    </w:p>
    <w:p>
      <w:pPr>
        <w:pStyle w:val="ListParagraph"/>
        <w:numPr>
          <w:ilvl w:val="0"/>
          <w:numId w:val="2"/>
        </w:numPr>
        <w:spacing w:after="80" w:before="80" w:line="480"/>
        <w:jc w:val="both"/>
      </w:pPr>
      <w:r>
        <w:rPr>
          <w:rFonts w:ascii="Times New Roman" w:cs="Times New Roman" w:eastAsia="Times New Roman" w:hAnsi="Times New Roman"/>
          <w:sz w:val="22"/>
          <w:szCs w:val="22"/>
        </w:rPr>
        <w:t xml:space="preserve">C1. I believe that gut-health functional foods can genuinely improve my health.   1  2  3  4  5</w:t>
      </w:r>
    </w:p>
    <w:p>
      <w:pPr>
        <w:pStyle w:val="ListParagraph"/>
        <w:numPr>
          <w:ilvl w:val="0"/>
          <w:numId w:val="2"/>
        </w:numPr>
        <w:spacing w:after="80" w:before="80" w:line="480"/>
        <w:jc w:val="both"/>
      </w:pPr>
      <w:r>
        <w:rPr>
          <w:rFonts w:ascii="Times New Roman" w:cs="Times New Roman" w:eastAsia="Times New Roman" w:hAnsi="Times New Roman"/>
          <w:sz w:val="22"/>
          <w:szCs w:val="22"/>
        </w:rPr>
        <w:t xml:space="preserve">C2. I trust the health claims printed on gut-health product packaging.   1  2  3  4  5</w:t>
      </w:r>
    </w:p>
    <w:p>
      <w:pPr>
        <w:pStyle w:val="ListParagraph"/>
        <w:numPr>
          <w:ilvl w:val="0"/>
          <w:numId w:val="2"/>
        </w:numPr>
        <w:spacing w:after="80" w:before="80" w:line="480"/>
        <w:jc w:val="both"/>
      </w:pPr>
      <w:r>
        <w:rPr>
          <w:rFonts w:ascii="Times New Roman" w:cs="Times New Roman" w:eastAsia="Times New Roman" w:hAnsi="Times New Roman"/>
          <w:sz w:val="22"/>
          <w:szCs w:val="22"/>
        </w:rPr>
        <w:t xml:space="preserve">C3. I feel that gut-health products are good value for money.   1  2  3  4  5</w:t>
      </w:r>
    </w:p>
    <w:p>
      <w:pPr>
        <w:pStyle w:val="ListParagraph"/>
        <w:numPr>
          <w:ilvl w:val="0"/>
          <w:numId w:val="2"/>
        </w:numPr>
        <w:spacing w:after="80" w:before="80" w:line="480"/>
        <w:jc w:val="both"/>
      </w:pPr>
      <w:r>
        <w:rPr>
          <w:rFonts w:ascii="Times New Roman" w:cs="Times New Roman" w:eastAsia="Times New Roman" w:hAnsi="Times New Roman"/>
          <w:sz w:val="22"/>
          <w:szCs w:val="22"/>
        </w:rPr>
        <w:t xml:space="preserve">C4. I am concerned about the safety of functional food ingredients.   1  2  3  4  5</w:t>
      </w:r>
    </w:p>
    <w:p>
      <w:pPr>
        <w:pStyle w:val="ListParagraph"/>
        <w:numPr>
          <w:ilvl w:val="0"/>
          <w:numId w:val="2"/>
        </w:numPr>
        <w:spacing w:after="80" w:before="80" w:line="480"/>
        <w:jc w:val="both"/>
      </w:pPr>
      <w:r>
        <w:rPr>
          <w:rFonts w:ascii="Times New Roman" w:cs="Times New Roman" w:eastAsia="Times New Roman" w:hAnsi="Times New Roman"/>
          <w:sz w:val="22"/>
          <w:szCs w:val="22"/>
        </w:rPr>
        <w:t xml:space="preserve">C5. I believe that food is a better source of gut health than supplements.   1  2  3  4  5</w:t>
      </w:r>
    </w:p>
    <w:p>
      <w:r>
        <w:t xml:space="preserve"/>
      </w:r>
    </w:p>
    <w:p>
      <w:pPr>
        <w:spacing w:after="100" w:before="200"/>
      </w:pPr>
      <w:r>
        <w:rPr>
          <w:rFonts w:ascii="Arial" w:cs="Arial" w:eastAsia="Arial" w:hAnsi="Arial"/>
          <w:b/>
          <w:bCs/>
          <w:sz w:val="22"/>
          <w:szCs w:val="22"/>
        </w:rPr>
        <w:t xml:space="preserve">SECTION D – Purchasing Behaviour</w:t>
      </w:r>
    </w:p>
    <w:p>
      <w:pPr>
        <w:pStyle w:val="ListParagraph"/>
        <w:numPr>
          <w:ilvl w:val="0"/>
          <w:numId w:val="2"/>
        </w:numPr>
        <w:spacing w:after="80" w:before="80" w:line="480"/>
        <w:jc w:val="both"/>
      </w:pPr>
      <w:r>
        <w:rPr>
          <w:rFonts w:ascii="Times New Roman" w:cs="Times New Roman" w:eastAsia="Times New Roman" w:hAnsi="Times New Roman"/>
          <w:sz w:val="22"/>
          <w:szCs w:val="22"/>
        </w:rPr>
        <w:t xml:space="preserve">D1. I regularly purchase at least one gut-health functional food product.   1  2  3  4  5</w:t>
      </w:r>
    </w:p>
    <w:p>
      <w:pPr>
        <w:pStyle w:val="ListParagraph"/>
        <w:numPr>
          <w:ilvl w:val="0"/>
          <w:numId w:val="2"/>
        </w:numPr>
        <w:spacing w:after="80" w:before="80" w:line="480"/>
        <w:jc w:val="both"/>
      </w:pPr>
      <w:r>
        <w:rPr>
          <w:rFonts w:ascii="Times New Roman" w:cs="Times New Roman" w:eastAsia="Times New Roman" w:hAnsi="Times New Roman"/>
          <w:sz w:val="22"/>
          <w:szCs w:val="22"/>
        </w:rPr>
        <w:t xml:space="preserve">D2. Product labelling influences my decision to buy a gut-health product.   1  2  3  4  5</w:t>
      </w:r>
    </w:p>
    <w:p>
      <w:pPr>
        <w:pStyle w:val="ListParagraph"/>
        <w:numPr>
          <w:ilvl w:val="0"/>
          <w:numId w:val="2"/>
        </w:numPr>
        <w:spacing w:after="80" w:before="80" w:line="480"/>
        <w:jc w:val="both"/>
      </w:pPr>
      <w:r>
        <w:rPr>
          <w:rFonts w:ascii="Times New Roman" w:cs="Times New Roman" w:eastAsia="Times New Roman" w:hAnsi="Times New Roman"/>
          <w:sz w:val="22"/>
          <w:szCs w:val="22"/>
        </w:rPr>
        <w:t xml:space="preserve">D3. Price is the main barrier preventing me from buying gut-health products.   1  2  3  4  5</w:t>
      </w:r>
    </w:p>
    <w:p>
      <w:pPr>
        <w:pStyle w:val="ListParagraph"/>
        <w:numPr>
          <w:ilvl w:val="0"/>
          <w:numId w:val="2"/>
        </w:numPr>
        <w:spacing w:after="80" w:before="80" w:line="480"/>
        <w:jc w:val="both"/>
      </w:pPr>
      <w:r>
        <w:rPr>
          <w:rFonts w:ascii="Times New Roman" w:cs="Times New Roman" w:eastAsia="Times New Roman" w:hAnsi="Times New Roman"/>
          <w:sz w:val="22"/>
          <w:szCs w:val="22"/>
        </w:rPr>
        <w:t xml:space="preserve">D4. I have purchased a gut-health product after seeing it recommended on social media.   1  2  3  4  5</w:t>
      </w:r>
    </w:p>
    <w:p>
      <w:pPr>
        <w:pStyle w:val="ListParagraph"/>
        <w:numPr>
          <w:ilvl w:val="0"/>
          <w:numId w:val="2"/>
        </w:numPr>
        <w:spacing w:after="80" w:before="80" w:line="480"/>
        <w:jc w:val="both"/>
      </w:pPr>
      <w:r>
        <w:rPr>
          <w:rFonts w:ascii="Times New Roman" w:cs="Times New Roman" w:eastAsia="Times New Roman" w:hAnsi="Times New Roman"/>
          <w:sz w:val="22"/>
          <w:szCs w:val="22"/>
        </w:rPr>
        <w:t xml:space="preserve">D5. My friends' or family's recommendations influence my gut-health purchases.   1  2  3  4  5</w:t>
      </w:r>
    </w:p>
    <w:p>
      <w:r>
        <w:t xml:space="preserve"/>
      </w:r>
    </w:p>
    <w:p>
      <w:pPr>
        <w:spacing w:after="100" w:before="200"/>
      </w:pPr>
      <w:r>
        <w:rPr>
          <w:rFonts w:ascii="Arial" w:cs="Arial" w:eastAsia="Arial" w:hAnsi="Arial"/>
          <w:b/>
          <w:bCs/>
          <w:sz w:val="22"/>
          <w:szCs w:val="22"/>
        </w:rPr>
        <w:t xml:space="preserve">SECTION E – Information Sources</w:t>
      </w:r>
    </w:p>
    <w:p>
      <w:pPr>
        <w:pStyle w:val="ListParagraph"/>
        <w:numPr>
          <w:ilvl w:val="0"/>
          <w:numId w:val="2"/>
        </w:numPr>
        <w:spacing w:after="80" w:before="80" w:line="480"/>
        <w:jc w:val="both"/>
      </w:pPr>
      <w:r>
        <w:rPr>
          <w:rFonts w:ascii="Times New Roman" w:cs="Times New Roman" w:eastAsia="Times New Roman" w:hAnsi="Times New Roman"/>
          <w:sz w:val="22"/>
          <w:szCs w:val="22"/>
        </w:rPr>
        <w:t xml:space="preserve">E1. Please rank the following sources of gut-health information by importance (1 = most important):   Social media / Friends and family / Product packaging / GP or healthcare professional / University lectures</w:t>
      </w:r>
    </w:p>
    <w:p>
      <w:pPr>
        <w:pStyle w:val="ListParagraph"/>
        <w:numPr>
          <w:ilvl w:val="0"/>
          <w:numId w:val="2"/>
        </w:numPr>
        <w:spacing w:after="80" w:before="80" w:line="480"/>
        <w:jc w:val="both"/>
      </w:pPr>
      <w:r>
        <w:rPr>
          <w:rFonts w:ascii="Times New Roman" w:cs="Times New Roman" w:eastAsia="Times New Roman" w:hAnsi="Times New Roman"/>
          <w:sz w:val="22"/>
          <w:szCs w:val="22"/>
        </w:rPr>
        <w:t xml:space="preserve">E2. How many times per week do you see gut-health product content on social media?   ☐ Never   ☐ 1–2 times   ☐ 3–5 times   ☐ Daily   ☐ Multiple times daily</w:t>
      </w:r>
    </w:p>
    <w:p>
      <w:r>
        <w:t xml:space="preserve"/>
      </w:r>
    </w:p>
    <w:p>
      <w:pPr>
        <w:spacing w:after="100" w:before="100" w:line="480"/>
        <w:jc w:val="both"/>
      </w:pPr>
      <w:r>
        <w:rPr>
          <w:rFonts w:ascii="Times New Roman" w:cs="Times New Roman" w:eastAsia="Times New Roman" w:hAnsi="Times New Roman"/>
          <w:sz w:val="22"/>
          <w:szCs w:val="22"/>
        </w:rPr>
        <w:t xml:space="preserve">Thank you for completing this questionnaire. Your responses will be treated in strict confidence and used solely for academic research purposes.</w:t>
      </w:r>
    </w:p>
    <w:p>
      <w:pPr>
        <w:pageBreakBefore/>
      </w:pPr>
      <w:r>
        <w:t xml:space="preserve"/>
      </w:r>
    </w:p>
    <w:p>
      <w:pPr>
        <w:pStyle w:val="Heading1"/>
        <w:spacing w:after="160" w:before="320"/>
      </w:pPr>
      <w:r>
        <w:rPr>
          <w:rFonts w:ascii="Arial" w:cs="Arial" w:eastAsia="Arial" w:hAnsi="Arial"/>
          <w:b/>
          <w:bCs/>
          <w:sz w:val="28"/>
          <w:szCs w:val="28"/>
        </w:rPr>
        <w:t xml:space="preserve">Time Plan</w:t>
      </w:r>
    </w:p>
    <w:p>
      <w:pPr>
        <w:spacing w:after="100" w:before="100" w:line="480"/>
        <w:jc w:val="both"/>
      </w:pPr>
      <w:r>
        <w:rPr>
          <w:rFonts w:ascii="Times New Roman" w:cs="Times New Roman" w:eastAsia="Times New Roman" w:hAnsi="Times New Roman"/>
          <w:sz w:val="22"/>
          <w:szCs w:val="22"/>
        </w:rPr>
        <w:t xml:space="preserve">The following weekly schedule outlines the key activities from supervisor allocation to final submission (29 January 2027). Meetings with the supervisor are planned approximately every three to four weeks, in line with module guidelines.</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Period</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Activity</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Week 1–2 (May 2026)</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Supervisor allocation; refine research proposal; finalise research instrument</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Week 3–4 (May–Jun 2026)</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Submit ethics application; pilot questionnaire with 20 students</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Week 5 (Jun 2026)</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Receive ethics approval; begin Phase 1 data collection (questionnaire)</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Week 6–7 (Jun 2026)</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Close questionnaire; enter and clean data in SPSS; preliminary analysis</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Week 8 (Jul 2026)</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Phase 2 – Recruit focus group participants; confirm dates</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Week 9–10 (Jul 2026)</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Conduct 4 focus groups; transcribe recordings; NVivo coding</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Week 11–12 (Aug 2026)</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Write Literature Review chapter; submit draft to supervisor</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Week 13–14 (Sep 2026)</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Write Methodology chapter; incorporate supervisor feedback on Lit Review</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Week 15–16 (Sep–Oct 2026)</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Write Chapter 4 – Analysis and Discussion; meeting with supervisor</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Week 17–18 (Oct–Nov 2026)</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Write Introduction and Conclusion; compile references; full draft</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Week 19–20 (Nov–Dec 2026)</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Incorporate supervisor feedback; proofreading; format dissertation</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Week 21 (Jan 2027)</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Final submission – 29 January 2027 (23:59 via Turnitin)</w:t>
            </w:r>
          </w:p>
        </w:tc>
      </w:tr>
    </w:tbl>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jc w:val="center"/>
    </w:pP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jc w:val="right"/>
    </w:pPr>
    <w:r>
      <w:rPr>
        <w:rFonts w:ascii="Arial" w:cs="Arial" w:eastAsia="Arial" w:hAnsi="Arial"/>
        <w:color w:val="555555"/>
        <w:sz w:val="18"/>
        <w:szCs w:val="18"/>
      </w:rPr>
      <w:t xml:space="preserve">CA70013E Research Project  |  Student No: 34143280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2026-05-17T20:02:35.552Z</dcterms:created>
  <dcterms:modified xsi:type="dcterms:W3CDTF">2026-05-17T20:02:35.553Z</dcterms:modified>
</cp:coreProperties>
</file>

<file path=docProps/custom.xml><?xml version="1.0" encoding="utf-8"?>
<Properties xmlns="http://schemas.openxmlformats.org/officeDocument/2006/custom-properties" xmlns:vt="http://schemas.openxmlformats.org/officeDocument/2006/docPropsVTypes"/>
</file>