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F3864" w:val="clear"/>
            <w:tcMar>
              <w:top w:type="dxa" w:w="220"/>
              <w:left w:type="dxa" w:w="300"/>
              <w:bottom w:type="dxa" w:w="220"/>
              <w:right w:type="dxa" w:w="300"/>
            </w:tcMar>
          </w:tcPr>
          <w:p>
            <w:pPr>
              <w:jc w:val="center"/>
            </w:pPr>
            <w:r>
              <w:rPr>
                <w:rFonts w:ascii="Arial" w:cs="Arial" w:eastAsia="Arial" w:hAnsi="Arial"/>
                <w:b/>
                <w:bCs/>
                <w:color w:val="FFFFFF"/>
                <w:sz w:val="26"/>
                <w:szCs w:val="26"/>
              </w:rPr>
              <w:t xml:space="preserve">UNIVERSITY OF WEST LONDON</w:t>
            </w:r>
          </w:p>
          <w:p>
            <w:pPr>
              <w:spacing w:before="60"/>
              <w:jc w:val="center"/>
            </w:pPr>
            <w:r>
              <w:rPr>
                <w:rFonts w:ascii="Arial" w:cs="Arial" w:eastAsia="Arial" w:hAnsi="Arial"/>
                <w:color w:val="CCDDFF"/>
                <w:sz w:val="18"/>
                <w:szCs w:val="18"/>
              </w:rPr>
              <w:t xml:space="preserve">School of Nursing, Midwifery and Healthcare / Nutrition, Health and Wellbeing</w:t>
            </w:r>
          </w:p>
        </w:tc>
      </w:tr>
    </w:tbl>
    <w:p>
      <w:pPr>
        <w:spacing w:after="0" w:before="300"/>
      </w:pPr>
      <w:r>
        <w:t xml:space="preserve"/>
      </w:r>
    </w:p>
    <w:p>
      <w:pPr>
        <w:spacing w:after="80" w:before="80"/>
        <w:jc w:val="center"/>
      </w:pPr>
      <w:r>
        <w:rPr>
          <w:rFonts w:ascii="Arial" w:cs="Arial" w:eastAsia="Arial" w:hAnsi="Arial"/>
          <w:b/>
          <w:bCs/>
          <w:color w:val="2E5496"/>
          <w:sz w:val="22"/>
          <w:szCs w:val="22"/>
        </w:rPr>
        <w:t xml:space="preserve">CA70013E – Research Project  (60 Credits, Level 7)</w:t>
      </w:r>
    </w:p>
    <w:p>
      <w:pPr>
        <w:spacing w:after="240" w:before="40"/>
        <w:jc w:val="center"/>
      </w:pPr>
      <w:r>
        <w:rPr>
          <w:rFonts w:ascii="Arial" w:cs="Arial" w:eastAsia="Arial" w:hAnsi="Arial"/>
          <w:color w:val="555555"/>
          <w:sz w:val="20"/>
          <w:szCs w:val="20"/>
        </w:rPr>
        <w:t xml:space="preserve">Summative Assessment A2: Research Proposal</w:t>
      </w:r>
    </w:p>
    <w:p>
      <w:pPr>
        <w:pBdr>
          <w:bottom w:val="single" w:color="C00000" w:sz="12" w:space="1"/>
        </w:pBdr>
      </w:pPr>
      <w:r>
        <w:t xml:space="preserve"/>
      </w:r>
    </w:p>
    <w:p>
      <w:pPr>
        <w:spacing w:after="0" w:before="240"/>
      </w:pPr>
      <w:r>
        <w:t xml:space="preserve"/>
      </w:r>
    </w:p>
    <w:p>
      <w:pPr>
        <w:spacing w:after="240" w:before="120"/>
        <w:jc w:val="center"/>
      </w:pPr>
      <w:r>
        <w:rPr>
          <w:rFonts w:ascii="Arial" w:cs="Arial" w:eastAsia="Arial" w:hAnsi="Arial"/>
          <w:b/>
          <w:bCs/>
          <w:color w:val="1F3864"/>
          <w:sz w:val="34"/>
          <w:szCs w:val="34"/>
        </w:rPr>
        <w:t xml:space="preserve">Consumer Awareness and Perceptions of Gut-Health
Functional Foods Among University Students in the UK:
A Mixed-Methods Investigation</w:t>
      </w:r>
    </w:p>
    <w:p>
      <w:pPr>
        <w:spacing w:after="400" w:before="0"/>
        <w:jc w:val="center"/>
      </w:pPr>
      <w:r>
        <w:rPr>
          <w:rFonts w:ascii="Times New Roman" w:cs="Times New Roman" w:eastAsia="Times New Roman" w:hAnsi="Times New Roman"/>
          <w:i/>
          <w:iCs/>
          <w:color w:val="555555"/>
          <w:sz w:val="20"/>
          <w:szCs w:val="20"/>
        </w:rPr>
        <w:t xml:space="preserve">A mixed-methods investigation into knowledge, attitudes, purchasing behaviour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Proposal Details</w:t>
            </w:r>
          </w:p>
        </w:tc>
        <w:tc>
          <w:tcPr>
            <w:tcW w:type="dxa" w:w="6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Student Name</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Surendra</w:t>
            </w:r>
          </w:p>
        </w:tc>
      </w:tr>
      <w:tr>
        <w:tc>
          <w:tcPr>
            <w:tcW w:type="dxa" w:w="3000"/>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Student Number</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34143280</w:t>
            </w:r>
          </w:p>
        </w:tc>
      </w:tr>
      <w:tr>
        <w:tc>
          <w:tcPr>
            <w:tcW w:type="dxa" w:w="3000"/>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Supervisor</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 Neda Sattarzadeh</w:t>
            </w:r>
          </w:p>
        </w:tc>
      </w:tr>
      <w:tr>
        <w:tc>
          <w:tcPr>
            <w:tcW w:type="dxa" w:w="3000"/>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Module Code</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CA70013E – Research Project</w:t>
            </w:r>
          </w:p>
        </w:tc>
      </w:tr>
      <w:tr>
        <w:tc>
          <w:tcPr>
            <w:tcW w:type="dxa" w:w="3000"/>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Submission Date</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May 2026</w:t>
            </w:r>
          </w:p>
        </w:tc>
      </w:tr>
      <w:tr>
        <w:tc>
          <w:tcPr>
            <w:tcW w:type="dxa" w:w="3000"/>
            <w:tcBorders>
              <w:top w:val="single" w:color="AAAAAA" w:sz="1"/>
              <w:left w:val="single" w:color="AAAAAA" w:sz="1"/>
              <w:bottom w:val="single" w:color="AAAAAA" w:sz="1"/>
              <w:right w:val="single" w:color="AAAAAA" w:sz="1"/>
            </w:tcBorders>
            <w:shd w:fill="F2F4F8" w:val="clear"/>
            <w:tcMar>
              <w:top w:type="dxa" w:w="80"/>
              <w:left w:type="dxa" w:w="120"/>
              <w:bottom w:type="dxa" w:w="80"/>
              <w:right w:type="dxa" w:w="120"/>
            </w:tcMar>
          </w:tcPr>
          <w:p>
            <w:r>
              <w:rPr>
                <w:rFonts w:ascii="Arial" w:cs="Arial" w:eastAsia="Arial" w:hAnsi="Arial"/>
                <w:b/>
                <w:bCs/>
                <w:color w:val="1F3864"/>
                <w:sz w:val="20"/>
                <w:szCs w:val="20"/>
              </w:rPr>
              <w:t xml:space="preserve">Word Count</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~2,500 words (excluding references, appendix and time plan)</w:t>
            </w:r>
          </w:p>
        </w:tc>
      </w:tr>
    </w:tbl>
    <w:p>
      <w:pPr>
        <w:spacing w:after="0" w:before="3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00000" w:sz="8"/>
              <w:left w:val="none" w:color="FFFFFF" w:sz="0"/>
              <w:bottom w:val="single" w:color="AAAAAA" w:sz="1"/>
              <w:right w:val="none" w:color="FFFFFF" w:sz="0"/>
            </w:tcBorders>
            <w:shd w:fill="F2F4F8" w:val="clear"/>
            <w:tcMar>
              <w:top w:type="dxa" w:w="120"/>
              <w:left w:type="dxa" w:w="200"/>
              <w:bottom w:type="dxa" w:w="120"/>
              <w:right w:type="dxa" w:w="200"/>
            </w:tcMar>
          </w:tcPr>
          <w:p>
            <w:pPr>
              <w:spacing w:after="0" w:before="0" w:line="440"/>
              <w:jc w:val="both"/>
            </w:pPr>
            <w:r>
              <w:rPr>
                <w:rFonts w:ascii="Times New Roman" w:cs="Times New Roman" w:eastAsia="Times New Roman" w:hAnsi="Times New Roman"/>
                <w:i/>
                <w:iCs/>
                <w:sz w:val="20"/>
                <w:szCs w:val="20"/>
              </w:rPr>
              <w:t xml:space="preserve">Note on academic integrity: This proposal has been produced in accordance with the University of West London Academic Honesty Policy. All sources are appropriately cited and referenced using the Harvard (Cite Them Right) system. The use of AI-generated content and essay mills constitutes academic misconduct (UWL, 2025).</w:t>
            </w:r>
          </w:p>
        </w:tc>
      </w:tr>
    </w:tbl>
    <w:p>
      <w:pPr>
        <w:pageBreakBefore/>
      </w:pPr>
      <w: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Assessment Marking Criteria (A2)</w:t>
      </w:r>
    </w:p>
    <w:p>
      <w:pPr>
        <w:spacing w:after="120" w:before="120" w:line="480"/>
        <w:jc w:val="both"/>
      </w:pPr>
      <w:r>
        <w:rPr>
          <w:rFonts w:ascii="Times New Roman" w:cs="Times New Roman" w:eastAsia="Times New Roman" w:hAnsi="Times New Roman"/>
          <w:sz w:val="22"/>
          <w:szCs w:val="22"/>
        </w:rPr>
        <w:t xml:space="preserve">This proposal has been structured in direct alignment with the CA70013E A2 marking criteria, as set out in the Module Study Guide (UWL, 2025). The table below summarises the assessment weightings and key requirements against which this submission will be evaluated.</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0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Assessment Criterion</w:t>
            </w:r>
          </w:p>
        </w:tc>
        <w:tc>
          <w:tcPr>
            <w:tcW w:type="dxa" w:w="1200"/>
            <w:tcBorders>
              <w:top w:val="single" w:color="AAAAAA" w:sz="1"/>
              <w:left w:val="single" w:color="AAAAAA" w:sz="1"/>
              <w:bottom w:val="single" w:color="AAAAAA" w:sz="1"/>
              <w:right w:val="single" w:color="AAAAAA"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Weighting</w:t>
            </w:r>
          </w:p>
        </w:tc>
        <w:tc>
          <w:tcPr>
            <w:tcW w:type="dxa" w:w="5000"/>
            <w:tcBorders>
              <w:top w:val="single" w:color="AAAAAA" w:sz="1"/>
              <w:left w:val="single" w:color="AAAAAA" w:sz="1"/>
              <w:bottom w:val="single" w:color="AAAAAA" w:sz="1"/>
              <w:right w:val="single" w:color="AAAAAA"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Key Requirements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Title and Introduction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15%</w:t>
            </w:r>
          </w:p>
        </w:tc>
        <w:tc>
          <w:tcPr>
            <w:tcW w:type="dxa" w:w="50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Clear focus; strong rationale; achievable aim, objectives and RQs</w:t>
            </w:r>
          </w:p>
        </w:tc>
      </w:tr>
      <w:tr>
        <w:tc>
          <w:tcPr>
            <w:tcW w:type="dxa" w:w="28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Literature Review</w:t>
            </w:r>
          </w:p>
        </w:tc>
        <w:tc>
          <w:tcPr>
            <w:tcW w:type="dxa" w:w="12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25%</w:t>
            </w:r>
          </w:p>
        </w:tc>
        <w:tc>
          <w:tcPr>
            <w:tcW w:type="dxa" w:w="50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Extensive range; critical synthesis; current sources; relevant to study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Proposed Methodology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25%</w:t>
            </w:r>
          </w:p>
        </w:tc>
        <w:tc>
          <w:tcPr>
            <w:tcW w:type="dxa" w:w="50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Full data collection plan; justified choices; standardised research instrument</w:t>
            </w:r>
          </w:p>
        </w:tc>
      </w:tr>
      <w:tr>
        <w:tc>
          <w:tcPr>
            <w:tcW w:type="dxa" w:w="28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Content</w:t>
            </w:r>
          </w:p>
        </w:tc>
        <w:tc>
          <w:tcPr>
            <w:tcW w:type="dxa" w:w="12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10%</w:t>
            </w:r>
          </w:p>
        </w:tc>
        <w:tc>
          <w:tcPr>
            <w:tcW w:type="dxa" w:w="50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Originality; Masters-level depth; practical and realistic</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Organisation and Coherence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15%</w:t>
            </w:r>
          </w:p>
        </w:tc>
        <w:tc>
          <w:tcPr>
            <w:tcW w:type="dxa" w:w="50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Professional structure; articulate; accurate grammar</w:t>
            </w:r>
          </w:p>
        </w:tc>
      </w:tr>
      <w:tr>
        <w:tc>
          <w:tcPr>
            <w:tcW w:type="dxa" w:w="28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Quality of Referencing</w:t>
            </w:r>
          </w:p>
        </w:tc>
        <w:tc>
          <w:tcPr>
            <w:tcW w:type="dxa" w:w="12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10%</w:t>
            </w:r>
          </w:p>
        </w:tc>
        <w:tc>
          <w:tcPr>
            <w:tcW w:type="dxa" w:w="50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All key sources cited; consistent Harvard (Cite Them Right)</w:t>
            </w:r>
          </w:p>
        </w:tc>
      </w:tr>
    </w:tbl>
    <w:p>
      <w:pPr>
        <w:spacing w:after="0" w:before="200"/>
      </w:pPr>
      <w: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Summary</w:t>
      </w:r>
    </w:p>
    <w:p>
      <w:pPr>
        <w:spacing w:after="100" w:before="200"/>
      </w:pPr>
      <w:r>
        <w:rPr>
          <w:rFonts w:ascii="Arial" w:cs="Arial" w:eastAsia="Arial" w:hAnsi="Arial"/>
          <w:b/>
          <w:bCs/>
          <w:color w:val="000000"/>
          <w:sz w:val="22"/>
          <w:szCs w:val="22"/>
        </w:rPr>
        <w:t xml:space="preserve">Aims and Objectives of This Proposal</w:t>
      </w:r>
    </w:p>
    <w:p>
      <w:pPr>
        <w:spacing w:after="120" w:before="120" w:line="480"/>
        <w:jc w:val="both"/>
      </w:pPr>
      <w:r>
        <w:rPr>
          <w:rFonts w:ascii="Times New Roman" w:cs="Times New Roman" w:eastAsia="Times New Roman" w:hAnsi="Times New Roman"/>
          <w:sz w:val="22"/>
          <w:szCs w:val="22"/>
        </w:rPr>
        <w:t xml:space="preserve">This research proposal sets out to investigate consumer awareness, attitudes, and purchasing behaviour relating to gut-health functional foods among UK university students. The proposal argues that this cohort represents a critically under-researched, digitally-native consumer group whose engagement with gut-health products is disproportionately shaped by social media rather than scientific or educational sources. The principal aim is to generate evidence-based recommendations applicable to nutrition educators, university public health services, and food labelling policy.</w:t>
      </w:r>
    </w:p>
    <w:p>
      <w:pPr>
        <w:spacing w:after="100" w:before="200"/>
      </w:pPr>
      <w:r>
        <w:rPr>
          <w:rFonts w:ascii="Arial" w:cs="Arial" w:eastAsia="Arial" w:hAnsi="Arial"/>
          <w:b/>
          <w:bCs/>
          <w:color w:val="000000"/>
          <w:sz w:val="22"/>
          <w:szCs w:val="22"/>
        </w:rPr>
        <w:t xml:space="preserve">Main Findings from the Literature</w:t>
      </w:r>
    </w:p>
    <w:p>
      <w:pPr>
        <w:spacing w:after="120" w:before="120" w:line="480"/>
        <w:jc w:val="both"/>
      </w:pPr>
      <w:r>
        <w:rPr>
          <w:rFonts w:ascii="Times New Roman" w:cs="Times New Roman" w:eastAsia="Times New Roman" w:hAnsi="Times New Roman"/>
          <w:sz w:val="22"/>
          <w:szCs w:val="22"/>
        </w:rPr>
        <w:t xml:space="preserve">A critical review of the existing literature reveals consistent evidence that consumer awareness of gut-health functional foods exceeds genuine understanding of their bioactive mechanisms, with confusion between probiotics and prebiotics reported across multiple European markets (Faber et al., 2020; Ozen et al., 2012). University students face structural dietary vulnerabilities (Deliens et al., 2014) and are especially susceptible to social media influence over clinical evidence (Marco et al., 2017). No prior study has specifically examined UK university students as a gut-health consumer group, establishing a clear and original research gap.</w:t>
      </w:r>
    </w:p>
    <w:p>
      <w:pPr>
        <w:spacing w:after="100" w:before="200"/>
      </w:pPr>
      <w:r>
        <w:rPr>
          <w:rFonts w:ascii="Arial" w:cs="Arial" w:eastAsia="Arial" w:hAnsi="Arial"/>
          <w:b/>
          <w:bCs/>
          <w:color w:val="000000"/>
          <w:sz w:val="22"/>
          <w:szCs w:val="22"/>
        </w:rPr>
        <w:t xml:space="preserve">Proposed Methodology</w:t>
      </w:r>
    </w:p>
    <w:p>
      <w:pPr>
        <w:spacing w:after="120" w:before="120" w:line="480"/>
        <w:jc w:val="both"/>
      </w:pPr>
      <w:r>
        <w:rPr>
          <w:rFonts w:ascii="Times New Roman" w:cs="Times New Roman" w:eastAsia="Times New Roman" w:hAnsi="Times New Roman"/>
          <w:sz w:val="22"/>
          <w:szCs w:val="22"/>
        </w:rPr>
        <w:t xml:space="preserve">A sequential explanatory mixed-methods design is proposed, grounded in a pragmatist philosophical position (Creswell and Plano Clark, 2017). Phase 1 consists of a stratified random sample self-completion questionnaire (n = 210 minimum), distributed via university virtual learning environments and student portals, using a validated Likert-scale instrument adapted from Verbeke (2005) and Urala and Lahteenmaki (2007). Phase 2 comprises semi-structured focus groups (n = 20–28) analysed using thematic analysis (Braun and Clarke, 2006).</w:t>
      </w:r>
    </w:p>
    <w:p>
      <w:pPr>
        <w:spacing w:after="100" w:before="200"/>
      </w:pPr>
      <w:r>
        <w:rPr>
          <w:rFonts w:ascii="Arial" w:cs="Arial" w:eastAsia="Arial" w:hAnsi="Arial"/>
          <w:b/>
          <w:bCs/>
          <w:color w:val="000000"/>
          <w:sz w:val="22"/>
          <w:szCs w:val="22"/>
        </w:rPr>
        <w:t xml:space="preserve">Contribution to Knowledge</w:t>
      </w:r>
    </w:p>
    <w:p>
      <w:pPr>
        <w:spacing w:after="120" w:before="120" w:line="480"/>
        <w:jc w:val="both"/>
      </w:pPr>
      <w:r>
        <w:rPr>
          <w:rFonts w:ascii="Times New Roman" w:cs="Times New Roman" w:eastAsia="Times New Roman" w:hAnsi="Times New Roman"/>
          <w:sz w:val="22"/>
          <w:szCs w:val="22"/>
        </w:rPr>
        <w:t xml:space="preserve">This study will produce the first systematic mixed-methods examination of gut-health functional food consumer behaviour among UK university students, generating practical guidance for universities, food brands, public health practitioners, and food labelling regulators.</w:t>
      </w:r>
    </w:p>
    <w:p>
      <w:pPr>
        <w:pageBreakBefore/>
      </w:pPr>
      <w: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Section 1: Introduction</w:t>
      </w:r>
    </w:p>
    <w:p>
      <w:pPr>
        <w:pStyle w:val="Heading2"/>
        <w:spacing w:after="140" w:before="280"/>
      </w:pPr>
      <w:r>
        <w:rPr>
          <w:rFonts w:ascii="Arial" w:cs="Arial" w:eastAsia="Arial" w:hAnsi="Arial"/>
          <w:b/>
          <w:bCs/>
          <w:color w:val="2E5496"/>
          <w:sz w:val="24"/>
          <w:szCs w:val="24"/>
        </w:rPr>
        <w:t xml:space="preserve">1.1 Brief Overview of the Research</w:t>
      </w:r>
    </w:p>
    <w:p>
      <w:pPr>
        <w:spacing w:after="120" w:before="120" w:line="480"/>
        <w:jc w:val="both"/>
      </w:pPr>
      <w:r>
        <w:rPr>
          <w:rFonts w:ascii="Times New Roman" w:cs="Times New Roman" w:eastAsia="Times New Roman" w:hAnsi="Times New Roman"/>
          <w:sz w:val="22"/>
          <w:szCs w:val="22"/>
        </w:rPr>
        <w:t xml:space="preserve">The global functional food market has witnessed unprecedented growth over the past decade, driven by rising consumer interest in preventive healthcare, digestive wellness, and personalised nutrition. In the United Kingdom, the probiotic and prebiotic market segment alone is projected to reach £26 billion by 2027 (Grand View Research, 2023), representing a 37% increase over five years and reflecting a structural shift in the ways in which consumers conceptualise the relationship between diet and health. However, this commercial expansion has outpaced consumer nutritional literacy: research consistently demonstrates that high rates of functional food purchase coexist with significant gaps in knowledge about the products being bought (Verbeke, 2005; Faber et al., 2020). This tension between market growth and consumer understanding forms the central problem motivating the present study.</w:t>
      </w:r>
    </w:p>
    <w:p>
      <w:pPr>
        <w:spacing w:after="120" w:before="120" w:line="480"/>
        <w:jc w:val="both"/>
      </w:pPr>
      <w:r>
        <w:rPr>
          <w:rFonts w:ascii="Times New Roman" w:cs="Times New Roman" w:eastAsia="Times New Roman" w:hAnsi="Times New Roman"/>
          <w:sz w:val="22"/>
          <w:szCs w:val="22"/>
        </w:rPr>
        <w:t xml:space="preserve">This research proposes a mixed-methods investigation into consumer awareness, attitudes, and purchasing behaviour relating to gut-health functional foods among UK university students, with a view to identifying the structural, social, and informational factors that shape their engagement with this rapidly expanding product category. University students are selected as the target population for three intersecting reasons: they are simultaneously forming independent dietary habits for the first time (Deliens et al., 2014), operating under significant financial constraints that interact with health-food purchasing decisions (Mintel, 2022), and accessing health information almost exclusively through social media channels that carry no requirement for scientific accuracy (Marco et al., 2017; Stanton et al., 2005). Despite these characteristics making students a high-priority group for nutritional research, no existing study has examined UK university students specifically as a digitally-native gut-health consumer group, constituting a clear and actionable research gap.</w:t>
      </w:r>
    </w:p>
    <w:p>
      <w:pPr>
        <w:pStyle w:val="Heading2"/>
        <w:spacing w:after="140" w:before="280"/>
      </w:pPr>
      <w:r>
        <w:rPr>
          <w:rFonts w:ascii="Arial" w:cs="Arial" w:eastAsia="Arial" w:hAnsi="Arial"/>
          <w:b/>
          <w:bCs/>
          <w:color w:val="2E5496"/>
          <w:sz w:val="24"/>
          <w:szCs w:val="24"/>
        </w:rPr>
        <w:t xml:space="preserve">1.2 Identification of Theoretical Area and Rationale for Research</w:t>
      </w:r>
    </w:p>
    <w:p>
      <w:pPr>
        <w:spacing w:after="120" w:before="120" w:line="480"/>
        <w:jc w:val="both"/>
      </w:pPr>
      <w:r>
        <w:rPr>
          <w:rFonts w:ascii="Times New Roman" w:cs="Times New Roman" w:eastAsia="Times New Roman" w:hAnsi="Times New Roman"/>
          <w:sz w:val="22"/>
          <w:szCs w:val="22"/>
        </w:rPr>
        <w:t xml:space="preserve">Functional foods are broadly understood as foods designed not solely to meet basic nutritional requirements but to actively promote health and reduce the risk of nutrition-related disease (El Sohaimy, 2012). Within this expansive category, probiotic products — defined by the International Scientific Association for Probiotics and Prebiotics (ISAPP) as 'live microorganisms that, when administered in adequate amounts, confer a health benefit on the host' (Hill et al., 2014, p.506) — have attracted the greatest scientific and commercial attention. Complementary to these are prebiotics, defined by Gibson et al. (2017, p.491) as 'substrates selectively utilised by host microorganisms conferring a health benefit', a definition that substantially broadened the earlier fibre-focused formulation of Roberfroid (2000) and expanded the range of products that can legitimately claim prebiotic status.</w:t>
      </w:r>
    </w:p>
    <w:p>
      <w:pPr>
        <w:spacing w:after="120" w:before="120" w:line="480"/>
        <w:jc w:val="both"/>
      </w:pPr>
      <w:r>
        <w:rPr>
          <w:rFonts w:ascii="Times New Roman" w:cs="Times New Roman" w:eastAsia="Times New Roman" w:hAnsi="Times New Roman"/>
          <w:sz w:val="22"/>
          <w:szCs w:val="22"/>
        </w:rPr>
        <w:t xml:space="preserve">Despite the biological and functional distinctions between these two categories, research across multiple European markets demonstrates persistent and widespread consumer confusion between them (Faber et al., 2020; Ozen et al., 2012). This confusion is not merely semantic: it has direct implications for purchasing decisions, susceptibility to misleading health claims, and the effectiveness of public health nutrition communication. Landmark research by Verbeke (2005) established that consumer acceptance of functional foods is primarily determined by product familiarity, perceived naturalness, and trust in health claims — not by knowledge of bioactive mechanisms — a finding that has since been replicated across diverse cultural and demographic contexts (Urala and Lahteenmaki, 2007; Annunziata and Vecchio, 2013; Niva, 2007). More recently, Wastyk et al. (2021) demonstrated measurable immunological benefits from fermented food consumption in a high-powered randomised trial, whilst acknowledging that translating clinical findings into actionable consumer guidance remains a significant challenge.</w:t>
      </w:r>
    </w:p>
    <w:p>
      <w:pPr>
        <w:spacing w:after="120" w:before="120" w:line="480"/>
        <w:jc w:val="both"/>
      </w:pPr>
      <w:r>
        <w:rPr>
          <w:rFonts w:ascii="Times New Roman" w:cs="Times New Roman" w:eastAsia="Times New Roman" w:hAnsi="Times New Roman"/>
          <w:sz w:val="22"/>
          <w:szCs w:val="22"/>
        </w:rPr>
        <w:t xml:space="preserve">The theoretical architecture of this study draws on three complementary frameworks. The Theory of Planned Behaviour (Ajzen, 1991) predicts that purchasing behaviour is a function of attitudes, subjective norms, and perceived behavioural control: applied here, students who hold positive attitudes towards gut-health products and perceive social endorsement of their use are expected to purchase them regardless of actual knowledge levels. The Health Belief Model (Becker, 1974) adds explanatory power regarding the motivational role of perceived susceptibility to health threats and the perceived efficacy of preventive products. These two frameworks are synthesised through Verbeke's Consumer Acceptance Framework (2005), which provides the specific moderating variables — familiarity, trust, and perceived naturalness — most relevant to functional food adoption. Together, these frameworks generate a multi-dimensional theoretical architecture that this study will operationalise through validated measurement instruments.</w:t>
      </w:r>
    </w:p>
    <w:p>
      <w:pPr>
        <w:spacing w:after="120" w:before="120" w:line="480"/>
        <w:jc w:val="both"/>
      </w:pPr>
      <w:r>
        <w:rPr>
          <w:rFonts w:ascii="Times New Roman" w:cs="Times New Roman" w:eastAsia="Times New Roman" w:hAnsi="Times New Roman"/>
          <w:sz w:val="22"/>
          <w:szCs w:val="22"/>
        </w:rPr>
        <w:t xml:space="preserve">Notwithstanding this substantial body of research, a critical gap remains. No existing study has applied these frameworks to UK university students as a digitally-native, resource-constrained consumer group whose gut-health purchasing behaviour is shaped by a uniquely complex interaction of social media influence, financial constraint, and incomplete nutritional education. This proposal addresses that gap directly, and in so doing makes an original contribution to both consumer behaviour scholarship and applied public health research.</w:t>
      </w:r>
    </w:p>
    <w:p>
      <w:pPr>
        <w:pStyle w:val="Heading2"/>
        <w:spacing w:after="140" w:before="280"/>
      </w:pPr>
      <w:r>
        <w:rPr>
          <w:rFonts w:ascii="Arial" w:cs="Arial" w:eastAsia="Arial" w:hAnsi="Arial"/>
          <w:b/>
          <w:bCs/>
          <w:color w:val="2E5496"/>
          <w:sz w:val="24"/>
          <w:szCs w:val="24"/>
        </w:rPr>
        <w:t xml:space="preserve">1.3 Research Focus</w:t>
      </w:r>
    </w:p>
    <w:p>
      <w:pPr>
        <w:spacing w:after="100" w:before="200"/>
      </w:pPr>
      <w:r>
        <w:rPr>
          <w:rFonts w:ascii="Arial" w:cs="Arial" w:eastAsia="Arial" w:hAnsi="Arial"/>
          <w:b/>
          <w:bCs/>
          <w:color w:val="000000"/>
          <w:sz w:val="22"/>
          <w:szCs w:val="22"/>
        </w:rPr>
        <w:t xml:space="preserve">Research Aim</w:t>
      </w:r>
    </w:p>
    <w:p>
      <w:pPr>
        <w:spacing w:after="120" w:before="120" w:line="480"/>
        <w:jc w:val="both"/>
      </w:pPr>
      <w:r>
        <w:rPr>
          <w:rFonts w:ascii="Times New Roman" w:cs="Times New Roman" w:eastAsia="Times New Roman" w:hAnsi="Times New Roman"/>
          <w:sz w:val="22"/>
          <w:szCs w:val="22"/>
        </w:rPr>
        <w:t xml:space="preserve">To investigate consumer awareness, attitudes, and purchasing behaviour relating to gut-health functional foods among UK university students, and to identify the key social, informational, and demographic factors shaping their engagement with such products.</w:t>
      </w:r>
    </w:p>
    <w:p>
      <w:pPr>
        <w:spacing w:after="100" w:before="200"/>
      </w:pPr>
      <w:r>
        <w:rPr>
          <w:rFonts w:ascii="Arial" w:cs="Arial" w:eastAsia="Arial" w:hAnsi="Arial"/>
          <w:b/>
          <w:bCs/>
          <w:color w:val="000000"/>
          <w:sz w:val="22"/>
          <w:szCs w:val="22"/>
        </w:rPr>
        <w:t xml:space="preserve">Research Objectives</w:t>
      </w:r>
    </w:p>
    <w:p>
      <w:pPr>
        <w:pStyle w:val="ListParagraph"/>
        <w:numPr>
          <w:ilvl w:val="0"/>
          <w:numId w:val="2"/>
        </w:numPr>
        <w:spacing w:after="80" w:before="80" w:line="440"/>
      </w:pPr>
      <w:r>
        <w:rPr>
          <w:rFonts w:ascii="Times New Roman" w:cs="Times New Roman" w:eastAsia="Times New Roman" w:hAnsi="Times New Roman"/>
          <w:sz w:val="22"/>
          <w:szCs w:val="22"/>
        </w:rPr>
        <w:t xml:space="preserve">To assess the level of awareness and knowledge of gut-health functional foods, probiotics, and prebiotics among UK university students.</w:t>
      </w:r>
    </w:p>
    <w:p>
      <w:pPr>
        <w:pStyle w:val="ListParagraph"/>
        <w:numPr>
          <w:ilvl w:val="0"/>
          <w:numId w:val="2"/>
        </w:numPr>
        <w:spacing w:after="80" w:before="80" w:line="440"/>
      </w:pPr>
      <w:r>
        <w:rPr>
          <w:rFonts w:ascii="Times New Roman" w:cs="Times New Roman" w:eastAsia="Times New Roman" w:hAnsi="Times New Roman"/>
          <w:sz w:val="22"/>
          <w:szCs w:val="22"/>
        </w:rPr>
        <w:t xml:space="preserve">To examine students' attitudes and beliefs regarding the perceived health benefits and risks associated with probiotic and prebiotic products.</w:t>
      </w:r>
    </w:p>
    <w:p>
      <w:pPr>
        <w:pStyle w:val="ListParagraph"/>
        <w:numPr>
          <w:ilvl w:val="0"/>
          <w:numId w:val="2"/>
        </w:numPr>
        <w:spacing w:after="80" w:before="80" w:line="440"/>
      </w:pPr>
      <w:r>
        <w:rPr>
          <w:rFonts w:ascii="Times New Roman" w:cs="Times New Roman" w:eastAsia="Times New Roman" w:hAnsi="Times New Roman"/>
          <w:sz w:val="22"/>
          <w:szCs w:val="22"/>
        </w:rPr>
        <w:t xml:space="preserve">To evaluate the extent to which health claims and product labelling influence students' trust in and purchasing decisions relating to gut-health products.</w:t>
      </w:r>
    </w:p>
    <w:p>
      <w:pPr>
        <w:pStyle w:val="ListParagraph"/>
        <w:numPr>
          <w:ilvl w:val="0"/>
          <w:numId w:val="2"/>
        </w:numPr>
        <w:spacing w:after="80" w:before="80" w:line="440"/>
      </w:pPr>
      <w:r>
        <w:rPr>
          <w:rFonts w:ascii="Times New Roman" w:cs="Times New Roman" w:eastAsia="Times New Roman" w:hAnsi="Times New Roman"/>
          <w:sz w:val="22"/>
          <w:szCs w:val="22"/>
        </w:rPr>
        <w:t xml:space="preserve">To explore the role of socio-demographic characteristics, information sources, and social media in shaping students' awareness and consumption patterns of functional foods.</w:t>
      </w:r>
    </w:p>
    <w:p>
      <w:pPr>
        <w:spacing w:after="100" w:before="200"/>
      </w:pPr>
      <w:r>
        <w:rPr>
          <w:rFonts w:ascii="Arial" w:cs="Arial" w:eastAsia="Arial" w:hAnsi="Arial"/>
          <w:b/>
          <w:bCs/>
          <w:color w:val="000000"/>
          <w:sz w:val="22"/>
          <w:szCs w:val="22"/>
        </w:rPr>
        <w:t xml:space="preserve">Research Questions</w:t>
      </w:r>
    </w:p>
    <w:p>
      <w:pPr>
        <w:pStyle w:val="ListParagraph"/>
        <w:numPr>
          <w:ilvl w:val="0"/>
          <w:numId w:val="2"/>
        </w:numPr>
        <w:spacing w:after="80" w:before="80" w:line="440"/>
      </w:pPr>
      <w:r>
        <w:rPr>
          <w:rFonts w:ascii="Times New Roman" w:cs="Times New Roman" w:eastAsia="Times New Roman" w:hAnsi="Times New Roman"/>
          <w:sz w:val="22"/>
          <w:szCs w:val="22"/>
        </w:rPr>
        <w:t xml:space="preserve">RQ1: How aware are UK university students of gut-health functional foods, and what is their actual understanding of probiotics and prebiotics?</w:t>
      </w:r>
    </w:p>
    <w:p>
      <w:pPr>
        <w:pStyle w:val="ListParagraph"/>
        <w:numPr>
          <w:ilvl w:val="0"/>
          <w:numId w:val="2"/>
        </w:numPr>
        <w:spacing w:after="80" w:before="80" w:line="440"/>
      </w:pPr>
      <w:r>
        <w:rPr>
          <w:rFonts w:ascii="Times New Roman" w:cs="Times New Roman" w:eastAsia="Times New Roman" w:hAnsi="Times New Roman"/>
          <w:sz w:val="22"/>
          <w:szCs w:val="22"/>
        </w:rPr>
        <w:t xml:space="preserve">RQ2: What attitudes and beliefs do UK university students hold regarding the health benefits of probiotic and prebiotic products?</w:t>
      </w:r>
    </w:p>
    <w:p>
      <w:pPr>
        <w:pStyle w:val="ListParagraph"/>
        <w:numPr>
          <w:ilvl w:val="0"/>
          <w:numId w:val="2"/>
        </w:numPr>
        <w:spacing w:after="80" w:before="80" w:line="440"/>
      </w:pPr>
      <w:r>
        <w:rPr>
          <w:rFonts w:ascii="Times New Roman" w:cs="Times New Roman" w:eastAsia="Times New Roman" w:hAnsi="Times New Roman"/>
          <w:sz w:val="22"/>
          <w:szCs w:val="22"/>
        </w:rPr>
        <w:t xml:space="preserve">RQ3: In what ways do health claims and product labelling influence students' trust in and purchasing decisions relating to gut-health products?</w:t>
      </w:r>
    </w:p>
    <w:p>
      <w:pPr>
        <w:pStyle w:val="ListParagraph"/>
        <w:numPr>
          <w:ilvl w:val="0"/>
          <w:numId w:val="2"/>
        </w:numPr>
        <w:spacing w:after="80" w:before="80" w:line="440"/>
      </w:pPr>
      <w:r>
        <w:rPr>
          <w:rFonts w:ascii="Times New Roman" w:cs="Times New Roman" w:eastAsia="Times New Roman" w:hAnsi="Times New Roman"/>
          <w:sz w:val="22"/>
          <w:szCs w:val="22"/>
        </w:rPr>
        <w:t xml:space="preserve">RQ4: How do socio-demographic background, digital media exposure, and peer influence shape students' awareness and consumption of gut-health functional foods?</w:t>
      </w:r>
    </w:p>
    <w:p>
      <w:pPr>
        <w:pageBreakBefore/>
      </w:pPr>
      <w: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Section 2: Literature Review</w:t>
      </w:r>
    </w:p>
    <w:p>
      <w:pPr>
        <w:pStyle w:val="Heading2"/>
        <w:spacing w:after="140" w:before="280"/>
      </w:pPr>
      <w:r>
        <w:rPr>
          <w:rFonts w:ascii="Arial" w:cs="Arial" w:eastAsia="Arial" w:hAnsi="Arial"/>
          <w:b/>
          <w:bCs/>
          <w:color w:val="2E5496"/>
          <w:sz w:val="24"/>
          <w:szCs w:val="24"/>
        </w:rPr>
        <w:t xml:space="preserve">2.1 The Functional Food Landscape: Definitions and Commercial Context</w:t>
      </w:r>
    </w:p>
    <w:p>
      <w:pPr>
        <w:spacing w:after="120" w:before="120" w:line="480"/>
        <w:jc w:val="both"/>
      </w:pPr>
      <w:r>
        <w:rPr>
          <w:rFonts w:ascii="Times New Roman" w:cs="Times New Roman" w:eastAsia="Times New Roman" w:hAnsi="Times New Roman"/>
          <w:sz w:val="22"/>
          <w:szCs w:val="22"/>
        </w:rPr>
        <w:t xml:space="preserve">The concept of functional food originated in Japan during the 1980s under the regulatory designation FOSHU (Foods for Specified Health Uses) before entering global commercial and regulatory discourse (Kotilainen et al., 2006). El Sohaimy (2012, p.168) provides a widely cited definition, framing functional foods as those 'formulated not only to provide nutritional value but also to prevent nutrition-related diseases and to promote health'. This definition, whilst useful for regulatory and marketing purposes, has attracted criticism for its elasticity: virtually any food can be reframed as functional depending on the claims applied to it, a point underscored by Niva (2007), who argued that the boundaries of the category are constructed as much by marketing discourse as by nutritional science.</w:t>
      </w:r>
    </w:p>
    <w:p>
      <w:pPr>
        <w:spacing w:after="120" w:before="120" w:line="480"/>
        <w:jc w:val="both"/>
      </w:pPr>
      <w:r>
        <w:rPr>
          <w:rFonts w:ascii="Times New Roman" w:cs="Times New Roman" w:eastAsia="Times New Roman" w:hAnsi="Times New Roman"/>
          <w:sz w:val="22"/>
          <w:szCs w:val="22"/>
        </w:rPr>
        <w:t xml:space="preserve">Within this broader category, probiotic and prebiotic products occupy a particularly contested space. The current gold-standard definitions, established through ISAPP consensus processes (Hill et al., 2014; Gibson et al., 2017), provide scientific precision, but their operationalisation in product labelling frequently departs from these definitions in ways that create consumer confusion. Roberfroid (2000) had earlier proposed that the prebiotic concept be restricted to dietary fibres selectively fermented by beneficial bacteria; Gibson et al.'s (2017) expanded definition, encompassing polyphenols and other non-fibre substrates, has significant implications for which products can legitimately use prebiotic claims. The gap between these evolving scientific definitions and the static or misleading claims on product packaging represents one of the central tensions this research seeks to explore.</w:t>
      </w:r>
    </w:p>
    <w:p>
      <w:pPr>
        <w:pStyle w:val="Heading2"/>
        <w:spacing w:after="140" w:before="280"/>
      </w:pPr>
      <w:r>
        <w:rPr>
          <w:rFonts w:ascii="Arial" w:cs="Arial" w:eastAsia="Arial" w:hAnsi="Arial"/>
          <w:b/>
          <w:bCs/>
          <w:color w:val="2E5496"/>
          <w:sz w:val="24"/>
          <w:szCs w:val="24"/>
        </w:rPr>
        <w:t xml:space="preserve">2.2 The Scientific Evidence Base: Strengths and Limitations</w:t>
      </w:r>
    </w:p>
    <w:p>
      <w:pPr>
        <w:spacing w:after="120" w:before="120" w:line="480"/>
        <w:jc w:val="both"/>
      </w:pPr>
      <w:r>
        <w:rPr>
          <w:rFonts w:ascii="Times New Roman" w:cs="Times New Roman" w:eastAsia="Times New Roman" w:hAnsi="Times New Roman"/>
          <w:sz w:val="22"/>
          <w:szCs w:val="22"/>
        </w:rPr>
        <w:t xml:space="preserve">The past decade has produced substantial scientific evidence linking gut microbiota composition to immune function, metabolic health, and mental wellbeing. Dimidi et al. (2019) reviewed the evidence on fermented foods and gut health, concluding that whilst associations between fermented food consumption and positive microbiome outcomes are well established, mechanistic evidence in human populations remains inconsistent and highly context-dependent. This finding is significant because it directly contradicts the certainty with which health benefits are claimed on many commercial products.</w:t>
      </w:r>
    </w:p>
    <w:p>
      <w:pPr>
        <w:spacing w:after="120" w:before="120" w:line="480"/>
        <w:jc w:val="both"/>
      </w:pPr>
      <w:r>
        <w:rPr>
          <w:rFonts w:ascii="Times New Roman" w:cs="Times New Roman" w:eastAsia="Times New Roman" w:hAnsi="Times New Roman"/>
          <w:sz w:val="22"/>
          <w:szCs w:val="22"/>
        </w:rPr>
        <w:t xml:space="preserve">Markowiak and Slizewska (2017) conducted a comprehensive review of clinical evidence for probiotics, prebiotics, and synbiotics, demonstrating associations with reduced incidence of several chronic conditions, whilst acknowledging that effect sizes are highly variable by strain, dose, and population. The landmark randomised controlled trial of Wastyk et al. (2021) provided compelling evidence that a high-fermented-food diet modulates human immune status, representing a significant advance in mechanistic understanding. However, Marco et al. (2017) caution that the extrapolation of such evidence to the broad population-level claims routinely featured in commercial marketing routinely exceeds what the available evidence can support. This tension between emerging scientific knowledge and commercial communication is a core driver of consumer confusion and is highly relevant to this study's focus on student perceptions of health claims.</w:t>
      </w:r>
    </w:p>
    <w:p>
      <w:pPr>
        <w:spacing w:after="120" w:before="120" w:line="480"/>
        <w:jc w:val="both"/>
      </w:pPr>
      <w:r>
        <w:rPr>
          <w:rFonts w:ascii="Times New Roman" w:cs="Times New Roman" w:eastAsia="Times New Roman" w:hAnsi="Times New Roman"/>
          <w:sz w:val="22"/>
          <w:szCs w:val="22"/>
        </w:rPr>
        <w:t xml:space="preserve">Critically, Zmora et al. (2018) challenged a widely held assumption about probiotic efficacy, demonstrating that gut colonisation by commercially available probiotic strains was highly individualised and that many participants showed no measurable colonisation response. This finding, published in a high-impact journal, received significantly less media coverage than positive probiotic studies, illustrating the asymmetry between the public health communication environment and the scientific evidence base — an asymmetry that university students navigating social media are particularly ill-equipped to navigate.</w:t>
      </w:r>
    </w:p>
    <w:p>
      <w:pPr>
        <w:pStyle w:val="Heading2"/>
        <w:spacing w:after="140" w:before="280"/>
      </w:pPr>
      <w:r>
        <w:rPr>
          <w:rFonts w:ascii="Arial" w:cs="Arial" w:eastAsia="Arial" w:hAnsi="Arial"/>
          <w:b/>
          <w:bCs/>
          <w:color w:val="2E5496"/>
          <w:sz w:val="24"/>
          <w:szCs w:val="24"/>
        </w:rPr>
        <w:t xml:space="preserve">2.3 Consumer Awareness and Knowledge Gaps</w:t>
      </w:r>
    </w:p>
    <w:p>
      <w:pPr>
        <w:spacing w:after="120" w:before="120" w:line="480"/>
        <w:jc w:val="both"/>
      </w:pPr>
      <w:r>
        <w:rPr>
          <w:rFonts w:ascii="Times New Roman" w:cs="Times New Roman" w:eastAsia="Times New Roman" w:hAnsi="Times New Roman"/>
          <w:sz w:val="22"/>
          <w:szCs w:val="22"/>
        </w:rPr>
        <w:t xml:space="preserve">Verbeke (2005) established the foundational analytical framework for understanding consumer engagement with functional foods, demonstrating through a large-scale Belgian survey that acceptance was mediated primarily by product familiarity, trust, and perceived naturalness rather than by knowledge of bioactive mechanisms. This work identified a cognitive hierarchy in which emotional and social determinants of purchase consistently outweigh rational evaluation of scientific evidence — a finding with direct implications for how the present study conceptualises and measures the relationship between knowledge and behaviour.</w:t>
      </w:r>
    </w:p>
    <w:p>
      <w:pPr>
        <w:spacing w:after="120" w:before="120" w:line="480"/>
        <w:jc w:val="both"/>
      </w:pPr>
      <w:r>
        <w:rPr>
          <w:rFonts w:ascii="Times New Roman" w:cs="Times New Roman" w:eastAsia="Times New Roman" w:hAnsi="Times New Roman"/>
          <w:sz w:val="22"/>
          <w:szCs w:val="22"/>
        </w:rPr>
        <w:t xml:space="preserve">Subsequent research has confirmed and extended these findings across multiple contexts. Faber et al. (2020) conducted a systematic review of consumer understanding of probiotic and prebiotic labelling, finding that the majority of consumers across European markets were unable to accurately distinguish between the two terms despite regular product consumption. This result was largely replicated by Ozen et al. (2012), whose systematic review of functional food consumption across Europe identified a consistent pattern of high purchase rates accompanied by low conceptual understanding, particularly pronounced among younger demographics. Crucially, Ozen et al. (2012) found that label complexity was negatively associated with comprehension: products carrying multiple health claims were less well understood than those with fewer claims, suggesting that current commercial labelling practices may actively impede rather than support informed consumer decision-making.</w:t>
      </w:r>
    </w:p>
    <w:p>
      <w:pPr>
        <w:spacing w:after="120" w:before="120" w:line="480"/>
        <w:jc w:val="both"/>
      </w:pPr>
      <w:r>
        <w:rPr>
          <w:rFonts w:ascii="Times New Roman" w:cs="Times New Roman" w:eastAsia="Times New Roman" w:hAnsi="Times New Roman"/>
          <w:sz w:val="22"/>
          <w:szCs w:val="22"/>
        </w:rPr>
        <w:t xml:space="preserve">Annunziata and Vecchio (2013) specifically examined functional food purchasing decisions among younger European adults, finding that novelty, brand identity, and peer recommendation were the dominant purchase drivers, with nutritional knowledge playing a secondary role. This pattern closely mirrors Ajzen's (1991) emphasis on subjective norms and social influence in predicting behaviour, and is directly relevant to the student population under investigation in this study. Niva (2007) contributed a complementary qualitative perspective, demonstrating that Finnish consumers constructed personalised and often inaccurate frameworks for understanding functional foods by blending scientific fragments, cultural beliefs, and marketing narratives — a process of lay theorisation that the present study expects to identify in its UK student sample.</w:t>
      </w:r>
    </w:p>
    <w:p>
      <w:pPr>
        <w:pStyle w:val="Heading2"/>
        <w:spacing w:after="140" w:before="280"/>
      </w:pPr>
      <w:r>
        <w:rPr>
          <w:rFonts w:ascii="Arial" w:cs="Arial" w:eastAsia="Arial" w:hAnsi="Arial"/>
          <w:b/>
          <w:bCs/>
          <w:color w:val="2E5496"/>
          <w:sz w:val="24"/>
          <w:szCs w:val="24"/>
        </w:rPr>
        <w:t xml:space="preserve">2.4 University Students: A Structurally Vulnerable Consumer Group</w:t>
      </w:r>
    </w:p>
    <w:p>
      <w:pPr>
        <w:spacing w:after="120" w:before="120" w:line="480"/>
        <w:jc w:val="both"/>
      </w:pPr>
      <w:r>
        <w:rPr>
          <w:rFonts w:ascii="Times New Roman" w:cs="Times New Roman" w:eastAsia="Times New Roman" w:hAnsi="Times New Roman"/>
          <w:sz w:val="22"/>
          <w:szCs w:val="22"/>
        </w:rPr>
        <w:t xml:space="preserve">Deliens et al. (2014) conducted a widely cited systematic review of the determinants of eating behaviour in university students, identifying a constellation of structural vulnerabilities: irregular meal timing, financial constraint, limited cooking skills, high reliance on processed convenience foods, significant susceptibility to peer influence, and the fundamental disorientation of independent living for the first time. These factors create a dietary environment that is simultaneously open to change and resistant to health-promotion messaging delivered through traditional institutional channels such as lectures or healthcare consultations. The UK student population, numbering approximately 2.9 million (HESA, 2023), represents a critical intervention point for nutritional education precisely because the habits formed during this period tend to persist into adulthood.</w:t>
      </w:r>
    </w:p>
    <w:p>
      <w:pPr>
        <w:spacing w:after="120" w:before="120" w:line="480"/>
        <w:jc w:val="both"/>
      </w:pPr>
      <w:r>
        <w:rPr>
          <w:rFonts w:ascii="Times New Roman" w:cs="Times New Roman" w:eastAsia="Times New Roman" w:hAnsi="Times New Roman"/>
          <w:sz w:val="22"/>
          <w:szCs w:val="22"/>
        </w:rPr>
        <w:t xml:space="preserve">The specific intersection between student dietary vulnerability and gut-health product consumption has received limited direct attention in the literature, though Mintel (2022) market data indicates that the 18–30 age group constitutes the fastest-growing consumer segment for probiotic and prebiotic products in the UK, driven by health aspiration and social media visibility rather than clinical recommendation. This commercial observation aligns with Annunziata and Vecchio's (2013) finding that novelty and peer endorsement are primary purchase drivers for young adults, and raises important questions about the degree to which product choice reflects informed decision-making versus social conformity — questions that this study is specifically designed to address.</w:t>
      </w:r>
    </w:p>
    <w:p>
      <w:pPr>
        <w:pStyle w:val="Heading2"/>
        <w:spacing w:after="140" w:before="280"/>
      </w:pPr>
      <w:r>
        <w:rPr>
          <w:rFonts w:ascii="Arial" w:cs="Arial" w:eastAsia="Arial" w:hAnsi="Arial"/>
          <w:b/>
          <w:bCs/>
          <w:color w:val="2E5496"/>
          <w:sz w:val="24"/>
          <w:szCs w:val="24"/>
        </w:rPr>
        <w:t xml:space="preserve">2.5 Social Media, Digital Influence, and Health Misinformation</w:t>
      </w:r>
    </w:p>
    <w:p>
      <w:pPr>
        <w:spacing w:after="120" w:before="120" w:line="480"/>
        <w:jc w:val="both"/>
      </w:pPr>
      <w:r>
        <w:rPr>
          <w:rFonts w:ascii="Times New Roman" w:cs="Times New Roman" w:eastAsia="Times New Roman" w:hAnsi="Times New Roman"/>
          <w:sz w:val="22"/>
          <w:szCs w:val="22"/>
        </w:rPr>
        <w:t xml:space="preserve">The displacement of formal nutrition education by digital media as the primary source of dietary information among young adults is well documented (Stanton et al., 2005; Marco et al., 2017). Social media platforms including Instagram, TikTok, and YouTube have enabled the rapid dissemination of health claims by individuals without scientific training, creating an information environment in which the credibility signifiers that ordinarily accompany scientific communication — peer review, methodological transparency, disclosure of limitations — are absent. Marco et al. (2017) argue that this environment is particularly problematic for gut-health claims, where the mechanistic complexity of microbiome science provides ample scope for selective citation and oversimplification.</w:t>
      </w:r>
    </w:p>
    <w:p>
      <w:pPr>
        <w:spacing w:after="120" w:before="120" w:line="480"/>
        <w:jc w:val="both"/>
      </w:pPr>
      <w:r>
        <w:rPr>
          <w:rFonts w:ascii="Times New Roman" w:cs="Times New Roman" w:eastAsia="Times New Roman" w:hAnsi="Times New Roman"/>
          <w:sz w:val="22"/>
          <w:szCs w:val="22"/>
        </w:rPr>
        <w:t xml:space="preserve">Urala and Lahteenmaki (2007) found, in a longitudinal analysis of Finnish consumers, that younger adults showed declining confidence in functional food claims over time, suggesting that exposure to contradictory or unverifiable health messaging may progressively erode rather than consolidate trust. This finding is counter-intuitive in the context of increasing functional food consumption, and suggests a dissociation between purchase behaviour and epistemic confidence that is central to the theoretical framework of this study. When purchasing is driven by social identity and peer norms (Ajzen, 1991) rather than by genuine health belief (Becker, 1974), interventions focused on improving knowledge may have limited impact on behaviour — a nuance that this research seeks to empirically examine.</w:t>
      </w:r>
    </w:p>
    <w:p>
      <w:pPr>
        <w:pStyle w:val="Heading2"/>
        <w:spacing w:after="140" w:before="280"/>
      </w:pPr>
      <w:r>
        <w:rPr>
          <w:rFonts w:ascii="Arial" w:cs="Arial" w:eastAsia="Arial" w:hAnsi="Arial"/>
          <w:b/>
          <w:bCs/>
          <w:color w:val="2E5496"/>
          <w:sz w:val="24"/>
          <w:szCs w:val="24"/>
        </w:rPr>
        <w:t xml:space="preserve">2.6 Health Claims, Labelling, and the Regulatory Environment</w:t>
      </w:r>
    </w:p>
    <w:p>
      <w:pPr>
        <w:spacing w:after="120" w:before="120" w:line="480"/>
        <w:jc w:val="both"/>
      </w:pPr>
      <w:r>
        <w:rPr>
          <w:rFonts w:ascii="Times New Roman" w:cs="Times New Roman" w:eastAsia="Times New Roman" w:hAnsi="Times New Roman"/>
          <w:sz w:val="22"/>
          <w:szCs w:val="22"/>
        </w:rPr>
        <w:t xml:space="preserve">The regulatory framework governing health claims on food products in the United Kingdom is provided by retained EU Regulation 1924/2006 on nutrition and health claims, as modified by the Nutrition and Health Claims (England) Regulations 2007 and subsequent post-Brexit amendments. Despite this framework, enforcement has been widely criticised as inconsistent, and the gap between authorised and commercially deployed health claims remains significant (Kotilainen et al., 2006). Verbeke (2005) demonstrated that consumers rarely engage critically with on-pack health claims, instead relying on heuristics — brand familiarity, visual appeal, and price positioning — to make purchasing decisions.</w:t>
      </w:r>
    </w:p>
    <w:p>
      <w:pPr>
        <w:spacing w:after="120" w:before="120" w:line="480"/>
        <w:jc w:val="both"/>
      </w:pPr>
      <w:r>
        <w:rPr>
          <w:rFonts w:ascii="Times New Roman" w:cs="Times New Roman" w:eastAsia="Times New Roman" w:hAnsi="Times New Roman"/>
          <w:sz w:val="22"/>
          <w:szCs w:val="22"/>
        </w:rPr>
        <w:t xml:space="preserve">The implications of this for student consumers are significant. If label complexity reduces comprehension (Ozen et al., 2012) and emotional heuristics dominate rational evaluation (Verbeke, 2005), then students purchasing kombucha, probiotic yoghurts, or prebiotic snack bars are likely doing so on the basis of information that is either misunderstood or not consciously processed at all. This study seeks to quantify the extent of this phenomenon through survey methodology and to explore its underlying social logic through focus group discussion, generating insights that can inform both regulatory guidance and nutrition education practice.</w:t>
      </w:r>
    </w:p>
    <w:p>
      <w:pPr>
        <w:pStyle w:val="Heading2"/>
        <w:spacing w:after="140" w:before="280"/>
      </w:pPr>
      <w:r>
        <w:rPr>
          <w:rFonts w:ascii="Arial" w:cs="Arial" w:eastAsia="Arial" w:hAnsi="Arial"/>
          <w:b/>
          <w:bCs/>
          <w:color w:val="2E5496"/>
          <w:sz w:val="24"/>
          <w:szCs w:val="24"/>
        </w:rPr>
        <w:t xml:space="preserve">2.7 Theoretical Synthesis and Research Gap</w:t>
      </w:r>
    </w:p>
    <w:p>
      <w:pPr>
        <w:spacing w:after="120" w:before="120" w:line="480"/>
        <w:jc w:val="both"/>
      </w:pPr>
      <w:r>
        <w:rPr>
          <w:rFonts w:ascii="Times New Roman" w:cs="Times New Roman" w:eastAsia="Times New Roman" w:hAnsi="Times New Roman"/>
          <w:sz w:val="22"/>
          <w:szCs w:val="22"/>
        </w:rPr>
        <w:t xml:space="preserve">The three theoretical frameworks underpinning this study — the Theory of Planned Behaviour (Ajzen, 1991), the Health Belief Model (Becker, 1974), and Verbeke's Consumer Acceptance Framework (2005) — are individually well established and have each been applied productively to functional food consumer research. However, their simultaneous application to a UK university student sample, specifically in the context of gut-health functional foods, has not previously been attempted. This gap is significant on two counts. First, the theoretical frameworks make different and potentially competing predictions about the mechanisms driving student purchasing behaviour: Ajzen's emphasis on social norms predicts that peer influence will dominate, whilst Becker's model foregrounds perceived health risk as a primary motivator. Determining which framework has greater explanatory power in this specific context — and under what conditions each applies — is itself a substantive theoretical contribution. Second, the practical recommendations generated by understanding these mechanisms are materially different: if social norms dominate, peer-led health communication is the appropriate intervention; if perceived risk dominates, accurate health messaging is the priority. This study is positioned to provide that evidence.</w:t>
      </w:r>
    </w:p>
    <w:p>
      <w:pPr>
        <w:pageBreakBefore/>
      </w:pPr>
      <w: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Section 3: Proposed Methodology</w:t>
      </w:r>
    </w:p>
    <w:p>
      <w:pPr>
        <w:pStyle w:val="Heading2"/>
        <w:spacing w:after="140" w:before="280"/>
      </w:pPr>
      <w:r>
        <w:rPr>
          <w:rFonts w:ascii="Arial" w:cs="Arial" w:eastAsia="Arial" w:hAnsi="Arial"/>
          <w:b/>
          <w:bCs/>
          <w:color w:val="2E5496"/>
          <w:sz w:val="24"/>
          <w:szCs w:val="24"/>
        </w:rPr>
        <w:t xml:space="preserve">3.1 Research Paradigm</w:t>
      </w:r>
    </w:p>
    <w:p>
      <w:pPr>
        <w:spacing w:after="120" w:before="120" w:line="480"/>
        <w:jc w:val="both"/>
      </w:pPr>
      <w:r>
        <w:rPr>
          <w:rFonts w:ascii="Times New Roman" w:cs="Times New Roman" w:eastAsia="Times New Roman" w:hAnsi="Times New Roman"/>
          <w:sz w:val="22"/>
          <w:szCs w:val="22"/>
        </w:rPr>
        <w:t xml:space="preserve">This study adopts a pragmatist philosophical position (Creswell and Plano Clark, 2017). Pragmatism rejects the ontological absolutism of pure positivism and pure interpretivism, instead prioritising the research question as the primary determinant of methodological choice (Saunders, Lewis and Thornhill, 2019). This position is particularly appropriate for consumer behaviour research, where no single method can simultaneously capture the statistical distribution of attitudes across a population and the deeper social meanings that give rise to them. As Bryman (2016, p.634) notes, mixed-methods research 'exploits the complementary strengths of each approach', enabling findings that are both generalisable and contextually rich — a combination essential for producing actionable guidance for practitioners.</w:t>
      </w:r>
    </w:p>
    <w:p>
      <w:pPr>
        <w:pStyle w:val="Heading2"/>
        <w:spacing w:after="140" w:before="280"/>
      </w:pPr>
      <w:r>
        <w:rPr>
          <w:rFonts w:ascii="Arial" w:cs="Arial" w:eastAsia="Arial" w:hAnsi="Arial"/>
          <w:b/>
          <w:bCs/>
          <w:color w:val="2E5496"/>
          <w:sz w:val="24"/>
          <w:szCs w:val="24"/>
        </w:rPr>
        <w:t xml:space="preserve">3.2 Methodology Overview Table</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AAAAAA" w:sz="1"/>
              <w:left w:val="single" w:color="AAAAAA" w:sz="1"/>
              <w:bottom w:val="single" w:color="AAAAAA" w:sz="1"/>
              <w:right w:val="single" w:color="AAAAAA" w:sz="1"/>
            </w:tcBorders>
            <w:shd w:fill="1F3864" w:val="clear"/>
            <w:tcMar>
              <w:top w:type="dxa" w:w="90"/>
              <w:left w:type="dxa" w:w="120"/>
              <w:bottom w:type="dxa" w:w="90"/>
              <w:right w:type="dxa" w:w="120"/>
            </w:tcMar>
          </w:tcPr>
          <w:p>
            <w:r>
              <w:rPr>
                <w:rFonts w:ascii="Arial" w:cs="Arial" w:eastAsia="Arial" w:hAnsi="Arial"/>
                <w:b/>
                <w:bCs/>
                <w:color w:val="FFFFFF"/>
                <w:sz w:val="19"/>
                <w:szCs w:val="19"/>
              </w:rPr>
              <w:t xml:space="preserve">Component</w:t>
            </w:r>
          </w:p>
        </w:tc>
        <w:tc>
          <w:tcPr>
            <w:tcW w:type="dxa" w:w="5800"/>
            <w:tcBorders>
              <w:top w:val="single" w:color="AAAAAA" w:sz="1"/>
              <w:left w:val="single" w:color="AAAAAA" w:sz="1"/>
              <w:bottom w:val="single" w:color="AAAAAA" w:sz="1"/>
              <w:right w:val="single" w:color="AAAAAA" w:sz="1"/>
            </w:tcBorders>
            <w:shd w:fill="1F3864" w:val="clear"/>
            <w:tcMar>
              <w:top w:type="dxa" w:w="90"/>
              <w:left w:type="dxa" w:w="120"/>
              <w:bottom w:type="dxa" w:w="90"/>
              <w:right w:type="dxa" w:w="120"/>
            </w:tcMar>
          </w:tcPr>
          <w:p>
            <w:r>
              <w:rPr>
                <w:rFonts w:ascii="Arial" w:cs="Arial" w:eastAsia="Arial" w:hAnsi="Arial"/>
                <w:b/>
                <w:bCs/>
                <w:color w:val="FFFFFF"/>
                <w:sz w:val="19"/>
                <w:szCs w:val="19"/>
              </w:rPr>
              <w:t xml:space="preserve">Detail</w:t>
            </w:r>
          </w:p>
        </w:tc>
      </w:tr>
      <w:tr>
        <w:tc>
          <w:tcPr>
            <w:tcW w:type="dxa" w:w="3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bCs/>
                <w:color w:val="1F3864"/>
                <w:sz w:val="19"/>
                <w:szCs w:val="19"/>
              </w:rPr>
              <w:t xml:space="preserve">Research Paradigm</w:t>
            </w:r>
          </w:p>
        </w:tc>
        <w:tc>
          <w:tcPr>
            <w:tcW w:type="dxa" w:w="58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Pragmatism (Creswell and Plano Clark, 2017)</w:t>
            </w:r>
          </w:p>
        </w:tc>
      </w:tr>
      <w:tr>
        <w:tc>
          <w:tcPr>
            <w:tcW w:type="dxa" w:w="32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bCs/>
                <w:color w:val="1F3864"/>
                <w:sz w:val="19"/>
                <w:szCs w:val="19"/>
              </w:rPr>
              <w:t xml:space="preserve">Overall Design</w:t>
            </w:r>
          </w:p>
        </w:tc>
        <w:tc>
          <w:tcPr>
            <w:tcW w:type="dxa" w:w="58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val="false"/>
                <w:bCs w:val="false"/>
                <w:color w:val="000000"/>
                <w:sz w:val="19"/>
                <w:szCs w:val="19"/>
              </w:rPr>
              <w:t xml:space="preserve">Sequential Explanatory Mixed-Methods</w:t>
            </w:r>
          </w:p>
        </w:tc>
      </w:tr>
      <w:tr>
        <w:tc>
          <w:tcPr>
            <w:tcW w:type="dxa" w:w="3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bCs/>
                <w:color w:val="1F3864"/>
                <w:sz w:val="19"/>
                <w:szCs w:val="19"/>
              </w:rPr>
              <w:t xml:space="preserve">Phase 1 Method</w:t>
            </w:r>
          </w:p>
        </w:tc>
        <w:tc>
          <w:tcPr>
            <w:tcW w:type="dxa" w:w="58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Self-completion online questionnaire (distributed via university VLE, student portals and departmental mailing lists)</w:t>
            </w:r>
          </w:p>
        </w:tc>
      </w:tr>
      <w:tr>
        <w:tc>
          <w:tcPr>
            <w:tcW w:type="dxa" w:w="32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bCs/>
                <w:color w:val="1F3864"/>
                <w:sz w:val="19"/>
                <w:szCs w:val="19"/>
              </w:rPr>
              <w:t xml:space="preserve">Phase 2 Method</w:t>
            </w:r>
          </w:p>
        </w:tc>
        <w:tc>
          <w:tcPr>
            <w:tcW w:type="dxa" w:w="58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val="false"/>
                <w:bCs w:val="false"/>
                <w:color w:val="000000"/>
                <w:sz w:val="19"/>
                <w:szCs w:val="19"/>
              </w:rPr>
              <w:t xml:space="preserve">Semi-structured focus groups (3–4 groups of 5–7 students each)</w:t>
            </w:r>
          </w:p>
        </w:tc>
      </w:tr>
      <w:tr>
        <w:tc>
          <w:tcPr>
            <w:tcW w:type="dxa" w:w="3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bCs/>
                <w:color w:val="1F3864"/>
                <w:sz w:val="19"/>
                <w:szCs w:val="19"/>
              </w:rPr>
              <w:t xml:space="preserve">Target Population</w:t>
            </w:r>
          </w:p>
        </w:tc>
        <w:tc>
          <w:tcPr>
            <w:tcW w:type="dxa" w:w="58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Full-time and part-time UK university students aged 18–30</w:t>
            </w:r>
          </w:p>
        </w:tc>
      </w:tr>
      <w:tr>
        <w:tc>
          <w:tcPr>
            <w:tcW w:type="dxa" w:w="32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bCs/>
                <w:color w:val="1F3864"/>
                <w:sz w:val="19"/>
                <w:szCs w:val="19"/>
              </w:rPr>
              <w:t xml:space="preserve">Est. Population Size</w:t>
            </w:r>
          </w:p>
        </w:tc>
        <w:tc>
          <w:tcPr>
            <w:tcW w:type="dxa" w:w="58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val="false"/>
                <w:bCs w:val="false"/>
                <w:color w:val="000000"/>
                <w:sz w:val="19"/>
                <w:szCs w:val="19"/>
              </w:rPr>
              <w:t xml:space="preserve">~2.9 million (HESA, 2023)</w:t>
            </w:r>
          </w:p>
        </w:tc>
      </w:tr>
      <w:tr>
        <w:tc>
          <w:tcPr>
            <w:tcW w:type="dxa" w:w="3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bCs/>
                <w:color w:val="1F3864"/>
                <w:sz w:val="19"/>
                <w:szCs w:val="19"/>
              </w:rPr>
              <w:t xml:space="preserve">Phase 1 Sampling</w:t>
            </w:r>
          </w:p>
        </w:tc>
        <w:tc>
          <w:tcPr>
            <w:tcW w:type="dxa" w:w="58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Stratified random sampling (year of study / gender / dietary preference)</w:t>
            </w:r>
          </w:p>
        </w:tc>
      </w:tr>
      <w:tr>
        <w:tc>
          <w:tcPr>
            <w:tcW w:type="dxa" w:w="32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bCs/>
                <w:color w:val="1F3864"/>
                <w:sz w:val="19"/>
                <w:szCs w:val="19"/>
              </w:rPr>
              <w:t xml:space="preserve">Phase 1 Sample Size</w:t>
            </w:r>
          </w:p>
        </w:tc>
        <w:tc>
          <w:tcPr>
            <w:tcW w:type="dxa" w:w="58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val="false"/>
                <w:bCs w:val="false"/>
                <w:color w:val="000000"/>
                <w:sz w:val="19"/>
                <w:szCs w:val="19"/>
              </w:rPr>
              <w:t xml:space="preserve">n = 210 minimum (target n = 230)</w:t>
            </w:r>
          </w:p>
        </w:tc>
      </w:tr>
      <w:tr>
        <w:tc>
          <w:tcPr>
            <w:tcW w:type="dxa" w:w="3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bCs/>
                <w:color w:val="1F3864"/>
                <w:sz w:val="19"/>
                <w:szCs w:val="19"/>
              </w:rPr>
              <w:t xml:space="preserve">Phase 2 Sampling</w:t>
            </w:r>
          </w:p>
        </w:tc>
        <w:tc>
          <w:tcPr>
            <w:tcW w:type="dxa" w:w="58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Purposive sampling ensuring diversity of discipline, diet, and social-media use</w:t>
            </w:r>
          </w:p>
        </w:tc>
      </w:tr>
      <w:tr>
        <w:tc>
          <w:tcPr>
            <w:tcW w:type="dxa" w:w="32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bCs/>
                <w:color w:val="1F3864"/>
                <w:sz w:val="19"/>
                <w:szCs w:val="19"/>
              </w:rPr>
              <w:t xml:space="preserve">Phase 2 Sample Size</w:t>
            </w:r>
          </w:p>
        </w:tc>
        <w:tc>
          <w:tcPr>
            <w:tcW w:type="dxa" w:w="58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val="false"/>
                <w:bCs w:val="false"/>
                <w:color w:val="000000"/>
                <w:sz w:val="19"/>
                <w:szCs w:val="19"/>
              </w:rPr>
              <w:t xml:space="preserve">n = 20–28 (4 groups × 5–7 participants)</w:t>
            </w:r>
          </w:p>
        </w:tc>
      </w:tr>
      <w:tr>
        <w:tc>
          <w:tcPr>
            <w:tcW w:type="dxa" w:w="3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bCs/>
                <w:color w:val="1F3864"/>
                <w:sz w:val="19"/>
                <w:szCs w:val="19"/>
              </w:rPr>
              <w:t xml:space="preserve">Analysis – Phase 1</w:t>
            </w:r>
          </w:p>
        </w:tc>
        <w:tc>
          <w:tcPr>
            <w:tcW w:type="dxa" w:w="58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000000"/>
                <w:sz w:val="19"/>
                <w:szCs w:val="19"/>
              </w:rPr>
              <w:t xml:space="preserve">IBM SPSS: descriptive statistics, chi-square tests, binary logistic regression</w:t>
            </w:r>
          </w:p>
        </w:tc>
      </w:tr>
      <w:tr>
        <w:tc>
          <w:tcPr>
            <w:tcW w:type="dxa" w:w="32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bCs/>
                <w:color w:val="1F3864"/>
                <w:sz w:val="19"/>
                <w:szCs w:val="19"/>
              </w:rPr>
              <w:t xml:space="preserve">Analysis – Phase 2</w:t>
            </w:r>
          </w:p>
        </w:tc>
        <w:tc>
          <w:tcPr>
            <w:tcW w:type="dxa" w:w="5800"/>
            <w:tcBorders>
              <w:top w:val="single" w:color="AAAAAA" w:sz="1"/>
              <w:left w:val="single" w:color="AAAAAA" w:sz="1"/>
              <w:bottom w:val="single" w:color="AAAAAA" w:sz="1"/>
              <w:right w:val="single" w:color="AAAAAA" w:sz="1"/>
            </w:tcBorders>
            <w:shd w:fill="F2F4F8" w:val="clear"/>
            <w:tcMar>
              <w:top w:type="dxa" w:w="90"/>
              <w:left w:type="dxa" w:w="120"/>
              <w:bottom w:type="dxa" w:w="90"/>
              <w:right w:type="dxa" w:w="120"/>
            </w:tcMar>
          </w:tcPr>
          <w:p>
            <w:r>
              <w:rPr>
                <w:rFonts w:ascii="Arial" w:cs="Arial" w:eastAsia="Arial" w:hAnsi="Arial"/>
                <w:b w:val="false"/>
                <w:bCs w:val="false"/>
                <w:color w:val="000000"/>
                <w:sz w:val="19"/>
                <w:szCs w:val="19"/>
              </w:rPr>
              <w:t xml:space="preserve">Thematic analysis (Braun and Clarke, 2006) supported by NVivo 14</w:t>
            </w:r>
          </w:p>
        </w:tc>
      </w:tr>
    </w:tbl>
    <w:p>
      <w:pPr>
        <w:spacing w:after="0" w:before="180"/>
      </w:pPr>
      <w:r>
        <w:t xml:space="preserve"/>
      </w:r>
    </w:p>
    <w:p>
      <w:pPr>
        <w:pStyle w:val="Heading2"/>
        <w:spacing w:after="140" w:before="280"/>
      </w:pPr>
      <w:r>
        <w:rPr>
          <w:rFonts w:ascii="Arial" w:cs="Arial" w:eastAsia="Arial" w:hAnsi="Arial"/>
          <w:b/>
          <w:bCs/>
          <w:color w:val="2E5496"/>
          <w:sz w:val="24"/>
          <w:szCs w:val="24"/>
        </w:rPr>
        <w:t xml:space="preserve">3.3 Research Design: Sequential Explanatory Mixed Methods</w:t>
      </w:r>
    </w:p>
    <w:p>
      <w:pPr>
        <w:spacing w:after="120" w:before="120" w:line="480"/>
        <w:jc w:val="both"/>
      </w:pPr>
      <w:r>
        <w:rPr>
          <w:rFonts w:ascii="Times New Roman" w:cs="Times New Roman" w:eastAsia="Times New Roman" w:hAnsi="Times New Roman"/>
          <w:sz w:val="22"/>
          <w:szCs w:val="22"/>
        </w:rPr>
        <w:t xml:space="preserve">A sequential explanatory design is employed, in which Phase 1 quantitative data collection precedes and directly informs Phase 2 qualitative inquiry (Creswell and Plano Clark, 2017). This sequencing is theoretically justified: the survey generates a broad statistical picture of awareness, attitudes, and purchasing patterns, whilst focus groups are deployed specifically to explain and contextualise the patterns — including unexpected or counterintuitive findings — that the quantitative phase reveals. The two phases are therefore analytically integrated rather than merely juxtaposed, and the design as a whole maps onto each of the four research questions, with RQ1 and RQ3 addressed primarily quantitatively and RQ2 and RQ4 addressed through the synergy of both phases.</w:t>
      </w:r>
    </w:p>
    <w:p>
      <w:pPr>
        <w:pStyle w:val="Heading2"/>
        <w:spacing w:after="140" w:before="280"/>
      </w:pPr>
      <w:r>
        <w:rPr>
          <w:rFonts w:ascii="Arial" w:cs="Arial" w:eastAsia="Arial" w:hAnsi="Arial"/>
          <w:b/>
          <w:bCs/>
          <w:color w:val="2E5496"/>
          <w:sz w:val="24"/>
          <w:szCs w:val="24"/>
        </w:rPr>
        <w:t xml:space="preserve">3.4 Phase 1: Self-Completion Online Questionnaire</w:t>
      </w:r>
    </w:p>
    <w:p>
      <w:pPr>
        <w:spacing w:after="120" w:before="120" w:line="480"/>
        <w:jc w:val="both"/>
      </w:pPr>
      <w:r>
        <w:rPr>
          <w:rFonts w:ascii="Times New Roman" w:cs="Times New Roman" w:eastAsia="Times New Roman" w:hAnsi="Times New Roman"/>
          <w:sz w:val="22"/>
          <w:szCs w:val="22"/>
        </w:rPr>
        <w:t xml:space="preserve">The Phase 1 instrument is a self-completion online questionnaire distributed exclusively via university virtual learning environments (VLEs), departmental mailing lists, and student union digital communications channels, ensuring targeted access to the defined population without reliance on commercial survey platforms. The use of institutionally administered distribution channels maximises sampling control, reduces self-selection bias, and aligns with established best practice for student population research (Saunders, Lewis and Thornhill, 2019).</w:t>
      </w:r>
    </w:p>
    <w:p>
      <w:pPr>
        <w:spacing w:after="120" w:before="120" w:line="480"/>
        <w:jc w:val="both"/>
      </w:pPr>
      <w:r>
        <w:rPr>
          <w:rFonts w:ascii="Times New Roman" w:cs="Times New Roman" w:eastAsia="Times New Roman" w:hAnsi="Times New Roman"/>
          <w:sz w:val="22"/>
          <w:szCs w:val="22"/>
        </w:rPr>
        <w:t xml:space="preserve">The questionnaire is built upon a validated Likert-scale instrument adapted from Verbeke (2005) and Urala and Lahteenmaki (2007), measuring five dimensions: awareness and knowledge of gut-health functional foods; attitudes towards perceived health benefits; trust in health claims and product labelling; purchasing behaviour and purchase barriers; and information source preferences. A five-point response scale is employed (Likert, 1932), ranging from 1 (Strongly Disagree) to 5 (Strongly Agree). The instrument will be piloted with a convenience sample of 20 students prior to full deployment, enabling assessment of item clarity, internal consistency (Cronbach's alpha target: &gt; 0.7), and completion time. Quantitative data will be analysed in IBM SPSS Statistics, employing descriptive statistics, cross-tabulation with chi-square tests of association, and binary logistic regression to model the predictors of purchasing intent (Pallant, 2020).</w:t>
      </w:r>
    </w:p>
    <w:p>
      <w:pPr>
        <w:pStyle w:val="Heading2"/>
        <w:spacing w:after="140" w:before="280"/>
      </w:pPr>
      <w:r>
        <w:rPr>
          <w:rFonts w:ascii="Arial" w:cs="Arial" w:eastAsia="Arial" w:hAnsi="Arial"/>
          <w:b/>
          <w:bCs/>
          <w:color w:val="2E5496"/>
          <w:sz w:val="24"/>
          <w:szCs w:val="24"/>
        </w:rPr>
        <w:t xml:space="preserve">3.5 Phase 2: Semi-Structured Focus Groups</w:t>
      </w:r>
    </w:p>
    <w:p>
      <w:pPr>
        <w:spacing w:after="120" w:before="120" w:line="480"/>
        <w:jc w:val="both"/>
      </w:pPr>
      <w:r>
        <w:rPr>
          <w:rFonts w:ascii="Times New Roman" w:cs="Times New Roman" w:eastAsia="Times New Roman" w:hAnsi="Times New Roman"/>
          <w:sz w:val="22"/>
          <w:szCs w:val="22"/>
        </w:rPr>
        <w:t xml:space="preserve">Phase 2 consists of four semi-structured focus groups of five to seven participants each, scheduled after preliminary Phase 1 analysis is available. The focus group format is selected over individual interviews because it produces naturally occurring social interaction — including disagreement, negotiation, and peer influence — that reflects the social processes through which students actually form opinions about gut-health products (Bryman, 2016). The semi-structured format ensures analytical coherence through a standardised discussion guide, whilst retaining the flexibility to pursue emergent themes identified in Phase 1.</w:t>
      </w:r>
    </w:p>
    <w:p>
      <w:pPr>
        <w:spacing w:after="120" w:before="120" w:line="480"/>
        <w:jc w:val="both"/>
      </w:pPr>
      <w:r>
        <w:rPr>
          <w:rFonts w:ascii="Times New Roman" w:cs="Times New Roman" w:eastAsia="Times New Roman" w:hAnsi="Times New Roman"/>
          <w:sz w:val="22"/>
          <w:szCs w:val="22"/>
        </w:rPr>
        <w:t xml:space="preserve">Sessions will be audio-recorded with participant consent, transcribed verbatim by the researcher, and analysed using the six-phase thematic analysis framework established by Braun and Clarke (2006): familiarisation, generating initial codes, searching for themes, reviewing themes, defining and naming themes, and producing the report. NVivo 14 software will be employed to manage coding and theme development. Analytical rigour will be ensured through reflexive journaling, an audit trail of coding decisions, and member-checking of key themes with a subset of participants (Corbin and Strauss, 2015).</w:t>
      </w:r>
    </w:p>
    <w:p>
      <w:pPr>
        <w:pStyle w:val="Heading2"/>
        <w:spacing w:after="140" w:before="280"/>
      </w:pPr>
      <w:r>
        <w:rPr>
          <w:rFonts w:ascii="Arial" w:cs="Arial" w:eastAsia="Arial" w:hAnsi="Arial"/>
          <w:b/>
          <w:bCs/>
          <w:color w:val="2E5496"/>
          <w:sz w:val="24"/>
          <w:szCs w:val="24"/>
        </w:rPr>
        <w:t xml:space="preserve">3.6 Population, Sampling, and Sample Size</w:t>
      </w:r>
    </w:p>
    <w:p>
      <w:pPr>
        <w:spacing w:after="120" w:before="120" w:line="480"/>
        <w:jc w:val="both"/>
      </w:pPr>
      <w:r>
        <w:rPr>
          <w:rFonts w:ascii="Times New Roman" w:cs="Times New Roman" w:eastAsia="Times New Roman" w:hAnsi="Times New Roman"/>
          <w:sz w:val="22"/>
          <w:szCs w:val="22"/>
        </w:rPr>
        <w:t xml:space="preserve">The target population for Phase 1 is full-time and part-time students aged 18 to 30 currently enrolled at UK universities, representing an accessible and bounded subset of the approximately 2.9 million registered students nationally (HESA, 2023). For Phase 1, stratified random sampling is employed, stratifying the sampling frame by year of study (undergraduate / postgraduate), self-reported gender (male / female / non-binary / prefer not to say), and dietary preference (omnivore / vegetarian / vegan / other). Stratification is theoretically motivated: prior research suggests that awareness levels, dietary behaviour, and social media engagement differ systematically across these subgroups (Deliens et al., 2014; Annunziata and Vecchio, 2013), and stratified sampling ensures that these differences are proportionally represented in the sample and can be meaningfully analysed through subgroup comparisons.</w:t>
      </w:r>
    </w:p>
    <w:p>
      <w:pPr>
        <w:spacing w:after="120" w:before="120" w:line="480"/>
        <w:jc w:val="both"/>
      </w:pPr>
      <w:r>
        <w:rPr>
          <w:rFonts w:ascii="Times New Roman" w:cs="Times New Roman" w:eastAsia="Times New Roman" w:hAnsi="Times New Roman"/>
          <w:sz w:val="22"/>
          <w:szCs w:val="22"/>
        </w:rPr>
        <w:t xml:space="preserve">A minimum sample of n = 210 is targeted for Phase 1, with an aspirational target of n = 230 to allow for incomplete responses. This sample size is sufficient to support chi-square analysis with adequate statistical power (p &lt; 0.05, effect size w = 0.3) and binary logistic regression with multiple predictor variables (Pallant, 2020; Saunders, Lewis and Thornhill, 2019). The questionnaire will remain open for three weeks, with automated reminder communications sent at Day 7 and Day 14 to maximise response rate.</w:t>
      </w:r>
    </w:p>
    <w:p>
      <w:pPr>
        <w:spacing w:after="120" w:before="120" w:line="480"/>
        <w:jc w:val="both"/>
      </w:pPr>
      <w:r>
        <w:rPr>
          <w:rFonts w:ascii="Times New Roman" w:cs="Times New Roman" w:eastAsia="Times New Roman" w:hAnsi="Times New Roman"/>
          <w:sz w:val="22"/>
          <w:szCs w:val="22"/>
        </w:rPr>
        <w:t xml:space="preserve">For Phase 2, purposive sampling is employed to recruit four focus groups of five to seven participants each (total n = 20–28), selected to ensure diversity of academic discipline, year of study, dietary preference, and reported frequency of social media use. Recruitment will be managed through academic department contacts and student union communications. Theoretical saturation — the point at which additional data yield no new thematic insight — will guide the decision to cease recruitment (Corbin and Strauss, 2015). Four groups is anticipated to be sufficient based on comparable studies in this field (Bryman, 2016).</w:t>
      </w:r>
    </w:p>
    <w:p>
      <w:pPr>
        <w:pStyle w:val="Heading2"/>
        <w:spacing w:after="140" w:before="280"/>
      </w:pPr>
      <w:r>
        <w:rPr>
          <w:rFonts w:ascii="Arial" w:cs="Arial" w:eastAsia="Arial" w:hAnsi="Arial"/>
          <w:b/>
          <w:bCs/>
          <w:color w:val="2E5496"/>
          <w:sz w:val="24"/>
          <w:szCs w:val="24"/>
        </w:rPr>
        <w:t xml:space="preserve">3.7 Research Ethics</w:t>
      </w:r>
    </w:p>
    <w:p>
      <w:pPr>
        <w:spacing w:after="120" w:before="120" w:line="480"/>
        <w:jc w:val="both"/>
      </w:pPr>
      <w:r>
        <w:rPr>
          <w:rFonts w:ascii="Times New Roman" w:cs="Times New Roman" w:eastAsia="Times New Roman" w:hAnsi="Times New Roman"/>
          <w:sz w:val="22"/>
          <w:szCs w:val="22"/>
        </w:rPr>
        <w:t xml:space="preserve">Full ethics approval will be sought from the UWL Research Ethics Panel prior to any data collection, in accordance with institutional requirements and the guidelines of the British Sociological Association (BSA). No data collection will commence until unconditional approval is confirmed. All participation will be strictly voluntary; participants will be explicitly informed of their right to withdraw at any stage without consequence, and no incentives will be offered that could unduly influence participation.</w:t>
      </w:r>
    </w:p>
    <w:p>
      <w:pPr>
        <w:spacing w:after="120" w:before="120" w:line="480"/>
        <w:jc w:val="both"/>
      </w:pPr>
      <w:r>
        <w:rPr>
          <w:rFonts w:ascii="Times New Roman" w:cs="Times New Roman" w:eastAsia="Times New Roman" w:hAnsi="Times New Roman"/>
          <w:sz w:val="22"/>
          <w:szCs w:val="22"/>
        </w:rPr>
        <w:t xml:space="preserve">All participants will receive a written Participant Information Sheet and provide signed informed consent prior to involvement. No personally identifiable information will be collected in the questionnaire; focus group transcripts will be anonymised at the point of transcription and pseudonyms assigned. All data will be stored on encrypted, password-protected university-approved servers, retained for a maximum of five years in accordance with UWL data management policy, and processed in full compliance with the UK General Data Protection Regulation (UK GDPR, 2018). Focus group participants will be reminded of the importance of confidentiality within the group prior to each session. Any distress arising during focus group discussion will be managed in accordance with UWL researcher duty-of-care protocols.</w:t>
      </w:r>
    </w:p>
    <w:p>
      <w:pPr>
        <w:pageBreakBefore/>
      </w:pPr>
      <w: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References</w:t>
      </w:r>
    </w:p>
    <w:p>
      <w:pPr>
        <w:spacing w:after="80" w:before="80" w:line="480"/>
        <w:ind w:left="720" w:hanging="720"/>
        <w:jc w:val="both"/>
      </w:pPr>
      <w:r>
        <w:rPr>
          <w:rFonts w:ascii="Times New Roman" w:cs="Times New Roman" w:eastAsia="Times New Roman" w:hAnsi="Times New Roman"/>
          <w:sz w:val="22"/>
          <w:szCs w:val="22"/>
        </w:rPr>
        <w:t xml:space="preserve">Ajzen, I. (1991). The theory of planned behavior. Organizational Behavior and Human Decision Processes, 50(2), pp.179–211.</w:t>
      </w:r>
    </w:p>
    <w:p>
      <w:pPr>
        <w:spacing w:after="80" w:before="80" w:line="480"/>
        <w:ind w:left="720" w:hanging="720"/>
        <w:jc w:val="both"/>
      </w:pPr>
      <w:r>
        <w:rPr>
          <w:rFonts w:ascii="Times New Roman" w:cs="Times New Roman" w:eastAsia="Times New Roman" w:hAnsi="Times New Roman"/>
          <w:sz w:val="22"/>
          <w:szCs w:val="22"/>
        </w:rPr>
        <w:t xml:space="preserve">Annunziata, A. and Vecchio, R. (2013). Functional foods development in the European market: a consumer perspective. Journal of Functional Foods, 5(3), pp.1215–1231.</w:t>
      </w:r>
    </w:p>
    <w:p>
      <w:pPr>
        <w:spacing w:after="80" w:before="80" w:line="480"/>
        <w:ind w:left="720" w:hanging="720"/>
        <w:jc w:val="both"/>
      </w:pPr>
      <w:r>
        <w:rPr>
          <w:rFonts w:ascii="Times New Roman" w:cs="Times New Roman" w:eastAsia="Times New Roman" w:hAnsi="Times New Roman"/>
          <w:sz w:val="22"/>
          <w:szCs w:val="22"/>
        </w:rPr>
        <w:t xml:space="preserve">Becker, M.H. (1974). The health belief model and personal health behavior. Health Education Monographs, 2(4), pp.324–473.</w:t>
      </w:r>
    </w:p>
    <w:p>
      <w:pPr>
        <w:spacing w:after="80" w:before="80" w:line="480"/>
        <w:ind w:left="720" w:hanging="720"/>
        <w:jc w:val="both"/>
      </w:pPr>
      <w:r>
        <w:rPr>
          <w:rFonts w:ascii="Times New Roman" w:cs="Times New Roman" w:eastAsia="Times New Roman" w:hAnsi="Times New Roman"/>
          <w:sz w:val="22"/>
          <w:szCs w:val="22"/>
        </w:rPr>
        <w:t xml:space="preserve">Braun, V. and Clarke, V. (2006). Using thematic analysis in psychology. Qualitative Research in Psychology, 3(2), pp.77–101.</w:t>
      </w:r>
    </w:p>
    <w:p>
      <w:pPr>
        <w:spacing w:after="80" w:before="80" w:line="480"/>
        <w:ind w:left="720" w:hanging="720"/>
        <w:jc w:val="both"/>
      </w:pPr>
      <w:r>
        <w:rPr>
          <w:rFonts w:ascii="Times New Roman" w:cs="Times New Roman" w:eastAsia="Times New Roman" w:hAnsi="Times New Roman"/>
          <w:sz w:val="22"/>
          <w:szCs w:val="22"/>
        </w:rPr>
        <w:t xml:space="preserve">Bryman, A. (2016). Social research methods. 5th edn. Oxford: Oxford University Press.</w:t>
      </w:r>
    </w:p>
    <w:p>
      <w:pPr>
        <w:spacing w:after="80" w:before="80" w:line="480"/>
        <w:ind w:left="720" w:hanging="720"/>
        <w:jc w:val="both"/>
      </w:pPr>
      <w:r>
        <w:rPr>
          <w:rFonts w:ascii="Times New Roman" w:cs="Times New Roman" w:eastAsia="Times New Roman" w:hAnsi="Times New Roman"/>
          <w:sz w:val="22"/>
          <w:szCs w:val="22"/>
        </w:rPr>
        <w:t xml:space="preserve">Corbin, J. and Strauss, A. (2015). Basics of qualitative research: techniques and procedures for developing grounded theory. 4th edn. Thousand Oaks: SAGE.</w:t>
      </w:r>
    </w:p>
    <w:p>
      <w:pPr>
        <w:spacing w:after="80" w:before="80" w:line="480"/>
        <w:ind w:left="720" w:hanging="720"/>
        <w:jc w:val="both"/>
      </w:pPr>
      <w:r>
        <w:rPr>
          <w:rFonts w:ascii="Times New Roman" w:cs="Times New Roman" w:eastAsia="Times New Roman" w:hAnsi="Times New Roman"/>
          <w:sz w:val="22"/>
          <w:szCs w:val="22"/>
        </w:rPr>
        <w:t xml:space="preserve">Creswell, J.W. and Plano Clark, V.L. (2017). Designing and conducting mixed methods research. 3rd edn. Thousand Oaks: SAGE.</w:t>
      </w:r>
    </w:p>
    <w:p>
      <w:pPr>
        <w:spacing w:after="80" w:before="80" w:line="480"/>
        <w:ind w:left="720" w:hanging="720"/>
        <w:jc w:val="both"/>
      </w:pPr>
      <w:r>
        <w:rPr>
          <w:rFonts w:ascii="Times New Roman" w:cs="Times New Roman" w:eastAsia="Times New Roman" w:hAnsi="Times New Roman"/>
          <w:sz w:val="22"/>
          <w:szCs w:val="22"/>
        </w:rPr>
        <w:t xml:space="preserve">Deliens, T., Clarys, P., De Bourdeaudhuij, I. and Deforche, B. (2014). Determinants of eating behaviour in university students: a qualitative study using focus group discussions. BMC Public Health, 14(1), p.53.</w:t>
      </w:r>
    </w:p>
    <w:p>
      <w:pPr>
        <w:spacing w:after="80" w:before="80" w:line="480"/>
        <w:ind w:left="720" w:hanging="720"/>
        <w:jc w:val="both"/>
      </w:pPr>
      <w:r>
        <w:rPr>
          <w:rFonts w:ascii="Times New Roman" w:cs="Times New Roman" w:eastAsia="Times New Roman" w:hAnsi="Times New Roman"/>
          <w:sz w:val="22"/>
          <w:szCs w:val="22"/>
        </w:rPr>
        <w:t xml:space="preserve">Dimidi, E., Cox, S.R., Rossi, M. and Whelan, K. (2019). Fermented foods: definitions and characteristics, impact on the gut microbiota and effects on gastrointestinal health and disease. Nutrients, 11(8), p.1806.</w:t>
      </w:r>
    </w:p>
    <w:p>
      <w:pPr>
        <w:spacing w:after="80" w:before="80" w:line="480"/>
        <w:ind w:left="720" w:hanging="720"/>
        <w:jc w:val="both"/>
      </w:pPr>
      <w:r>
        <w:rPr>
          <w:rFonts w:ascii="Times New Roman" w:cs="Times New Roman" w:eastAsia="Times New Roman" w:hAnsi="Times New Roman"/>
          <w:sz w:val="22"/>
          <w:szCs w:val="22"/>
        </w:rPr>
        <w:t xml:space="preserve">El Sohaimy, S.A. (2012). Functional foods and nutraceuticals: modern approach to food science. World Applied Sciences Journal, 20(5), pp.691–708.</w:t>
      </w:r>
    </w:p>
    <w:p>
      <w:pPr>
        <w:spacing w:after="80" w:before="80" w:line="480"/>
        <w:ind w:left="720" w:hanging="720"/>
        <w:jc w:val="both"/>
      </w:pPr>
      <w:r>
        <w:rPr>
          <w:rFonts w:ascii="Times New Roman" w:cs="Times New Roman" w:eastAsia="Times New Roman" w:hAnsi="Times New Roman"/>
          <w:sz w:val="22"/>
          <w:szCs w:val="22"/>
        </w:rPr>
        <w:t xml:space="preserve">Faber, I., Adamse, C., Doets, E.L., Hoevenaars, F., Dhonukshe-Rutten, R. and de Groot, C. (2020). Consumer understanding of probiotic and prebiotic labels: a systematic review. International Journal of Food Science and Technology, 55(2), pp.551–559.</w:t>
      </w:r>
    </w:p>
    <w:p>
      <w:pPr>
        <w:spacing w:after="80" w:before="80" w:line="480"/>
        <w:ind w:left="720" w:hanging="720"/>
        <w:jc w:val="both"/>
      </w:pPr>
      <w:r>
        <w:rPr>
          <w:rFonts w:ascii="Times New Roman" w:cs="Times New Roman" w:eastAsia="Times New Roman" w:hAnsi="Times New Roman"/>
          <w:sz w:val="22"/>
          <w:szCs w:val="22"/>
        </w:rPr>
        <w:t xml:space="preserve">Gibson, G.R., Hutkins, R., Sanders, M.E., Prescott, S.L., Reimer, R.A., Salminen, S.J., Scott, K., Stanton, C., Swanson, K.S., Cani, P.D., Verbeke, K. and Reid, G. (2017). Expert consensus document: the International Scientific Association for Probiotics and Prebiotics (ISAPP) consensus statement on the definition and scope of prebiotics. Nature Reviews Gastroenterology and Hepatology, 14(8), pp.491–502.</w:t>
      </w:r>
    </w:p>
    <w:p>
      <w:pPr>
        <w:spacing w:after="80" w:before="80" w:line="480"/>
        <w:ind w:left="720" w:hanging="720"/>
        <w:jc w:val="both"/>
      </w:pPr>
      <w:r>
        <w:rPr>
          <w:rFonts w:ascii="Times New Roman" w:cs="Times New Roman" w:eastAsia="Times New Roman" w:hAnsi="Times New Roman"/>
          <w:sz w:val="22"/>
          <w:szCs w:val="22"/>
        </w:rPr>
        <w:t xml:space="preserve">Grand View Research (2023). Probiotic market size, share and trends analysis report to 2030. San Francisco: Grand View Research.</w:t>
      </w:r>
    </w:p>
    <w:p>
      <w:pPr>
        <w:spacing w:after="80" w:before="80" w:line="480"/>
        <w:ind w:left="720" w:hanging="720"/>
        <w:jc w:val="both"/>
      </w:pPr>
      <w:r>
        <w:rPr>
          <w:rFonts w:ascii="Times New Roman" w:cs="Times New Roman" w:eastAsia="Times New Roman" w:hAnsi="Times New Roman"/>
          <w:sz w:val="22"/>
          <w:szCs w:val="22"/>
        </w:rPr>
        <w:t xml:space="preserve">HESA (2023). Higher education student statistics: UK, 2021–22. Cheltenham: Higher Education Statistics Agency. Available at: https://www.hesa.ac.uk/data-and-analysis/students (Accessed: 1 May 2026).</w:t>
      </w:r>
    </w:p>
    <w:p>
      <w:pPr>
        <w:spacing w:after="80" w:before="80" w:line="480"/>
        <w:ind w:left="720" w:hanging="720"/>
        <w:jc w:val="both"/>
      </w:pPr>
      <w:r>
        <w:rPr>
          <w:rFonts w:ascii="Times New Roman" w:cs="Times New Roman" w:eastAsia="Times New Roman" w:hAnsi="Times New Roman"/>
          <w:sz w:val="22"/>
          <w:szCs w:val="22"/>
        </w:rPr>
        <w:t xml:space="preserve">Hill, C., Guarner, F., Reid, G., Gibson, G.R., Merenstein, D.J., Pot, B., Morelli, L., Canani, R.B., Flint, H.J., Salminen, S., Calder, P.C. and Sanders, M.E. (2014). The International Scientific Association for Probiotics and Prebiotics consensus statement on the scope and appropriate use of the term probiotic. Nature Reviews Gastroenterology and Hepatology, 11(8), pp.506–514.</w:t>
      </w:r>
    </w:p>
    <w:p>
      <w:pPr>
        <w:spacing w:after="80" w:before="80" w:line="480"/>
        <w:ind w:left="720" w:hanging="720"/>
        <w:jc w:val="both"/>
      </w:pPr>
      <w:r>
        <w:rPr>
          <w:rFonts w:ascii="Times New Roman" w:cs="Times New Roman" w:eastAsia="Times New Roman" w:hAnsi="Times New Roman"/>
          <w:sz w:val="22"/>
          <w:szCs w:val="22"/>
        </w:rPr>
        <w:t xml:space="preserve">Kotilainen, L., Rajalahti, R., Ragasa, C. and Pehu, E. (2006). Health enhancing foods: opportunities for strengthening the sector in developing countries. Agriculture and Rural Development Discussion Paper 30. Washington DC: World Bank.</w:t>
      </w:r>
    </w:p>
    <w:p>
      <w:pPr>
        <w:spacing w:after="80" w:before="80" w:line="480"/>
        <w:ind w:left="720" w:hanging="720"/>
        <w:jc w:val="both"/>
      </w:pPr>
      <w:r>
        <w:rPr>
          <w:rFonts w:ascii="Times New Roman" w:cs="Times New Roman" w:eastAsia="Times New Roman" w:hAnsi="Times New Roman"/>
          <w:sz w:val="22"/>
          <w:szCs w:val="22"/>
        </w:rPr>
        <w:t xml:space="preserve">Likert, R. (1932). A technique for the measurement of attitudes. Archives of Psychology, 22(140), pp.1–55.</w:t>
      </w:r>
    </w:p>
    <w:p>
      <w:pPr>
        <w:spacing w:after="80" w:before="80" w:line="480"/>
        <w:ind w:left="720" w:hanging="720"/>
        <w:jc w:val="both"/>
      </w:pPr>
      <w:r>
        <w:rPr>
          <w:rFonts w:ascii="Times New Roman" w:cs="Times New Roman" w:eastAsia="Times New Roman" w:hAnsi="Times New Roman"/>
          <w:sz w:val="22"/>
          <w:szCs w:val="22"/>
        </w:rPr>
        <w:t xml:space="preserve">Marco, M.L., Heeney, D., Binda, S., Cifelli, C.J., Cotter, P.D., Foligné, B., Gänzle, M., Kort, R., Pasin, G., Pihlanto, A., Smid, E.J. and Hutkins, R. (2017). Health benefits of fermented foods: microbiota and beyond. Current Opinion in Biotechnology, 44, pp.94–102.</w:t>
      </w:r>
    </w:p>
    <w:p>
      <w:pPr>
        <w:spacing w:after="80" w:before="80" w:line="480"/>
        <w:ind w:left="720" w:hanging="720"/>
        <w:jc w:val="both"/>
      </w:pPr>
      <w:r>
        <w:rPr>
          <w:rFonts w:ascii="Times New Roman" w:cs="Times New Roman" w:eastAsia="Times New Roman" w:hAnsi="Times New Roman"/>
          <w:sz w:val="22"/>
          <w:szCs w:val="22"/>
        </w:rPr>
        <w:t xml:space="preserve">Markowiak, P. and Slizewska, K. (2017). Effects of probiotics, prebiotics and synbiotics on human health. Nutrients, 9(9), p.1021.</w:t>
      </w:r>
    </w:p>
    <w:p>
      <w:pPr>
        <w:spacing w:after="80" w:before="80" w:line="480"/>
        <w:ind w:left="720" w:hanging="720"/>
        <w:jc w:val="both"/>
      </w:pPr>
      <w:r>
        <w:rPr>
          <w:rFonts w:ascii="Times New Roman" w:cs="Times New Roman" w:eastAsia="Times New Roman" w:hAnsi="Times New Roman"/>
          <w:sz w:val="22"/>
          <w:szCs w:val="22"/>
        </w:rPr>
        <w:t xml:space="preserve">Mintel Group (2022). Gut health and digestive wellness: UK consumer market report 2022. London: Mintel Group Ltd.</w:t>
      </w:r>
    </w:p>
    <w:p>
      <w:pPr>
        <w:spacing w:after="80" w:before="80" w:line="480"/>
        <w:ind w:left="720" w:hanging="720"/>
        <w:jc w:val="both"/>
      </w:pPr>
      <w:r>
        <w:rPr>
          <w:rFonts w:ascii="Times New Roman" w:cs="Times New Roman" w:eastAsia="Times New Roman" w:hAnsi="Times New Roman"/>
          <w:sz w:val="22"/>
          <w:szCs w:val="22"/>
        </w:rPr>
        <w:t xml:space="preserve">Niva, M. (2007). 'All foods affect health': understandings of functional foods and healthy eating among health-oriented Finns. Appetite, 48(3), pp.384–393.</w:t>
      </w:r>
    </w:p>
    <w:p>
      <w:pPr>
        <w:spacing w:after="80" w:before="80" w:line="480"/>
        <w:ind w:left="720" w:hanging="720"/>
        <w:jc w:val="both"/>
      </w:pPr>
      <w:r>
        <w:rPr>
          <w:rFonts w:ascii="Times New Roman" w:cs="Times New Roman" w:eastAsia="Times New Roman" w:hAnsi="Times New Roman"/>
          <w:sz w:val="22"/>
          <w:szCs w:val="22"/>
        </w:rPr>
        <w:t xml:space="preserve">Ozen, A.E., Pons, A. and Tur, J.A. (2012). Worldwide consumption of functional foods: a systematic review. Nutrition Reviews, 70(8), pp.472–481.</w:t>
      </w:r>
    </w:p>
    <w:p>
      <w:pPr>
        <w:spacing w:after="80" w:before="80" w:line="480"/>
        <w:ind w:left="720" w:hanging="720"/>
        <w:jc w:val="both"/>
      </w:pPr>
      <w:r>
        <w:rPr>
          <w:rFonts w:ascii="Times New Roman" w:cs="Times New Roman" w:eastAsia="Times New Roman" w:hAnsi="Times New Roman"/>
          <w:sz w:val="22"/>
          <w:szCs w:val="22"/>
        </w:rPr>
        <w:t xml:space="preserve">Pallant, J. (2020). SPSS survival manual: a step-by-step guide to data analysis using IBM SPSS. 7th edn. Maidenhead: Open University Press.</w:t>
      </w:r>
    </w:p>
    <w:p>
      <w:pPr>
        <w:spacing w:after="80" w:before="80" w:line="480"/>
        <w:ind w:left="720" w:hanging="720"/>
        <w:jc w:val="both"/>
      </w:pPr>
      <w:r>
        <w:rPr>
          <w:rFonts w:ascii="Times New Roman" w:cs="Times New Roman" w:eastAsia="Times New Roman" w:hAnsi="Times New Roman"/>
          <w:sz w:val="22"/>
          <w:szCs w:val="22"/>
        </w:rPr>
        <w:t xml:space="preserve">Roberfroid, M.B. (2000). Prebiotics and probiotics: are they functional foods? American Journal of Clinical Nutrition, 71(6), pp.1682S–1687S.</w:t>
      </w:r>
    </w:p>
    <w:p>
      <w:pPr>
        <w:spacing w:after="80" w:before="80" w:line="480"/>
        <w:ind w:left="720" w:hanging="720"/>
        <w:jc w:val="both"/>
      </w:pPr>
      <w:r>
        <w:rPr>
          <w:rFonts w:ascii="Times New Roman" w:cs="Times New Roman" w:eastAsia="Times New Roman" w:hAnsi="Times New Roman"/>
          <w:sz w:val="22"/>
          <w:szCs w:val="22"/>
        </w:rPr>
        <w:t xml:space="preserve">Saunders, M., Lewis, P. and Thornhill, A. (2019). Research methods for business students. 8th edn. Harlow: Pearson Education.</w:t>
      </w:r>
    </w:p>
    <w:p>
      <w:pPr>
        <w:spacing w:after="80" w:before="80" w:line="480"/>
        <w:ind w:left="720" w:hanging="720"/>
        <w:jc w:val="both"/>
      </w:pPr>
      <w:r>
        <w:rPr>
          <w:rFonts w:ascii="Times New Roman" w:cs="Times New Roman" w:eastAsia="Times New Roman" w:hAnsi="Times New Roman"/>
          <w:sz w:val="22"/>
          <w:szCs w:val="22"/>
        </w:rPr>
        <w:t xml:space="preserve">Stanton, C., Ross, R.P., Fitzgerald, G.F. and Van Sinderen, D. (2005). Fermented functional foods based on probiotics and their biogenic metabolites. Current Opinion in Biotechnology, 16(2), pp.198–203.</w:t>
      </w:r>
    </w:p>
    <w:p>
      <w:pPr>
        <w:spacing w:after="80" w:before="80" w:line="480"/>
        <w:ind w:left="720" w:hanging="720"/>
        <w:jc w:val="both"/>
      </w:pPr>
      <w:r>
        <w:rPr>
          <w:rFonts w:ascii="Times New Roman" w:cs="Times New Roman" w:eastAsia="Times New Roman" w:hAnsi="Times New Roman"/>
          <w:sz w:val="22"/>
          <w:szCs w:val="22"/>
        </w:rPr>
        <w:t xml:space="preserve">UK General Data Protection Regulation (2018). UK GDPR. London: Information Commissioner's Office. Available at: https://ico.org.uk/for-organisations/uk-gdpr-guidance-and-resources (Accessed: 1 May 2026).</w:t>
      </w:r>
    </w:p>
    <w:p>
      <w:pPr>
        <w:spacing w:after="80" w:before="80" w:line="480"/>
        <w:ind w:left="720" w:hanging="720"/>
        <w:jc w:val="both"/>
      </w:pPr>
      <w:r>
        <w:rPr>
          <w:rFonts w:ascii="Times New Roman" w:cs="Times New Roman" w:eastAsia="Times New Roman" w:hAnsi="Times New Roman"/>
          <w:sz w:val="22"/>
          <w:szCs w:val="22"/>
        </w:rPr>
        <w:t xml:space="preserve">University of West London (2025). CA70013E Research Project: module study guide AY2025–26. London: UWL.</w:t>
      </w:r>
    </w:p>
    <w:p>
      <w:pPr>
        <w:spacing w:after="80" w:before="80" w:line="480"/>
        <w:ind w:left="720" w:hanging="720"/>
        <w:jc w:val="both"/>
      </w:pPr>
      <w:r>
        <w:rPr>
          <w:rFonts w:ascii="Times New Roman" w:cs="Times New Roman" w:eastAsia="Times New Roman" w:hAnsi="Times New Roman"/>
          <w:sz w:val="22"/>
          <w:szCs w:val="22"/>
        </w:rPr>
        <w:t xml:space="preserve">Urala, N. and Lähteenmäki, L. (2007). Consumers' changing attitudes towards functional foods. Food Quality and Preference, 18(1), pp.1–12.</w:t>
      </w:r>
    </w:p>
    <w:p>
      <w:pPr>
        <w:spacing w:after="80" w:before="80" w:line="480"/>
        <w:ind w:left="720" w:hanging="720"/>
        <w:jc w:val="both"/>
      </w:pPr>
      <w:r>
        <w:rPr>
          <w:rFonts w:ascii="Times New Roman" w:cs="Times New Roman" w:eastAsia="Times New Roman" w:hAnsi="Times New Roman"/>
          <w:sz w:val="22"/>
          <w:szCs w:val="22"/>
        </w:rPr>
        <w:t xml:space="preserve">Verbeke, W. (2005). Consumer acceptance of functional foods: socio-demographic, cognitive and attitudinal determinants. Food Quality and Preference, 16(1), pp.45–57.</w:t>
      </w:r>
    </w:p>
    <w:p>
      <w:pPr>
        <w:spacing w:after="80" w:before="80" w:line="480"/>
        <w:ind w:left="720" w:hanging="720"/>
        <w:jc w:val="both"/>
      </w:pPr>
      <w:r>
        <w:rPr>
          <w:rFonts w:ascii="Times New Roman" w:cs="Times New Roman" w:eastAsia="Times New Roman" w:hAnsi="Times New Roman"/>
          <w:sz w:val="22"/>
          <w:szCs w:val="22"/>
        </w:rPr>
        <w:t xml:space="preserve">Wastyk, H.C., Fragiadakis, G.K., Perelman, D., Dahl, W.J., Zhu, Z., Sonnenburg, J.L. and Gardner, C.D. (2021). Gut-microbiota-targeted diets modulate human immune status. Cell, 184(16), pp.4137–4153.</w:t>
      </w:r>
    </w:p>
    <w:p>
      <w:pPr>
        <w:spacing w:after="80" w:before="80" w:line="480"/>
        <w:ind w:left="720" w:hanging="720"/>
        <w:jc w:val="both"/>
      </w:pPr>
      <w:r>
        <w:rPr>
          <w:rFonts w:ascii="Times New Roman" w:cs="Times New Roman" w:eastAsia="Times New Roman" w:hAnsi="Times New Roman"/>
          <w:sz w:val="22"/>
          <w:szCs w:val="22"/>
        </w:rPr>
        <w:t xml:space="preserve">Zmora, N., Zilberman-Schapira, G., Suez, J., Mor, U., Dori-Bachash, M., Bashiardes, S., Kotler, E., Zur, M., Regev-Lehavi, D., Brik, R.B., Federici, S., Cohen, Y., Liber, E., Rothschild, D., Tamim, Z., Israel, D., Bachelet, M., Matot, I., Harmelin, A., Itzkovitz, S., Kuperman, Y., Schwartz, M., Pilpel, Y., Elinav, E. and Segal, E. (2018). Personalized gut mucosal colonization resistance to empiric probiotics is associated with unique host and microbiome features. Cell, 174(6), pp.1388–1405.</w:t>
      </w:r>
    </w:p>
    <w:p>
      <w:pPr>
        <w:pageBreakBefore/>
      </w:pPr>
      <w: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Appendix A: Research Instrument — Survey Questionnaire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00000" w:sz="8"/>
              <w:left w:val="none" w:color="FFFFFF" w:sz="0"/>
              <w:bottom w:val="single" w:color="AAAAAA" w:sz="1"/>
              <w:right w:val="none" w:color="FFFFFF" w:sz="0"/>
            </w:tcBorders>
            <w:shd w:fill="F2F4F8" w:val="clear"/>
            <w:tcMar>
              <w:top w:type="dxa" w:w="120"/>
              <w:left w:type="dxa" w:w="200"/>
              <w:bottom w:type="dxa" w:w="120"/>
              <w:right w:type="dxa" w:w="200"/>
            </w:tcMar>
          </w:tcPr>
          <w:p>
            <w:pPr>
              <w:spacing w:after="0" w:before="0" w:line="440"/>
              <w:jc w:val="both"/>
            </w:pPr>
            <w:r>
              <w:rPr>
                <w:rFonts w:ascii="Times New Roman" w:cs="Times New Roman" w:eastAsia="Times New Roman" w:hAnsi="Times New Roman"/>
                <w:i/>
                <w:iCs/>
                <w:sz w:val="20"/>
                <w:szCs w:val="20"/>
              </w:rPr>
              <w:t xml:space="preserve">Participant Information: This questionnaire forms part of a Master's-level research project at the University of West London (CA70013E). Participation is entirely voluntary and anonymous. All data are processed in accordance with UK GDPR (2018). The instrument is adapted from Verbeke (2005) and Urala and Lahteenmaki (2007). Estimated completion time: 10–12 minutes. By completing and submitting this questionnaire you are confirming your informed consent to participate.</w:t>
            </w:r>
          </w:p>
        </w:tc>
      </w:tr>
    </w:tbl>
    <w:p>
      <w:pPr>
        <w:spacing w:after="0" w:before="160"/>
      </w:pPr>
      <w:r>
        <w:t xml:space="preserve"/>
      </w:r>
    </w:p>
    <w:p>
      <w:pPr>
        <w:pStyle w:val="Heading2"/>
        <w:spacing w:after="140" w:before="280"/>
      </w:pPr>
      <w:r>
        <w:rPr>
          <w:rFonts w:ascii="Arial" w:cs="Arial" w:eastAsia="Arial" w:hAnsi="Arial"/>
          <w:b/>
          <w:bCs/>
          <w:color w:val="2E5496"/>
          <w:sz w:val="24"/>
          <w:szCs w:val="24"/>
        </w:rPr>
        <w:t xml:space="preserve">SECTION A — Demographic Background</w:t>
      </w:r>
    </w:p>
    <w:p>
      <w:pPr>
        <w:spacing w:after="0" w:before="60"/>
      </w:pPr>
      <w:r>
        <w:t xml:space="preserve"/>
      </w:r>
    </w:p>
    <w:p>
      <w:pPr>
        <w:spacing w:after="120" w:before="120" w:line="480"/>
        <w:jc w:val="both"/>
      </w:pPr>
      <w:r>
        <w:rPr>
          <w:rFonts w:ascii="Times New Roman" w:cs="Times New Roman" w:eastAsia="Times New Roman" w:hAnsi="Times New Roman"/>
          <w:sz w:val="22"/>
          <w:szCs w:val="22"/>
        </w:rPr>
        <w:t xml:space="preserve">A1. What is your current year of study?</w:t>
      </w:r>
    </w:p>
    <w:p>
      <w:pPr>
        <w:pStyle w:val="ListParagraph"/>
        <w:numPr>
          <w:ilvl w:val="0"/>
          <w:numId w:val="2"/>
        </w:numPr>
        <w:spacing w:after="80" w:before="80" w:line="440"/>
      </w:pPr>
      <w:r>
        <w:rPr>
          <w:rFonts w:ascii="Times New Roman" w:cs="Times New Roman" w:eastAsia="Times New Roman" w:hAnsi="Times New Roman"/>
          <w:sz w:val="22"/>
          <w:szCs w:val="22"/>
        </w:rPr>
        <w:t xml:space="preserve">☐  Year 1 Undergraduate        ☐  Year 2 Undergraduate        ☐  Year 3 Undergraduate        ☐  Postgraduate Taught        ☐  Other (please specify): ____________</w:t>
      </w:r>
    </w:p>
    <w:p>
      <w:pPr>
        <w:spacing w:after="0" w:before="60"/>
      </w:pPr>
      <w:r>
        <w:t xml:space="preserve"/>
      </w:r>
    </w:p>
    <w:p>
      <w:pPr>
        <w:spacing w:after="120" w:before="120" w:line="480"/>
        <w:jc w:val="both"/>
      </w:pPr>
      <w:r>
        <w:rPr>
          <w:rFonts w:ascii="Times New Roman" w:cs="Times New Roman" w:eastAsia="Times New Roman" w:hAnsi="Times New Roman"/>
          <w:sz w:val="22"/>
          <w:szCs w:val="22"/>
        </w:rPr>
        <w:t xml:space="preserve">A2. What is your age group?</w:t>
      </w:r>
    </w:p>
    <w:p>
      <w:pPr>
        <w:pStyle w:val="ListParagraph"/>
        <w:numPr>
          <w:ilvl w:val="0"/>
          <w:numId w:val="2"/>
        </w:numPr>
        <w:spacing w:after="80" w:before="80" w:line="440"/>
      </w:pPr>
      <w:r>
        <w:rPr>
          <w:rFonts w:ascii="Times New Roman" w:cs="Times New Roman" w:eastAsia="Times New Roman" w:hAnsi="Times New Roman"/>
          <w:sz w:val="22"/>
          <w:szCs w:val="22"/>
        </w:rPr>
        <w:t xml:space="preserve">☐  18–21         ☐  22–25         ☐  26–30         ☐  Over 30         ☐  Prefer not to say</w:t>
      </w:r>
    </w:p>
    <w:p>
      <w:pPr>
        <w:spacing w:after="0" w:before="60"/>
      </w:pPr>
      <w:r>
        <w:t xml:space="preserve"/>
      </w:r>
    </w:p>
    <w:p>
      <w:pPr>
        <w:spacing w:after="120" w:before="120" w:line="480"/>
        <w:jc w:val="both"/>
      </w:pPr>
      <w:r>
        <w:rPr>
          <w:rFonts w:ascii="Times New Roman" w:cs="Times New Roman" w:eastAsia="Times New Roman" w:hAnsi="Times New Roman"/>
          <w:sz w:val="22"/>
          <w:szCs w:val="22"/>
        </w:rPr>
        <w:t xml:space="preserve">A3. What is your gender?</w:t>
      </w:r>
    </w:p>
    <w:p>
      <w:pPr>
        <w:pStyle w:val="ListParagraph"/>
        <w:numPr>
          <w:ilvl w:val="0"/>
          <w:numId w:val="2"/>
        </w:numPr>
        <w:spacing w:after="80" w:before="80" w:line="440"/>
      </w:pPr>
      <w:r>
        <w:rPr>
          <w:rFonts w:ascii="Times New Roman" w:cs="Times New Roman" w:eastAsia="Times New Roman" w:hAnsi="Times New Roman"/>
          <w:sz w:val="22"/>
          <w:szCs w:val="22"/>
        </w:rPr>
        <w:t xml:space="preserve">☐  Male         ☐  Female         ☐  Non-binary / gender diverse         ☐  Prefer to self-describe: _________         ☐  Prefer not to say</w:t>
      </w:r>
    </w:p>
    <w:p>
      <w:pPr>
        <w:spacing w:after="0" w:before="60"/>
      </w:pPr>
      <w:r>
        <w:t xml:space="preserve"/>
      </w:r>
    </w:p>
    <w:p>
      <w:pPr>
        <w:spacing w:after="120" w:before="120" w:line="480"/>
        <w:jc w:val="both"/>
      </w:pPr>
      <w:r>
        <w:rPr>
          <w:rFonts w:ascii="Times New Roman" w:cs="Times New Roman" w:eastAsia="Times New Roman" w:hAnsi="Times New Roman"/>
          <w:sz w:val="22"/>
          <w:szCs w:val="22"/>
        </w:rPr>
        <w:t xml:space="preserve">A4. What best describes your current dietary pattern?</w:t>
      </w:r>
    </w:p>
    <w:p>
      <w:pPr>
        <w:pStyle w:val="ListParagraph"/>
        <w:numPr>
          <w:ilvl w:val="0"/>
          <w:numId w:val="2"/>
        </w:numPr>
        <w:spacing w:after="80" w:before="80" w:line="440"/>
      </w:pPr>
      <w:r>
        <w:rPr>
          <w:rFonts w:ascii="Times New Roman" w:cs="Times New Roman" w:eastAsia="Times New Roman" w:hAnsi="Times New Roman"/>
          <w:sz w:val="22"/>
          <w:szCs w:val="22"/>
        </w:rPr>
        <w:t xml:space="preserve">☐  Omnivore (eat meat and plant foods)         ☐  Vegetarian         ☐  Vegan         ☐  Pescatarian         ☐  Other: ____________</w:t>
      </w:r>
    </w:p>
    <w:p>
      <w:pPr>
        <w:spacing w:after="0" w:before="60"/>
      </w:pPr>
      <w:r>
        <w:t xml:space="preserve"/>
      </w:r>
    </w:p>
    <w:p>
      <w:pPr>
        <w:spacing w:after="120" w:before="120" w:line="480"/>
        <w:jc w:val="both"/>
      </w:pPr>
      <w:r>
        <w:rPr>
          <w:rFonts w:ascii="Times New Roman" w:cs="Times New Roman" w:eastAsia="Times New Roman" w:hAnsi="Times New Roman"/>
          <w:sz w:val="22"/>
          <w:szCs w:val="22"/>
        </w:rPr>
        <w:t xml:space="preserve">A5. What is your primary field of study?</w:t>
      </w:r>
    </w:p>
    <w:p>
      <w:pPr>
        <w:pStyle w:val="ListParagraph"/>
        <w:numPr>
          <w:ilvl w:val="0"/>
          <w:numId w:val="2"/>
        </w:numPr>
        <w:spacing w:after="80" w:before="80" w:line="440"/>
      </w:pPr>
      <w:r>
        <w:rPr>
          <w:rFonts w:ascii="Times New Roman" w:cs="Times New Roman" w:eastAsia="Times New Roman" w:hAnsi="Times New Roman"/>
          <w:sz w:val="22"/>
          <w:szCs w:val="22"/>
        </w:rPr>
        <w:t xml:space="preserve">☐  Science / Health / Nursing         ☐  Business / Management         ☐  Arts / Humanities         ☐  Engineering / Technology         ☐  Social Sciences         ☐  Other: ____________</w:t>
      </w:r>
    </w:p>
    <w:p>
      <w:pPr>
        <w:spacing w:after="0" w:before="60"/>
      </w:pPr>
      <w:r>
        <w:t xml:space="preserve"/>
      </w:r>
    </w:p>
    <w:p>
      <w:pPr>
        <w:spacing w:after="120" w:before="120" w:line="480"/>
        <w:jc w:val="both"/>
      </w:pPr>
      <w:r>
        <w:rPr>
          <w:rFonts w:ascii="Times New Roman" w:cs="Times New Roman" w:eastAsia="Times New Roman" w:hAnsi="Times New Roman"/>
          <w:sz w:val="22"/>
          <w:szCs w:val="22"/>
        </w:rPr>
        <w:t xml:space="preserve">A6. How would you describe your household food budget per week?</w:t>
      </w:r>
    </w:p>
    <w:p>
      <w:pPr>
        <w:pStyle w:val="ListParagraph"/>
        <w:numPr>
          <w:ilvl w:val="0"/>
          <w:numId w:val="2"/>
        </w:numPr>
        <w:spacing w:after="80" w:before="80" w:line="440"/>
      </w:pPr>
      <w:r>
        <w:rPr>
          <w:rFonts w:ascii="Times New Roman" w:cs="Times New Roman" w:eastAsia="Times New Roman" w:hAnsi="Times New Roman"/>
          <w:sz w:val="22"/>
          <w:szCs w:val="22"/>
        </w:rPr>
        <w:t xml:space="preserve">☐  Under £20         ☐  £20–£40         ☐  £41–£60         ☐  Over £60         ☐  Prefer not to say</w:t>
      </w:r>
    </w:p>
    <w:p>
      <w:pPr>
        <w:spacing w:after="0" w:before="160"/>
      </w:pPr>
      <w:r>
        <w:t xml:space="preserve"/>
      </w:r>
    </w:p>
    <w:p>
      <w:pPr>
        <w:pStyle w:val="Heading2"/>
        <w:spacing w:after="140" w:before="280"/>
      </w:pPr>
      <w:r>
        <w:rPr>
          <w:rFonts w:ascii="Arial" w:cs="Arial" w:eastAsia="Arial" w:hAnsi="Arial"/>
          <w:b/>
          <w:bCs/>
          <w:color w:val="2E5496"/>
          <w:sz w:val="24"/>
          <w:szCs w:val="24"/>
        </w:rPr>
        <w:t xml:space="preserve">SECTION B — Awareness and Knowledge of Gut-Health Products</w:t>
      </w:r>
    </w:p>
    <w:p>
      <w:pPr>
        <w:spacing w:after="0" w:before="60"/>
      </w:pPr>
      <w:r>
        <w:t xml:space="preserve"/>
      </w:r>
    </w:p>
    <w:p>
      <w:pPr>
        <w:spacing w:after="120" w:before="120" w:line="480"/>
        <w:jc w:val="both"/>
      </w:pPr>
      <w:r>
        <w:rPr>
          <w:rFonts w:ascii="Times New Roman" w:cs="Times New Roman" w:eastAsia="Times New Roman" w:hAnsi="Times New Roman"/>
          <w:sz w:val="22"/>
          <w:szCs w:val="22"/>
        </w:rPr>
        <w:t xml:space="preserve">Please rate your agreement with each statement using the scale below. Circle or select one number per row.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00000" w:sz="8"/>
              <w:left w:val="none" w:color="FFFFFF" w:sz="0"/>
              <w:bottom w:val="single" w:color="AAAAAA" w:sz="1"/>
              <w:right w:val="none" w:color="FFFFFF" w:sz="0"/>
            </w:tcBorders>
            <w:shd w:fill="F2F4F8" w:val="clear"/>
            <w:tcMar>
              <w:top w:type="dxa" w:w="120"/>
              <w:left w:type="dxa" w:w="200"/>
              <w:bottom w:type="dxa" w:w="120"/>
              <w:right w:type="dxa" w:w="200"/>
            </w:tcMar>
          </w:tcPr>
          <w:p>
            <w:pPr>
              <w:spacing w:after="0" w:before="0" w:line="440"/>
              <w:jc w:val="both"/>
            </w:pPr>
            <w:r>
              <w:rPr>
                <w:rFonts w:ascii="Times New Roman" w:cs="Times New Roman" w:eastAsia="Times New Roman" w:hAnsi="Times New Roman"/>
                <w:i/>
                <w:iCs/>
                <w:sz w:val="20"/>
                <w:szCs w:val="20"/>
              </w:rPr>
              <w:t xml:space="preserve">1 = Strongly Disagree   |   2 = Disagree   |   3 = Neither Agree nor Disagree   |   4 = Agree   |   5 = Strongly Agree</w:t>
            </w:r>
          </w:p>
        </w:tc>
      </w:tr>
    </w:tbl>
    <w:p>
      <w:pPr>
        <w:spacing w:after="0" w:before="80"/>
      </w:pPr>
      <w:r>
        <w:t xml:space="preserve"/>
      </w:r>
    </w:p>
    <w:p>
      <w:pPr>
        <w:spacing w:after="120" w:before="120" w:line="480"/>
        <w:jc w:val="both"/>
      </w:pPr>
      <w:r>
        <w:rPr>
          <w:rFonts w:ascii="Times New Roman" w:cs="Times New Roman" w:eastAsia="Times New Roman" w:hAnsi="Times New Roman"/>
          <w:sz w:val="22"/>
          <w:szCs w:val="22"/>
        </w:rPr>
        <w:t xml:space="preserve">B1.  I am aware of gut-health functional foods (e.g. kombucha, probiotic yoghurt, prebiotic cereals).                    1    2    3    4    5</w:t>
      </w:r>
    </w:p>
    <w:p>
      <w:pPr>
        <w:spacing w:after="120" w:before="120" w:line="480"/>
        <w:jc w:val="both"/>
      </w:pPr>
      <w:r>
        <w:rPr>
          <w:rFonts w:ascii="Times New Roman" w:cs="Times New Roman" w:eastAsia="Times New Roman" w:hAnsi="Times New Roman"/>
          <w:sz w:val="22"/>
          <w:szCs w:val="22"/>
        </w:rPr>
        <w:t xml:space="preserve">B2.  I can clearly explain what a probiotic is in my own words.                    1    2    3    4    5</w:t>
      </w:r>
    </w:p>
    <w:p>
      <w:pPr>
        <w:spacing w:after="120" w:before="120" w:line="480"/>
        <w:jc w:val="both"/>
      </w:pPr>
      <w:r>
        <w:rPr>
          <w:rFonts w:ascii="Times New Roman" w:cs="Times New Roman" w:eastAsia="Times New Roman" w:hAnsi="Times New Roman"/>
          <w:sz w:val="22"/>
          <w:szCs w:val="22"/>
        </w:rPr>
        <w:t xml:space="preserve">B3.  I can clearly explain what a prebiotic is in my own words.                    1    2    3    4    5</w:t>
      </w:r>
    </w:p>
    <w:p>
      <w:pPr>
        <w:spacing w:after="120" w:before="120" w:line="480"/>
        <w:jc w:val="both"/>
      </w:pPr>
      <w:r>
        <w:rPr>
          <w:rFonts w:ascii="Times New Roman" w:cs="Times New Roman" w:eastAsia="Times New Roman" w:hAnsi="Times New Roman"/>
          <w:sz w:val="22"/>
          <w:szCs w:val="22"/>
        </w:rPr>
        <w:t xml:space="preserve">B4.  I understand the difference between probiotics and prebiotics.                    1    2    3    4    5</w:t>
      </w:r>
    </w:p>
    <w:p>
      <w:pPr>
        <w:spacing w:after="120" w:before="120" w:line="480"/>
        <w:jc w:val="both"/>
      </w:pPr>
      <w:r>
        <w:rPr>
          <w:rFonts w:ascii="Times New Roman" w:cs="Times New Roman" w:eastAsia="Times New Roman" w:hAnsi="Times New Roman"/>
          <w:sz w:val="22"/>
          <w:szCs w:val="22"/>
        </w:rPr>
        <w:t xml:space="preserve">B5.  I understand how gut-health products are claimed to work inside the body.                    1    2    3    4    5</w:t>
      </w:r>
    </w:p>
    <w:p>
      <w:pPr>
        <w:spacing w:after="120" w:before="120" w:line="480"/>
        <w:jc w:val="both"/>
      </w:pPr>
      <w:r>
        <w:rPr>
          <w:rFonts w:ascii="Times New Roman" w:cs="Times New Roman" w:eastAsia="Times New Roman" w:hAnsi="Times New Roman"/>
          <w:sz w:val="22"/>
          <w:szCs w:val="22"/>
        </w:rPr>
        <w:t xml:space="preserve">B6.  I am aware of which specific food products on the UK market contain probiotics.                    1    2    3    4    5</w:t>
      </w:r>
    </w:p>
    <w:p>
      <w:pPr>
        <w:spacing w:after="120" w:before="120" w:line="480"/>
        <w:jc w:val="both"/>
      </w:pPr>
      <w:r>
        <w:rPr>
          <w:rFonts w:ascii="Times New Roman" w:cs="Times New Roman" w:eastAsia="Times New Roman" w:hAnsi="Times New Roman"/>
          <w:sz w:val="22"/>
          <w:szCs w:val="22"/>
        </w:rPr>
        <w:t xml:space="preserve">B7.  I know what the term 'gut microbiome' means.                    1    2    3    4    5</w:t>
      </w:r>
    </w:p>
    <w:p>
      <w:pPr>
        <w:spacing w:after="0" w:before="160"/>
      </w:pPr>
      <w:r>
        <w:t xml:space="preserve"/>
      </w:r>
    </w:p>
    <w:p>
      <w:pPr>
        <w:pStyle w:val="Heading2"/>
        <w:spacing w:after="140" w:before="280"/>
      </w:pPr>
      <w:r>
        <w:rPr>
          <w:rFonts w:ascii="Arial" w:cs="Arial" w:eastAsia="Arial" w:hAnsi="Arial"/>
          <w:b/>
          <w:bCs/>
          <w:color w:val="2E5496"/>
          <w:sz w:val="24"/>
          <w:szCs w:val="24"/>
        </w:rPr>
        <w:t xml:space="preserve">SECTION C — Attitudes and Health Beliefs</w:t>
      </w:r>
    </w:p>
    <w:p>
      <w:pPr>
        <w:spacing w:after="0" w:before="60"/>
      </w:pPr>
      <w:r>
        <w:t xml:space="preserve"/>
      </w:r>
    </w:p>
    <w:p>
      <w:pPr>
        <w:spacing w:after="120" w:before="120" w:line="480"/>
        <w:jc w:val="both"/>
      </w:pPr>
      <w:r>
        <w:rPr>
          <w:rFonts w:ascii="Times New Roman" w:cs="Times New Roman" w:eastAsia="Times New Roman" w:hAnsi="Times New Roman"/>
          <w:sz w:val="22"/>
          <w:szCs w:val="22"/>
        </w:rPr>
        <w:t xml:space="preserve">C1.  I believe that gut-health functional foods can genuinely improve my health.                    1    2    3    4    5</w:t>
      </w:r>
    </w:p>
    <w:p>
      <w:pPr>
        <w:spacing w:after="120" w:before="120" w:line="480"/>
        <w:jc w:val="both"/>
      </w:pPr>
      <w:r>
        <w:rPr>
          <w:rFonts w:ascii="Times New Roman" w:cs="Times New Roman" w:eastAsia="Times New Roman" w:hAnsi="Times New Roman"/>
          <w:sz w:val="22"/>
          <w:szCs w:val="22"/>
        </w:rPr>
        <w:t xml:space="preserve">C2.  I trust the health claims printed on gut-health product packaging.                    1    2    3    4    5</w:t>
      </w:r>
    </w:p>
    <w:p>
      <w:pPr>
        <w:spacing w:after="120" w:before="120" w:line="480"/>
        <w:jc w:val="both"/>
      </w:pPr>
      <w:r>
        <w:rPr>
          <w:rFonts w:ascii="Times New Roman" w:cs="Times New Roman" w:eastAsia="Times New Roman" w:hAnsi="Times New Roman"/>
          <w:sz w:val="22"/>
          <w:szCs w:val="22"/>
        </w:rPr>
        <w:t xml:space="preserve">C3.  I feel that gut-health products offer good value for money.                    1    2    3    4    5</w:t>
      </w:r>
    </w:p>
    <w:p>
      <w:pPr>
        <w:spacing w:after="120" w:before="120" w:line="480"/>
        <w:jc w:val="both"/>
      </w:pPr>
      <w:r>
        <w:rPr>
          <w:rFonts w:ascii="Times New Roman" w:cs="Times New Roman" w:eastAsia="Times New Roman" w:hAnsi="Times New Roman"/>
          <w:sz w:val="22"/>
          <w:szCs w:val="22"/>
        </w:rPr>
        <w:t xml:space="preserve">C4.  I am concerned about the safety of ingredients in gut-health products.                    1    2    3    4    5</w:t>
      </w:r>
    </w:p>
    <w:p>
      <w:pPr>
        <w:spacing w:after="120" w:before="120" w:line="480"/>
        <w:jc w:val="both"/>
      </w:pPr>
      <w:r>
        <w:rPr>
          <w:rFonts w:ascii="Times New Roman" w:cs="Times New Roman" w:eastAsia="Times New Roman" w:hAnsi="Times New Roman"/>
          <w:sz w:val="22"/>
          <w:szCs w:val="22"/>
        </w:rPr>
        <w:t xml:space="preserve">C5.  I believe that a balanced diet is more effective for gut health than supplements.                    1    2    3    4    5</w:t>
      </w:r>
    </w:p>
    <w:p>
      <w:pPr>
        <w:spacing w:after="120" w:before="120" w:line="480"/>
        <w:jc w:val="both"/>
      </w:pPr>
      <w:r>
        <w:rPr>
          <w:rFonts w:ascii="Times New Roman" w:cs="Times New Roman" w:eastAsia="Times New Roman" w:hAnsi="Times New Roman"/>
          <w:sz w:val="22"/>
          <w:szCs w:val="22"/>
        </w:rPr>
        <w:t xml:space="preserve">C6.  I think the health benefits of gut-health products are often exaggerated by manufacturers.                    1    2    3    4    5</w:t>
      </w:r>
    </w:p>
    <w:p>
      <w:pPr>
        <w:spacing w:after="120" w:before="120" w:line="480"/>
        <w:jc w:val="both"/>
      </w:pPr>
      <w:r>
        <w:rPr>
          <w:rFonts w:ascii="Times New Roman" w:cs="Times New Roman" w:eastAsia="Times New Roman" w:hAnsi="Times New Roman"/>
          <w:sz w:val="22"/>
          <w:szCs w:val="22"/>
        </w:rPr>
        <w:t xml:space="preserve">C7.  I would feel comfortable recommending a gut-health product to a friend.                    1    2    3    4    5</w:t>
      </w:r>
    </w:p>
    <w:p>
      <w:pPr>
        <w:spacing w:after="0" w:before="160"/>
      </w:pPr>
      <w:r>
        <w:t xml:space="preserve"/>
      </w:r>
    </w:p>
    <w:p>
      <w:pPr>
        <w:pStyle w:val="Heading2"/>
        <w:spacing w:after="140" w:before="280"/>
      </w:pPr>
      <w:r>
        <w:rPr>
          <w:rFonts w:ascii="Arial" w:cs="Arial" w:eastAsia="Arial" w:hAnsi="Arial"/>
          <w:b/>
          <w:bCs/>
          <w:color w:val="2E5496"/>
          <w:sz w:val="24"/>
          <w:szCs w:val="24"/>
        </w:rPr>
        <w:t xml:space="preserve">SECTION D — Purchasing Behaviour and Barriers</w:t>
      </w:r>
    </w:p>
    <w:p>
      <w:pPr>
        <w:spacing w:after="0" w:before="60"/>
      </w:pPr>
      <w:r>
        <w:t xml:space="preserve"/>
      </w:r>
    </w:p>
    <w:p>
      <w:pPr>
        <w:spacing w:after="120" w:before="120" w:line="480"/>
        <w:jc w:val="both"/>
      </w:pPr>
      <w:r>
        <w:rPr>
          <w:rFonts w:ascii="Times New Roman" w:cs="Times New Roman" w:eastAsia="Times New Roman" w:hAnsi="Times New Roman"/>
          <w:sz w:val="22"/>
          <w:szCs w:val="22"/>
        </w:rPr>
        <w:t xml:space="preserve">D1.  I regularly purchase at least one gut-health functional food product.                    1    2    3    4    5</w:t>
      </w:r>
    </w:p>
    <w:p>
      <w:pPr>
        <w:spacing w:after="120" w:before="120" w:line="480"/>
        <w:jc w:val="both"/>
      </w:pPr>
      <w:r>
        <w:rPr>
          <w:rFonts w:ascii="Times New Roman" w:cs="Times New Roman" w:eastAsia="Times New Roman" w:hAnsi="Times New Roman"/>
          <w:sz w:val="22"/>
          <w:szCs w:val="22"/>
        </w:rPr>
        <w:t xml:space="preserve">D2.  Product labelling and health claims influence my decision to buy a gut-health product.                    1    2    3    4    5</w:t>
      </w:r>
    </w:p>
    <w:p>
      <w:pPr>
        <w:spacing w:after="120" w:before="120" w:line="480"/>
        <w:jc w:val="both"/>
      </w:pPr>
      <w:r>
        <w:rPr>
          <w:rFonts w:ascii="Times New Roman" w:cs="Times New Roman" w:eastAsia="Times New Roman" w:hAnsi="Times New Roman"/>
          <w:sz w:val="22"/>
          <w:szCs w:val="22"/>
        </w:rPr>
        <w:t xml:space="preserve">D3.  Price is the primary barrier preventing me from purchasing gut-health products more often.                    1    2    3    4    5</w:t>
      </w:r>
    </w:p>
    <w:p>
      <w:pPr>
        <w:spacing w:after="120" w:before="120" w:line="480"/>
        <w:jc w:val="both"/>
      </w:pPr>
      <w:r>
        <w:rPr>
          <w:rFonts w:ascii="Times New Roman" w:cs="Times New Roman" w:eastAsia="Times New Roman" w:hAnsi="Times New Roman"/>
          <w:sz w:val="22"/>
          <w:szCs w:val="22"/>
        </w:rPr>
        <w:t xml:space="preserve">D4.  I have purchased a gut-health product after seeing it recommended on social media.                    1    2    3    4    5</w:t>
      </w:r>
    </w:p>
    <w:p>
      <w:pPr>
        <w:spacing w:after="120" w:before="120" w:line="480"/>
        <w:jc w:val="both"/>
      </w:pPr>
      <w:r>
        <w:rPr>
          <w:rFonts w:ascii="Times New Roman" w:cs="Times New Roman" w:eastAsia="Times New Roman" w:hAnsi="Times New Roman"/>
          <w:sz w:val="22"/>
          <w:szCs w:val="22"/>
        </w:rPr>
        <w:t xml:space="preserve">D5.  Confusing or technical labels discourage me from buying gut-health products.                    1    2    3    4    5</w:t>
      </w:r>
    </w:p>
    <w:p>
      <w:pPr>
        <w:spacing w:after="120" w:before="120" w:line="480"/>
        <w:jc w:val="both"/>
      </w:pPr>
      <w:r>
        <w:rPr>
          <w:rFonts w:ascii="Times New Roman" w:cs="Times New Roman" w:eastAsia="Times New Roman" w:hAnsi="Times New Roman"/>
          <w:sz w:val="22"/>
          <w:szCs w:val="22"/>
        </w:rPr>
        <w:t xml:space="preserve">D6.  I have purchased a gut-health product on the recommendation of a friend or family member.                    1    2    3    4    5</w:t>
      </w:r>
    </w:p>
    <w:p>
      <w:pPr>
        <w:spacing w:after="120" w:before="120" w:line="480"/>
        <w:jc w:val="both"/>
      </w:pPr>
      <w:r>
        <w:rPr>
          <w:rFonts w:ascii="Times New Roman" w:cs="Times New Roman" w:eastAsia="Times New Roman" w:hAnsi="Times New Roman"/>
          <w:sz w:val="22"/>
          <w:szCs w:val="22"/>
        </w:rPr>
        <w:t xml:space="preserve">D7.  I find it difficult to identify which gut-health products are evidence-based and which are not.                    1    2    3    4    5</w:t>
      </w:r>
    </w:p>
    <w:p>
      <w:pPr>
        <w:spacing w:after="0" w:before="160"/>
      </w:pPr>
      <w:r>
        <w:t xml:space="preserve"/>
      </w:r>
    </w:p>
    <w:p>
      <w:pPr>
        <w:pStyle w:val="Heading2"/>
        <w:spacing w:after="140" w:before="280"/>
      </w:pPr>
      <w:r>
        <w:rPr>
          <w:rFonts w:ascii="Arial" w:cs="Arial" w:eastAsia="Arial" w:hAnsi="Arial"/>
          <w:b/>
          <w:bCs/>
          <w:color w:val="2E5496"/>
          <w:sz w:val="24"/>
          <w:szCs w:val="24"/>
        </w:rPr>
        <w:t xml:space="preserve">SECTION E — Information Sources and Social Media</w:t>
      </w:r>
    </w:p>
    <w:p>
      <w:pPr>
        <w:spacing w:after="0" w:before="60"/>
      </w:pPr>
      <w:r>
        <w:t xml:space="preserve"/>
      </w:r>
    </w:p>
    <w:p>
      <w:pPr>
        <w:spacing w:after="120" w:before="120" w:line="480"/>
        <w:jc w:val="both"/>
      </w:pPr>
      <w:r>
        <w:rPr>
          <w:rFonts w:ascii="Times New Roman" w:cs="Times New Roman" w:eastAsia="Times New Roman" w:hAnsi="Times New Roman"/>
          <w:sz w:val="22"/>
          <w:szCs w:val="22"/>
        </w:rPr>
        <w:t xml:space="preserve">E1.  Please rank the following information sources in order of importance to your gut-health knowledge (1 = most important, 5 = least important):</w:t>
      </w:r>
    </w:p>
    <w:p>
      <w:pPr>
        <w:pStyle w:val="ListParagraph"/>
        <w:numPr>
          <w:ilvl w:val="0"/>
          <w:numId w:val="2"/>
        </w:numPr>
        <w:spacing w:after="80" w:before="80" w:line="440"/>
      </w:pPr>
      <w:r>
        <w:rPr>
          <w:rFonts w:ascii="Times New Roman" w:cs="Times New Roman" w:eastAsia="Times New Roman" w:hAnsi="Times New Roman"/>
          <w:sz w:val="22"/>
          <w:szCs w:val="22"/>
        </w:rPr>
        <w:t xml:space="preserve">___ Social media (e.g. TikTok, Instagram, YouTube)</w:t>
      </w:r>
    </w:p>
    <w:p>
      <w:pPr>
        <w:pStyle w:val="ListParagraph"/>
        <w:numPr>
          <w:ilvl w:val="0"/>
          <w:numId w:val="2"/>
        </w:numPr>
        <w:spacing w:after="80" w:before="80" w:line="440"/>
      </w:pPr>
      <w:r>
        <w:rPr>
          <w:rFonts w:ascii="Times New Roman" w:cs="Times New Roman" w:eastAsia="Times New Roman" w:hAnsi="Times New Roman"/>
          <w:sz w:val="22"/>
          <w:szCs w:val="22"/>
        </w:rPr>
        <w:t xml:space="preserve">___ Friends or family</w:t>
      </w:r>
    </w:p>
    <w:p>
      <w:pPr>
        <w:pStyle w:val="ListParagraph"/>
        <w:numPr>
          <w:ilvl w:val="0"/>
          <w:numId w:val="2"/>
        </w:numPr>
        <w:spacing w:after="80" w:before="80" w:line="440"/>
      </w:pPr>
      <w:r>
        <w:rPr>
          <w:rFonts w:ascii="Times New Roman" w:cs="Times New Roman" w:eastAsia="Times New Roman" w:hAnsi="Times New Roman"/>
          <w:sz w:val="22"/>
          <w:szCs w:val="22"/>
        </w:rPr>
        <w:t xml:space="preserve">___ Product packaging and labelling</w:t>
      </w:r>
    </w:p>
    <w:p>
      <w:pPr>
        <w:pStyle w:val="ListParagraph"/>
        <w:numPr>
          <w:ilvl w:val="0"/>
          <w:numId w:val="2"/>
        </w:numPr>
        <w:spacing w:after="80" w:before="80" w:line="440"/>
      </w:pPr>
      <w:r>
        <w:rPr>
          <w:rFonts w:ascii="Times New Roman" w:cs="Times New Roman" w:eastAsia="Times New Roman" w:hAnsi="Times New Roman"/>
          <w:sz w:val="22"/>
          <w:szCs w:val="22"/>
        </w:rPr>
        <w:t xml:space="preserve">___ GP or healthcare professional</w:t>
      </w:r>
    </w:p>
    <w:p>
      <w:pPr>
        <w:pStyle w:val="ListParagraph"/>
        <w:numPr>
          <w:ilvl w:val="0"/>
          <w:numId w:val="2"/>
        </w:numPr>
        <w:spacing w:after="80" w:before="80" w:line="440"/>
      </w:pPr>
      <w:r>
        <w:rPr>
          <w:rFonts w:ascii="Times New Roman" w:cs="Times New Roman" w:eastAsia="Times New Roman" w:hAnsi="Times New Roman"/>
          <w:sz w:val="22"/>
          <w:szCs w:val="22"/>
        </w:rPr>
        <w:t xml:space="preserve">___ University lectures or academic sources</w:t>
      </w:r>
    </w:p>
    <w:p>
      <w:pPr>
        <w:spacing w:after="0" w:before="80"/>
      </w:pPr>
      <w:r>
        <w:t xml:space="preserve"/>
      </w:r>
    </w:p>
    <w:p>
      <w:pPr>
        <w:spacing w:after="120" w:before="120" w:line="480"/>
        <w:jc w:val="both"/>
      </w:pPr>
      <w:r>
        <w:rPr>
          <w:rFonts w:ascii="Times New Roman" w:cs="Times New Roman" w:eastAsia="Times New Roman" w:hAnsi="Times New Roman"/>
          <w:sz w:val="22"/>
          <w:szCs w:val="22"/>
        </w:rPr>
        <w:t xml:space="preserve">E2.  Approximately how many times per week do you encounter gut-health product content on social media?</w:t>
      </w:r>
    </w:p>
    <w:p>
      <w:pPr>
        <w:pStyle w:val="ListParagraph"/>
        <w:numPr>
          <w:ilvl w:val="0"/>
          <w:numId w:val="2"/>
        </w:numPr>
        <w:spacing w:after="80" w:before="80" w:line="440"/>
      </w:pPr>
      <w:r>
        <w:rPr>
          <w:rFonts w:ascii="Times New Roman" w:cs="Times New Roman" w:eastAsia="Times New Roman" w:hAnsi="Times New Roman"/>
          <w:sz w:val="22"/>
          <w:szCs w:val="22"/>
        </w:rPr>
        <w:t xml:space="preserve">☐  Never         ☐  1–2 times         ☐  3–5 times         ☐  Daily         ☐  Multiple times daily</w:t>
      </w:r>
    </w:p>
    <w:p>
      <w:pPr>
        <w:spacing w:after="0" w:before="80"/>
      </w:pPr>
      <w:r>
        <w:t xml:space="preserve"/>
      </w:r>
    </w:p>
    <w:p>
      <w:pPr>
        <w:spacing w:after="120" w:before="120" w:line="480"/>
        <w:jc w:val="both"/>
      </w:pPr>
      <w:r>
        <w:rPr>
          <w:rFonts w:ascii="Times New Roman" w:cs="Times New Roman" w:eastAsia="Times New Roman" w:hAnsi="Times New Roman"/>
          <w:sz w:val="22"/>
          <w:szCs w:val="22"/>
        </w:rPr>
        <w:t xml:space="preserve">E3.  Which social media platforms do you use as sources of health or nutrition information? (Select all that apply)</w:t>
      </w:r>
    </w:p>
    <w:p>
      <w:pPr>
        <w:pStyle w:val="ListParagraph"/>
        <w:numPr>
          <w:ilvl w:val="0"/>
          <w:numId w:val="2"/>
        </w:numPr>
        <w:spacing w:after="80" w:before="80" w:line="440"/>
      </w:pPr>
      <w:r>
        <w:rPr>
          <w:rFonts w:ascii="Times New Roman" w:cs="Times New Roman" w:eastAsia="Times New Roman" w:hAnsi="Times New Roman"/>
          <w:sz w:val="22"/>
          <w:szCs w:val="22"/>
        </w:rPr>
        <w:t xml:space="preserve">☐  TikTok         ☐  Instagram         ☐  YouTube         ☐  Facebook         ☐  X (Twitter)         ☐  Pinterest         ☐  None         ☐  Other: ________</w:t>
      </w:r>
    </w:p>
    <w:p>
      <w:pPr>
        <w:spacing w:after="0" w:before="80"/>
      </w:pPr>
      <w:r>
        <w:t xml:space="preserve"/>
      </w:r>
    </w:p>
    <w:p>
      <w:pPr>
        <w:spacing w:after="120" w:before="120" w:line="480"/>
        <w:jc w:val="both"/>
      </w:pPr>
      <w:r>
        <w:rPr>
          <w:rFonts w:ascii="Times New Roman" w:cs="Times New Roman" w:eastAsia="Times New Roman" w:hAnsi="Times New Roman"/>
          <w:sz w:val="22"/>
          <w:szCs w:val="22"/>
        </w:rPr>
        <w:t xml:space="preserve">E4.  How much do you trust health information about gut-health products that you find on social media?</w:t>
      </w:r>
    </w:p>
    <w:p>
      <w:pPr>
        <w:pStyle w:val="ListParagraph"/>
        <w:numPr>
          <w:ilvl w:val="0"/>
          <w:numId w:val="2"/>
        </w:numPr>
        <w:spacing w:after="80" w:before="80" w:line="440"/>
      </w:pPr>
      <w:r>
        <w:rPr>
          <w:rFonts w:ascii="Times New Roman" w:cs="Times New Roman" w:eastAsia="Times New Roman" w:hAnsi="Times New Roman"/>
          <w:sz w:val="22"/>
          <w:szCs w:val="22"/>
        </w:rPr>
        <w:t xml:space="preserve">☐  Not at all         ☐  Slightly         ☐  Moderately         ☐  Quite a lot         ☐  Completely</w:t>
      </w:r>
    </w:p>
    <w:p>
      <w:pPr>
        <w:spacing w:after="0" w:before="80"/>
      </w:pPr>
      <w:r>
        <w:t xml:space="preserve"/>
      </w:r>
    </w:p>
    <w:p>
      <w:pPr>
        <w:spacing w:after="120" w:before="120" w:line="480"/>
        <w:jc w:val="both"/>
      </w:pPr>
      <w:r>
        <w:rPr>
          <w:rFonts w:ascii="Times New Roman" w:cs="Times New Roman" w:eastAsia="Times New Roman" w:hAnsi="Times New Roman"/>
          <w:sz w:val="22"/>
          <w:szCs w:val="22"/>
        </w:rPr>
        <w:t xml:space="preserve">E5.  Is there anything else you would like to add about your experience of gut-health products or how you access information about them?</w:t>
      </w:r>
    </w:p>
    <w:p>
      <w:pPr>
        <w:spacing w:after="120" w:before="120" w:line="480"/>
        <w:jc w:val="both"/>
      </w:pPr>
      <w:r>
        <w:rPr>
          <w:rFonts w:ascii="Times New Roman" w:cs="Times New Roman" w:eastAsia="Times New Roman" w:hAnsi="Times New Roman"/>
          <w:sz w:val="22"/>
          <w:szCs w:val="22"/>
        </w:rPr>
        <w:t xml:space="preserve">____________________________________________________________________________________</w:t>
      </w:r>
    </w:p>
    <w:p>
      <w:pPr>
        <w:spacing w:after="120" w:before="120" w:line="480"/>
        <w:jc w:val="both"/>
      </w:pPr>
      <w:r>
        <w:rPr>
          <w:rFonts w:ascii="Times New Roman" w:cs="Times New Roman" w:eastAsia="Times New Roman" w:hAnsi="Times New Roman"/>
          <w:sz w:val="22"/>
          <w:szCs w:val="22"/>
        </w:rPr>
        <w:t xml:space="preserve">____________________________________________________________________________________</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00000" w:sz="8"/>
              <w:left w:val="none" w:color="FFFFFF" w:sz="0"/>
              <w:bottom w:val="single" w:color="AAAAAA" w:sz="1"/>
              <w:right w:val="none" w:color="FFFFFF" w:sz="0"/>
            </w:tcBorders>
            <w:shd w:fill="F2F4F8" w:val="clear"/>
            <w:tcMar>
              <w:top w:type="dxa" w:w="120"/>
              <w:left w:type="dxa" w:w="200"/>
              <w:bottom w:type="dxa" w:w="120"/>
              <w:right w:type="dxa" w:w="200"/>
            </w:tcMar>
          </w:tcPr>
          <w:p>
            <w:pPr>
              <w:spacing w:after="0" w:before="0" w:line="440"/>
              <w:jc w:val="both"/>
            </w:pPr>
            <w:r>
              <w:rPr>
                <w:rFonts w:ascii="Times New Roman" w:cs="Times New Roman" w:eastAsia="Times New Roman" w:hAnsi="Times New Roman"/>
                <w:i/>
                <w:iCs/>
                <w:sz w:val="20"/>
                <w:szCs w:val="20"/>
              </w:rPr>
              <w:t xml:space="preserve">Thank you for completing this questionnaire. Your responses are anonymous and will be used solely for academic research purposes at the University of West London. If you have any questions about this research, please contact the researcher via UWL student email.</w:t>
            </w:r>
          </w:p>
        </w:tc>
      </w:tr>
    </w:tbl>
    <w:p>
      <w:pPr>
        <w:pageBreakBefore/>
      </w:pPr>
      <w:r>
        <w:t xml:space="preserve"/>
      </w:r>
    </w:p>
    <w:p>
      <w:pPr>
        <w:pStyle w:val="Heading1"/>
        <w:pBdr>
          <w:bottom w:val="single" w:color="1F3864" w:sz="6" w:space="4"/>
        </w:pBdr>
        <w:spacing w:after="180" w:before="360"/>
      </w:pPr>
      <w:r>
        <w:rPr>
          <w:rFonts w:ascii="Arial" w:cs="Arial" w:eastAsia="Arial" w:hAnsi="Arial"/>
          <w:b/>
          <w:bCs/>
          <w:color w:val="1F3864"/>
          <w:sz w:val="28"/>
          <w:szCs w:val="28"/>
        </w:rPr>
        <w:t xml:space="preserve">Time Plan: Supervisor Allocation to Final Submission</w:t>
      </w:r>
    </w:p>
    <w:p>
      <w:pPr>
        <w:spacing w:after="120" w:before="120" w:line="480"/>
        <w:jc w:val="both"/>
      </w:pPr>
      <w:r>
        <w:rPr>
          <w:rFonts w:ascii="Times New Roman" w:cs="Times New Roman" w:eastAsia="Times New Roman" w:hAnsi="Times New Roman"/>
          <w:sz w:val="22"/>
          <w:szCs w:val="22"/>
        </w:rPr>
        <w:t xml:space="preserve">The following schedule outlines key research activities from supervisor allocation (May 2026) to final dissertation submission (29 January 2027). Supervisor meetings are planned approximately every three to four weeks. All primary data collection is contingent on prior receipt of unconditional UWL Research Ethics Panel approval.</w:t>
      </w:r>
    </w:p>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AAAAAA" w:sz="1"/>
              <w:left w:val="single" w:color="AAAAAA" w:sz="1"/>
              <w:bottom w:val="single" w:color="AAAAAA" w:sz="1"/>
              <w:right w:val="single" w:color="AAAAAA"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Period</w:t>
            </w:r>
          </w:p>
        </w:tc>
        <w:tc>
          <w:tcPr>
            <w:tcW w:type="dxa" w:w="7300"/>
            <w:tcBorders>
              <w:top w:val="single" w:color="AAAAAA" w:sz="1"/>
              <w:left w:val="single" w:color="AAAAAA" w:sz="1"/>
              <w:bottom w:val="single" w:color="AAAAAA" w:sz="1"/>
              <w:right w:val="single" w:color="AAAAAA"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Key Activities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1–2
(May 2026)</w:t>
            </w:r>
          </w:p>
        </w:tc>
        <w:tc>
          <w:tcPr>
            <w:tcW w:type="dxa" w:w="73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Supervisor allocation meeting; revise and finalise research proposal; confirm research instrument with supervisor</w:t>
            </w:r>
          </w:p>
        </w:tc>
      </w:tr>
      <w:tr>
        <w:tc>
          <w:tcPr>
            <w:tcW w:type="dxa" w:w="17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3–4
(May–June 2026)</w:t>
            </w:r>
          </w:p>
        </w:tc>
        <w:tc>
          <w:tcPr>
            <w:tcW w:type="dxa" w:w="73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Submit UWL Research Ethics Application; pilot questionnaire with 20 students; refine instrument based on pilot feedback</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5
(June 2026)</w:t>
            </w:r>
          </w:p>
        </w:tc>
        <w:tc>
          <w:tcPr>
            <w:tcW w:type="dxa" w:w="73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Receive ethics approval; launch Phase 1 questionnaire via university VLE and student portals; send reminder at Day 7</w:t>
            </w:r>
          </w:p>
        </w:tc>
      </w:tr>
      <w:tr>
        <w:tc>
          <w:tcPr>
            <w:tcW w:type="dxa" w:w="17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6–7
(June 2026)</w:t>
            </w:r>
          </w:p>
        </w:tc>
        <w:tc>
          <w:tcPr>
            <w:tcW w:type="dxa" w:w="73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Close questionnaire (target n ≥ 210); data cleaning and entry in IBM SPSS; generate descriptive statistics and initial frequency tables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8
(July 2026)</w:t>
            </w:r>
          </w:p>
        </w:tc>
        <w:tc>
          <w:tcPr>
            <w:tcW w:type="dxa" w:w="73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Supervisor meeting – review Phase 1 findings; identify emerging themes for focus group discussion guide; recruit Phase 2 participants</w:t>
            </w:r>
          </w:p>
        </w:tc>
      </w:tr>
      <w:tr>
        <w:tc>
          <w:tcPr>
            <w:tcW w:type="dxa" w:w="17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9–10
(July 2026)</w:t>
            </w:r>
          </w:p>
        </w:tc>
        <w:tc>
          <w:tcPr>
            <w:tcW w:type="dxa" w:w="73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Conduct 4 focus groups (audio-recorded); transcribe verbatim; begin NVivo 14 coding and thematic analysis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11–12
(August 2026)</w:t>
            </w:r>
          </w:p>
        </w:tc>
        <w:tc>
          <w:tcPr>
            <w:tcW w:type="dxa" w:w="73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Write Chapter 2 – Literature Review; submit draft to supervisor for feedback</w:t>
            </w:r>
          </w:p>
        </w:tc>
      </w:tr>
      <w:tr>
        <w:tc>
          <w:tcPr>
            <w:tcW w:type="dxa" w:w="17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13–14
(September 2026)</w:t>
            </w:r>
          </w:p>
        </w:tc>
        <w:tc>
          <w:tcPr>
            <w:tcW w:type="dxa" w:w="73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Incorporate LR feedback; write Chapter 3 – Methodology; supervisor meeting</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15–16
(September–
October 2026)</w:t>
            </w:r>
          </w:p>
        </w:tc>
        <w:tc>
          <w:tcPr>
            <w:tcW w:type="dxa" w:w="73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Write Chapter 4 – Analysis and Discussion of Findings; integrate quantitative and qualitative data; supervisor meeting</w:t>
            </w:r>
          </w:p>
        </w:tc>
      </w:tr>
      <w:tr>
        <w:tc>
          <w:tcPr>
            <w:tcW w:type="dxa" w:w="17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17–18
(October–
November 2026)</w:t>
            </w:r>
          </w:p>
        </w:tc>
        <w:tc>
          <w:tcPr>
            <w:tcW w:type="dxa" w:w="73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Write Chapter 1 – Introduction and Chapter 5 – Conclusion; compile full reference list; assemble appendices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19–20
(November–
December 2026)</w:t>
            </w:r>
          </w:p>
        </w:tc>
        <w:tc>
          <w:tcPr>
            <w:tcW w:type="dxa" w:w="73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r>
              <w:rPr>
                <w:rFonts w:ascii="Arial" w:cs="Arial" w:eastAsia="Arial" w:hAnsi="Arial"/>
                <w:b w:val="false"/>
                <w:bCs w:val="false"/>
                <w:color w:val="000000"/>
                <w:sz w:val="18"/>
                <w:szCs w:val="18"/>
              </w:rPr>
              <w:t xml:space="preserve">Full draft for supervisor review; incorporate all feedback; proofread; format to UWL dissertation guidelines</w:t>
            </w:r>
          </w:p>
        </w:tc>
      </w:tr>
      <w:tr>
        <w:tc>
          <w:tcPr>
            <w:tcW w:type="dxa" w:w="17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1F3864"/>
                <w:sz w:val="18"/>
                <w:szCs w:val="18"/>
              </w:rPr>
              <w:t xml:space="preserve">Week 21–22
(January 2027)</w:t>
            </w:r>
          </w:p>
        </w:tc>
        <w:tc>
          <w:tcPr>
            <w:tcW w:type="dxa" w:w="7300"/>
            <w:tcBorders>
              <w:top w:val="single" w:color="AAAAAA" w:sz="1"/>
              <w:left w:val="single" w:color="AAAAAA" w:sz="1"/>
              <w:bottom w:val="single" w:color="AAAAAA" w:sz="1"/>
              <w:right w:val="single" w:color="AAAAAA" w:sz="1"/>
            </w:tcBorders>
            <w:shd w:fill="F2F4F8" w:val="clear"/>
            <w:tcMar>
              <w:top w:type="dxa" w:w="80"/>
              <w:left w:type="dxa" w:w="110"/>
              <w:bottom w:type="dxa" w:w="80"/>
              <w:right w:type="dxa" w:w="110"/>
            </w:tcMar>
          </w:tcPr>
          <w:p>
            <w:r>
              <w:rPr>
                <w:rFonts w:ascii="Arial" w:cs="Arial" w:eastAsia="Arial" w:hAnsi="Arial"/>
                <w:b w:val="false"/>
                <w:bCs w:val="false"/>
                <w:color w:val="000000"/>
                <w:sz w:val="18"/>
                <w:szCs w:val="18"/>
              </w:rPr>
              <w:t xml:space="preserve">Final submission – 29 January 2027 by 23:59 via Turnitin; check word count (11,000–14,000 words)</w:t>
            </w:r>
          </w:p>
        </w:tc>
      </w:tr>
    </w:tbl>
    <w:p>
      <w:pPr>
        <w:spacing w:after="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00000" w:sz="8"/>
              <w:left w:val="none" w:color="FFFFFF" w:sz="0"/>
              <w:bottom w:val="single" w:color="AAAAAA" w:sz="1"/>
              <w:right w:val="none" w:color="FFFFFF" w:sz="0"/>
            </w:tcBorders>
            <w:shd w:fill="F2F4F8" w:val="clear"/>
            <w:tcMar>
              <w:top w:type="dxa" w:w="120"/>
              <w:left w:type="dxa" w:w="200"/>
              <w:bottom w:type="dxa" w:w="120"/>
              <w:right w:type="dxa" w:w="200"/>
            </w:tcMar>
          </w:tcPr>
          <w:p>
            <w:pPr>
              <w:spacing w:after="0" w:before="0" w:line="440"/>
              <w:jc w:val="both"/>
            </w:pPr>
            <w:r>
              <w:rPr>
                <w:rFonts w:ascii="Times New Roman" w:cs="Times New Roman" w:eastAsia="Times New Roman" w:hAnsi="Times New Roman"/>
                <w:i/>
                <w:iCs/>
                <w:sz w:val="20"/>
                <w:szCs w:val="20"/>
              </w:rPr>
              <w:t xml:space="preserve">Important: Primary data collection (Phase 1 questionnaire and Phase 2 focus groups) will only commence following receipt of full, unconditional ethics approval from the UWL Research Ethics Panel, in accordance with CA70013E module requirements. Any attempt to collect data prior to approval will be treated as academic misconduct (UWL, 2025).</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4" w:space="2"/>
      </w:pBdr>
      <w:spacing w:after="0"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spacing w:after="120" w:before="0"/>
      <w:jc w:val="right"/>
    </w:pPr>
    <w:r>
      <w:rPr>
        <w:rFonts w:ascii="Arial" w:cs="Arial" w:eastAsia="Arial" w:hAnsi="Arial"/>
        <w:color w:val="666666"/>
        <w:sz w:val="18"/>
        <w:szCs w:val="18"/>
      </w:rPr>
      <w:t xml:space="preserve">CA70013E Research Project  </w:t>
    </w:r>
    <w:r>
      <w:rPr>
        <w:rFonts w:ascii="Arial" w:cs="Arial" w:eastAsia="Arial" w:hAnsi="Arial"/>
        <w:b/>
        <w:bCs/>
        <w:color w:val="C00000"/>
        <w:sz w:val="18"/>
        <w:szCs w:val="18"/>
      </w:rPr>
      <w:t xml:space="preserve">|  </w:t>
    </w:r>
    <w:r>
      <w:rPr>
        <w:rFonts w:ascii="Arial" w:cs="Arial" w:eastAsia="Arial" w:hAnsi="Arial"/>
        <w:color w:val="666666"/>
        <w:sz w:val="18"/>
        <w:szCs w:val="18"/>
      </w:rPr>
      <w:t xml:space="preserve">Summative Assessment A2: Research Proposal  </w:t>
    </w:r>
    <w:r>
      <w:rPr>
        <w:rFonts w:ascii="Arial" w:cs="Arial" w:eastAsia="Arial" w:hAnsi="Arial"/>
        <w:color w:val="666666"/>
        <w:sz w:val="18"/>
        <w:szCs w:val="18"/>
      </w:rPr>
      <w:t xml:space="preserve">|  Student No: 34143280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CA70013E A2 Research Proposal</dc:title>
  <dc:creator>Surendra 34143280</dc:creator>
  <cp:lastModifiedBy>Un-named</cp:lastModifiedBy>
  <cp:revision>1</cp:revision>
  <dcterms:created xsi:type="dcterms:W3CDTF">2026-05-18T03:53:11.548Z</dcterms:created>
  <dcterms:modified xsi:type="dcterms:W3CDTF">2026-05-18T03:53:11.563Z</dcterms:modified>
</cp:coreProperties>
</file>

<file path=docProps/custom.xml><?xml version="1.0" encoding="utf-8"?>
<Properties xmlns="http://schemas.openxmlformats.org/officeDocument/2006/custom-properties" xmlns:vt="http://schemas.openxmlformats.org/officeDocument/2006/docPropsVTypes"/>
</file>