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360"/>
        <w:jc w:val="center"/>
      </w:pPr>
      <w:r>
        <w:rPr>
          <w:rFonts w:ascii="Arial" w:cs="Arial" w:eastAsia="Arial" w:hAnsi="Arial"/>
          <w:b/>
          <w:bCs/>
          <w:color w:val="005F5F"/>
          <w:sz w:val="28"/>
          <w:szCs w:val="28"/>
        </w:rPr>
        <w:t xml:space="preserve">UNIVERSITY OF WEST LONDON</w:t>
      </w:r>
    </w:p>
    <w:p>
      <w:pPr>
        <w:spacing w:after="40" w:before="0" w:line="360"/>
        <w:jc w:val="center"/>
      </w:pPr>
      <w:r>
        <w:rPr>
          <w:rFonts w:ascii="Arial" w:cs="Arial" w:eastAsia="Arial" w:hAnsi="Arial"/>
          <w:i/>
          <w:iCs/>
          <w:color w:val="555555"/>
          <w:sz w:val="22"/>
          <w:szCs w:val="22"/>
        </w:rPr>
        <w:t xml:space="preserve">The Career University</w:t>
      </w:r>
    </w:p>
    <w:p>
      <w:pPr>
        <w:pBdr>
          <w:bottom w:val="single" w:color="005F5F" w:sz="6"/>
        </w:pBdr>
        <w:spacing w:after="80" w:before="80" w:line="360"/>
      </w:pPr>
      <w:r>
        <w:t xml:space="preserve"/>
      </w:r>
    </w:p>
    <w:p>
      <w:pPr>
        <w:spacing w:after="60" w:before="60" w:line="360"/>
      </w:pPr>
      <w:r>
        <w:t xml:space="preserve"/>
      </w:r>
    </w:p>
    <w:p>
      <w:pPr>
        <w:spacing w:after="40" w:before="60" w:line="360"/>
        <w:jc w:val="center"/>
      </w:pPr>
      <w:r>
        <w:rPr>
          <w:rFonts w:ascii="Arial" w:cs="Arial" w:eastAsia="Arial" w:hAnsi="Arial"/>
          <w:b/>
          <w:bCs/>
          <w:color w:val="005F5F"/>
          <w:sz w:val="40"/>
          <w:szCs w:val="40"/>
        </w:rPr>
        <w:t xml:space="preserve">CrustLoop Consultancy</w:t>
      </w:r>
    </w:p>
    <w:p>
      <w:pPr>
        <w:spacing w:after="60" w:before="0" w:line="360"/>
        <w:jc w:val="center"/>
      </w:pPr>
      <w:r>
        <w:rPr>
          <w:rFonts w:ascii="Arial" w:cs="Arial" w:eastAsia="Arial" w:hAnsi="Arial"/>
          <w:i/>
          <w:iCs/>
          <w:color w:val="2E3A3A"/>
          <w:sz w:val="26"/>
          <w:szCs w:val="26"/>
        </w:rPr>
        <w:t xml:space="preserve">A Business Proposal for a Circular Economy Consultancy</w:t>
      </w:r>
    </w:p>
    <w:p>
      <w:pPr>
        <w:spacing w:after="80" w:before="0" w:line="360"/>
        <w:jc w:val="center"/>
      </w:pPr>
      <w:r>
        <w:rPr>
          <w:rFonts w:ascii="Arial" w:cs="Arial" w:eastAsia="Arial" w:hAnsi="Arial"/>
          <w:i/>
          <w:iCs/>
          <w:color w:val="555555"/>
          <w:sz w:val="22"/>
          <w:szCs w:val="22"/>
        </w:rPr>
        <w:t xml:space="preserve">Redirecting Surplus Baked Goods Waste into Value-Added Circular Outputs</w:t>
      </w:r>
    </w:p>
    <w:p>
      <w:pPr>
        <w:pBdr>
          <w:bottom w:val="single" w:color="005F5F" w:sz="6"/>
        </w:pBdr>
        <w:spacing w:after="200" w:before="80" w:line="3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1F5C5C" w:sz="6"/>
              <w:left w:val="single" w:color="1F5C5C" w:sz="6"/>
              <w:bottom w:val="single" w:color="1F5C5C" w:sz="6"/>
              <w:right w:val="single" w:color="1F5C5C" w:sz="6"/>
            </w:tcBorders>
            <w:shd w:fill="D6EFEF" w:val="clear"/>
            <w:tcMar>
              <w:top w:type="dxa" w:w="140"/>
              <w:left w:type="dxa" w:w="180"/>
              <w:bottom w:type="dxa" w:w="140"/>
              <w:right w:type="dxa" w:w="180"/>
            </w:tcMar>
          </w:tcPr>
          <w:p>
            <w:pPr>
              <w:spacing w:after="60" w:before="60" w:line="300"/>
            </w:pPr>
            <w:r>
              <w:rPr>
                <w:rFonts w:ascii="Arial" w:cs="Arial" w:eastAsia="Arial" w:hAnsi="Arial"/>
                <w:b/>
                <w:bCs/>
                <w:color w:val="005F5F"/>
                <w:sz w:val="22"/>
                <w:szCs w:val="22"/>
              </w:rPr>
              <w:t xml:space="preserve">Module Title</w:t>
            </w:r>
          </w:p>
        </w:tc>
        <w:tc>
          <w:tcPr>
            <w:tcW w:type="dxa" w:w="6200"/>
            <w:tcBorders>
              <w:top w:val="single" w:color="1F5C5C" w:sz="6"/>
              <w:left w:val="single" w:color="1F5C5C" w:sz="6"/>
              <w:bottom w:val="single" w:color="1F5C5C" w:sz="6"/>
              <w:right w:val="single" w:color="1F5C5C" w:sz="6"/>
            </w:tcBorders>
            <w:shd w:fill="FFFFFF" w:val="clear"/>
            <w:tcMar>
              <w:top w:type="dxa" w:w="140"/>
              <w:left w:type="dxa" w:w="180"/>
              <w:bottom w:type="dxa" w:w="140"/>
              <w:right w:type="dxa" w:w="180"/>
            </w:tcMar>
          </w:tcPr>
          <w:p>
            <w:pPr>
              <w:spacing w:after="60" w:before="60" w:line="300"/>
            </w:pPr>
            <w:r>
              <w:rPr>
                <w:rFonts w:ascii="Arial" w:cs="Arial" w:eastAsia="Arial" w:hAnsi="Arial"/>
                <w:b w:val="false"/>
                <w:bCs w:val="false"/>
                <w:color w:val="2E3A3A"/>
                <w:sz w:val="22"/>
                <w:szCs w:val="22"/>
              </w:rPr>
              <w:t xml:space="preserve">Circular Economy and Food Security</w:t>
            </w:r>
          </w:p>
        </w:tc>
      </w:tr>
      <w:tr>
        <w:tc>
          <w:tcPr>
            <w:tcW w:type="dxa" w:w="2800"/>
            <w:tcBorders>
              <w:top w:val="single" w:color="1F5C5C" w:sz="6"/>
              <w:left w:val="single" w:color="1F5C5C" w:sz="6"/>
              <w:bottom w:val="single" w:color="1F5C5C" w:sz="6"/>
              <w:right w:val="single" w:color="1F5C5C" w:sz="6"/>
            </w:tcBorders>
            <w:shd w:fill="D6EFEF" w:val="clear"/>
            <w:tcMar>
              <w:top w:type="dxa" w:w="140"/>
              <w:left w:type="dxa" w:w="180"/>
              <w:bottom w:type="dxa" w:w="140"/>
              <w:right w:type="dxa" w:w="180"/>
            </w:tcMar>
          </w:tcPr>
          <w:p>
            <w:pPr>
              <w:spacing w:after="60" w:before="60" w:line="300"/>
            </w:pPr>
            <w:r>
              <w:rPr>
                <w:rFonts w:ascii="Arial" w:cs="Arial" w:eastAsia="Arial" w:hAnsi="Arial"/>
                <w:b/>
                <w:bCs/>
                <w:color w:val="005F5F"/>
                <w:sz w:val="22"/>
                <w:szCs w:val="22"/>
              </w:rPr>
              <w:t xml:space="preserve">Module Code</w:t>
            </w:r>
          </w:p>
        </w:tc>
        <w:tc>
          <w:tcPr>
            <w:tcW w:type="dxa" w:w="6200"/>
            <w:tcBorders>
              <w:top w:val="single" w:color="1F5C5C" w:sz="6"/>
              <w:left w:val="single" w:color="1F5C5C" w:sz="6"/>
              <w:bottom w:val="single" w:color="1F5C5C" w:sz="6"/>
              <w:right w:val="single" w:color="1F5C5C" w:sz="6"/>
            </w:tcBorders>
            <w:shd w:fill="FFFFFF" w:val="clear"/>
            <w:tcMar>
              <w:top w:type="dxa" w:w="140"/>
              <w:left w:type="dxa" w:w="180"/>
              <w:bottom w:type="dxa" w:w="140"/>
              <w:right w:type="dxa" w:w="180"/>
            </w:tcMar>
          </w:tcPr>
          <w:p>
            <w:pPr>
              <w:spacing w:after="60" w:before="60" w:line="300"/>
            </w:pPr>
            <w:r>
              <w:rPr>
                <w:rFonts w:ascii="Arial" w:cs="Arial" w:eastAsia="Arial" w:hAnsi="Arial"/>
                <w:b w:val="false"/>
                <w:bCs w:val="false"/>
                <w:color w:val="2E3A3A"/>
                <w:sz w:val="22"/>
                <w:szCs w:val="22"/>
              </w:rPr>
              <w:t xml:space="preserve">CA70022E</w:t>
            </w:r>
          </w:p>
        </w:tc>
      </w:tr>
      <w:tr>
        <w:tc>
          <w:tcPr>
            <w:tcW w:type="dxa" w:w="2800"/>
            <w:tcBorders>
              <w:top w:val="single" w:color="1F5C5C" w:sz="6"/>
              <w:left w:val="single" w:color="1F5C5C" w:sz="6"/>
              <w:bottom w:val="single" w:color="1F5C5C" w:sz="6"/>
              <w:right w:val="single" w:color="1F5C5C" w:sz="6"/>
            </w:tcBorders>
            <w:shd w:fill="D6EFEF" w:val="clear"/>
            <w:tcMar>
              <w:top w:type="dxa" w:w="140"/>
              <w:left w:type="dxa" w:w="180"/>
              <w:bottom w:type="dxa" w:w="140"/>
              <w:right w:type="dxa" w:w="180"/>
            </w:tcMar>
          </w:tcPr>
          <w:p>
            <w:pPr>
              <w:spacing w:after="60" w:before="60" w:line="300"/>
            </w:pPr>
            <w:r>
              <w:rPr>
                <w:rFonts w:ascii="Arial" w:cs="Arial" w:eastAsia="Arial" w:hAnsi="Arial"/>
                <w:b/>
                <w:bCs/>
                <w:color w:val="005F5F"/>
                <w:sz w:val="22"/>
                <w:szCs w:val="22"/>
              </w:rPr>
              <w:t xml:space="preserve">Module Leader</w:t>
            </w:r>
          </w:p>
        </w:tc>
        <w:tc>
          <w:tcPr>
            <w:tcW w:type="dxa" w:w="6200"/>
            <w:tcBorders>
              <w:top w:val="single" w:color="1F5C5C" w:sz="6"/>
              <w:left w:val="single" w:color="1F5C5C" w:sz="6"/>
              <w:bottom w:val="single" w:color="1F5C5C" w:sz="6"/>
              <w:right w:val="single" w:color="1F5C5C" w:sz="6"/>
            </w:tcBorders>
            <w:shd w:fill="FFFFFF" w:val="clear"/>
            <w:tcMar>
              <w:top w:type="dxa" w:w="140"/>
              <w:left w:type="dxa" w:w="180"/>
              <w:bottom w:type="dxa" w:w="140"/>
              <w:right w:type="dxa" w:w="180"/>
            </w:tcMar>
          </w:tcPr>
          <w:p>
            <w:pPr>
              <w:spacing w:after="60" w:before="60" w:line="300"/>
            </w:pPr>
            <w:r>
              <w:rPr>
                <w:rFonts w:ascii="Arial" w:cs="Arial" w:eastAsia="Arial" w:hAnsi="Arial"/>
                <w:b w:val="false"/>
                <w:bCs w:val="false"/>
                <w:color w:val="2E3A3A"/>
                <w:sz w:val="22"/>
                <w:szCs w:val="22"/>
              </w:rPr>
              <w:t xml:space="preserve">Dr Szymon Lara</w:t>
            </w:r>
          </w:p>
        </w:tc>
      </w:tr>
      <w:tr>
        <w:tc>
          <w:tcPr>
            <w:tcW w:type="dxa" w:w="2800"/>
            <w:tcBorders>
              <w:top w:val="single" w:color="1F5C5C" w:sz="6"/>
              <w:left w:val="single" w:color="1F5C5C" w:sz="6"/>
              <w:bottom w:val="single" w:color="1F5C5C" w:sz="6"/>
              <w:right w:val="single" w:color="1F5C5C" w:sz="6"/>
            </w:tcBorders>
            <w:shd w:fill="D6EFEF" w:val="clear"/>
            <w:tcMar>
              <w:top w:type="dxa" w:w="140"/>
              <w:left w:type="dxa" w:w="180"/>
              <w:bottom w:type="dxa" w:w="140"/>
              <w:right w:type="dxa" w:w="180"/>
            </w:tcMar>
          </w:tcPr>
          <w:p>
            <w:pPr>
              <w:spacing w:after="60" w:before="60" w:line="300"/>
            </w:pPr>
            <w:r>
              <w:rPr>
                <w:rFonts w:ascii="Arial" w:cs="Arial" w:eastAsia="Arial" w:hAnsi="Arial"/>
                <w:b/>
                <w:bCs/>
                <w:color w:val="005F5F"/>
                <w:sz w:val="22"/>
                <w:szCs w:val="22"/>
              </w:rPr>
              <w:t xml:space="preserve">Student Name</w:t>
            </w:r>
          </w:p>
        </w:tc>
        <w:tc>
          <w:tcPr>
            <w:tcW w:type="dxa" w:w="6200"/>
            <w:tcBorders>
              <w:top w:val="single" w:color="1F5C5C" w:sz="6"/>
              <w:left w:val="single" w:color="1F5C5C" w:sz="6"/>
              <w:bottom w:val="single" w:color="1F5C5C" w:sz="6"/>
              <w:right w:val="single" w:color="1F5C5C" w:sz="6"/>
            </w:tcBorders>
            <w:shd w:fill="FFFFFF" w:val="clear"/>
            <w:tcMar>
              <w:top w:type="dxa" w:w="140"/>
              <w:left w:type="dxa" w:w="180"/>
              <w:bottom w:type="dxa" w:w="140"/>
              <w:right w:type="dxa" w:w="180"/>
            </w:tcMar>
          </w:tcPr>
          <w:p>
            <w:pPr>
              <w:spacing w:after="60" w:before="60" w:line="300"/>
            </w:pPr>
            <w:r>
              <w:rPr>
                <w:rFonts w:ascii="Arial" w:cs="Arial" w:eastAsia="Arial" w:hAnsi="Arial"/>
                <w:b w:val="false"/>
                <w:bCs w:val="false"/>
                <w:color w:val="2E3A3A"/>
                <w:sz w:val="22"/>
                <w:szCs w:val="22"/>
              </w:rPr>
              <w:t xml:space="preserve">Surendra</w:t>
            </w:r>
          </w:p>
        </w:tc>
      </w:tr>
      <w:tr>
        <w:tc>
          <w:tcPr>
            <w:tcW w:type="dxa" w:w="2800"/>
            <w:tcBorders>
              <w:top w:val="single" w:color="1F5C5C" w:sz="6"/>
              <w:left w:val="single" w:color="1F5C5C" w:sz="6"/>
              <w:bottom w:val="single" w:color="1F5C5C" w:sz="6"/>
              <w:right w:val="single" w:color="1F5C5C" w:sz="6"/>
            </w:tcBorders>
            <w:shd w:fill="D6EFEF" w:val="clear"/>
            <w:tcMar>
              <w:top w:type="dxa" w:w="140"/>
              <w:left w:type="dxa" w:w="180"/>
              <w:bottom w:type="dxa" w:w="140"/>
              <w:right w:type="dxa" w:w="180"/>
            </w:tcMar>
          </w:tcPr>
          <w:p>
            <w:pPr>
              <w:spacing w:after="60" w:before="60" w:line="300"/>
            </w:pPr>
            <w:r>
              <w:rPr>
                <w:rFonts w:ascii="Arial" w:cs="Arial" w:eastAsia="Arial" w:hAnsi="Arial"/>
                <w:b/>
                <w:bCs/>
                <w:color w:val="005F5F"/>
                <w:sz w:val="22"/>
                <w:szCs w:val="22"/>
              </w:rPr>
              <w:t xml:space="preserve">Student Number</w:t>
            </w:r>
          </w:p>
        </w:tc>
        <w:tc>
          <w:tcPr>
            <w:tcW w:type="dxa" w:w="6200"/>
            <w:tcBorders>
              <w:top w:val="single" w:color="1F5C5C" w:sz="6"/>
              <w:left w:val="single" w:color="1F5C5C" w:sz="6"/>
              <w:bottom w:val="single" w:color="1F5C5C" w:sz="6"/>
              <w:right w:val="single" w:color="1F5C5C" w:sz="6"/>
            </w:tcBorders>
            <w:shd w:fill="FFFFFF" w:val="clear"/>
            <w:tcMar>
              <w:top w:type="dxa" w:w="140"/>
              <w:left w:type="dxa" w:w="180"/>
              <w:bottom w:type="dxa" w:w="140"/>
              <w:right w:type="dxa" w:w="180"/>
            </w:tcMar>
          </w:tcPr>
          <w:p>
            <w:pPr>
              <w:spacing w:after="60" w:before="60" w:line="300"/>
            </w:pPr>
            <w:r>
              <w:rPr>
                <w:rFonts w:ascii="Arial" w:cs="Arial" w:eastAsia="Arial" w:hAnsi="Arial"/>
                <w:b w:val="false"/>
                <w:bCs w:val="false"/>
                <w:color w:val="2E3A3A"/>
                <w:sz w:val="22"/>
                <w:szCs w:val="22"/>
              </w:rPr>
              <w:t xml:space="preserve">34143280</w:t>
            </w:r>
          </w:p>
        </w:tc>
      </w:tr>
      <w:tr>
        <w:tc>
          <w:tcPr>
            <w:tcW w:type="dxa" w:w="2800"/>
            <w:tcBorders>
              <w:top w:val="single" w:color="1F5C5C" w:sz="6"/>
              <w:left w:val="single" w:color="1F5C5C" w:sz="6"/>
              <w:bottom w:val="single" w:color="1F5C5C" w:sz="6"/>
              <w:right w:val="single" w:color="1F5C5C" w:sz="6"/>
            </w:tcBorders>
            <w:shd w:fill="D6EFEF" w:val="clear"/>
            <w:tcMar>
              <w:top w:type="dxa" w:w="140"/>
              <w:left w:type="dxa" w:w="180"/>
              <w:bottom w:type="dxa" w:w="140"/>
              <w:right w:type="dxa" w:w="180"/>
            </w:tcMar>
          </w:tcPr>
          <w:p>
            <w:pPr>
              <w:spacing w:after="60" w:before="60" w:line="300"/>
            </w:pPr>
            <w:r>
              <w:rPr>
                <w:rFonts w:ascii="Arial" w:cs="Arial" w:eastAsia="Arial" w:hAnsi="Arial"/>
                <w:b/>
                <w:bCs/>
                <w:color w:val="005F5F"/>
                <w:sz w:val="22"/>
                <w:szCs w:val="22"/>
              </w:rPr>
              <w:t xml:space="preserve">Assessment</w:t>
            </w:r>
          </w:p>
        </w:tc>
        <w:tc>
          <w:tcPr>
            <w:tcW w:type="dxa" w:w="6200"/>
            <w:tcBorders>
              <w:top w:val="single" w:color="1F5C5C" w:sz="6"/>
              <w:left w:val="single" w:color="1F5C5C" w:sz="6"/>
              <w:bottom w:val="single" w:color="1F5C5C" w:sz="6"/>
              <w:right w:val="single" w:color="1F5C5C" w:sz="6"/>
            </w:tcBorders>
            <w:shd w:fill="FFFFFF" w:val="clear"/>
            <w:tcMar>
              <w:top w:type="dxa" w:w="140"/>
              <w:left w:type="dxa" w:w="180"/>
              <w:bottom w:type="dxa" w:w="140"/>
              <w:right w:type="dxa" w:w="180"/>
            </w:tcMar>
          </w:tcPr>
          <w:p>
            <w:pPr>
              <w:spacing w:after="60" w:before="60" w:line="300"/>
            </w:pPr>
            <w:r>
              <w:rPr>
                <w:rFonts w:ascii="Arial" w:cs="Arial" w:eastAsia="Arial" w:hAnsi="Arial"/>
                <w:b w:val="false"/>
                <w:bCs w:val="false"/>
                <w:color w:val="2E3A3A"/>
                <w:sz w:val="22"/>
                <w:szCs w:val="22"/>
              </w:rPr>
              <w:t xml:space="preserve">Summative Assessment 2 – Written Business Plan Report</w:t>
            </w:r>
          </w:p>
        </w:tc>
      </w:tr>
      <w:tr>
        <w:tc>
          <w:tcPr>
            <w:tcW w:type="dxa" w:w="2800"/>
            <w:tcBorders>
              <w:top w:val="single" w:color="1F5C5C" w:sz="6"/>
              <w:left w:val="single" w:color="1F5C5C" w:sz="6"/>
              <w:bottom w:val="single" w:color="1F5C5C" w:sz="6"/>
              <w:right w:val="single" w:color="1F5C5C" w:sz="6"/>
            </w:tcBorders>
            <w:shd w:fill="D6EFEF" w:val="clear"/>
            <w:tcMar>
              <w:top w:type="dxa" w:w="140"/>
              <w:left w:type="dxa" w:w="180"/>
              <w:bottom w:type="dxa" w:w="140"/>
              <w:right w:type="dxa" w:w="180"/>
            </w:tcMar>
          </w:tcPr>
          <w:p>
            <w:pPr>
              <w:spacing w:after="60" w:before="60" w:line="300"/>
            </w:pPr>
            <w:r>
              <w:rPr>
                <w:rFonts w:ascii="Arial" w:cs="Arial" w:eastAsia="Arial" w:hAnsi="Arial"/>
                <w:b/>
                <w:bCs/>
                <w:color w:val="005F5F"/>
                <w:sz w:val="22"/>
                <w:szCs w:val="22"/>
              </w:rPr>
              <w:t xml:space="preserve">Submission Date</w:t>
            </w:r>
          </w:p>
        </w:tc>
        <w:tc>
          <w:tcPr>
            <w:tcW w:type="dxa" w:w="6200"/>
            <w:tcBorders>
              <w:top w:val="single" w:color="1F5C5C" w:sz="6"/>
              <w:left w:val="single" w:color="1F5C5C" w:sz="6"/>
              <w:bottom w:val="single" w:color="1F5C5C" w:sz="6"/>
              <w:right w:val="single" w:color="1F5C5C" w:sz="6"/>
            </w:tcBorders>
            <w:shd w:fill="FFFFFF" w:val="clear"/>
            <w:tcMar>
              <w:top w:type="dxa" w:w="140"/>
              <w:left w:type="dxa" w:w="180"/>
              <w:bottom w:type="dxa" w:w="140"/>
              <w:right w:type="dxa" w:w="180"/>
            </w:tcMar>
          </w:tcPr>
          <w:p>
            <w:pPr>
              <w:spacing w:after="60" w:before="60" w:line="300"/>
            </w:pPr>
            <w:r>
              <w:rPr>
                <w:rFonts w:ascii="Arial" w:cs="Arial" w:eastAsia="Arial" w:hAnsi="Arial"/>
                <w:b w:val="false"/>
                <w:bCs w:val="false"/>
                <w:color w:val="2E3A3A"/>
                <w:sz w:val="22"/>
                <w:szCs w:val="22"/>
              </w:rPr>
              <w:t xml:space="preserve">20 May 2026</w:t>
            </w:r>
          </w:p>
        </w:tc>
      </w:tr>
      <w:tr>
        <w:tc>
          <w:tcPr>
            <w:tcW w:type="dxa" w:w="2800"/>
            <w:tcBorders>
              <w:top w:val="single" w:color="1F5C5C" w:sz="6"/>
              <w:left w:val="single" w:color="1F5C5C" w:sz="6"/>
              <w:bottom w:val="single" w:color="1F5C5C" w:sz="6"/>
              <w:right w:val="single" w:color="1F5C5C" w:sz="6"/>
            </w:tcBorders>
            <w:shd w:fill="D6EFEF" w:val="clear"/>
            <w:tcMar>
              <w:top w:type="dxa" w:w="140"/>
              <w:left w:type="dxa" w:w="180"/>
              <w:bottom w:type="dxa" w:w="140"/>
              <w:right w:type="dxa" w:w="180"/>
            </w:tcMar>
          </w:tcPr>
          <w:p>
            <w:pPr>
              <w:spacing w:after="60" w:before="60" w:line="300"/>
            </w:pPr>
            <w:r>
              <w:rPr>
                <w:rFonts w:ascii="Arial" w:cs="Arial" w:eastAsia="Arial" w:hAnsi="Arial"/>
                <w:b/>
                <w:bCs/>
                <w:color w:val="005F5F"/>
                <w:sz w:val="22"/>
                <w:szCs w:val="22"/>
              </w:rPr>
              <w:t xml:space="preserve">Academic Year</w:t>
            </w:r>
          </w:p>
        </w:tc>
        <w:tc>
          <w:tcPr>
            <w:tcW w:type="dxa" w:w="6200"/>
            <w:tcBorders>
              <w:top w:val="single" w:color="1F5C5C" w:sz="6"/>
              <w:left w:val="single" w:color="1F5C5C" w:sz="6"/>
              <w:bottom w:val="single" w:color="1F5C5C" w:sz="6"/>
              <w:right w:val="single" w:color="1F5C5C" w:sz="6"/>
            </w:tcBorders>
            <w:shd w:fill="FFFFFF" w:val="clear"/>
            <w:tcMar>
              <w:top w:type="dxa" w:w="140"/>
              <w:left w:type="dxa" w:w="180"/>
              <w:bottom w:type="dxa" w:w="140"/>
              <w:right w:type="dxa" w:w="180"/>
            </w:tcMar>
          </w:tcPr>
          <w:p>
            <w:pPr>
              <w:spacing w:after="60" w:before="60" w:line="300"/>
            </w:pPr>
            <w:r>
              <w:rPr>
                <w:rFonts w:ascii="Arial" w:cs="Arial" w:eastAsia="Arial" w:hAnsi="Arial"/>
                <w:b w:val="false"/>
                <w:bCs w:val="false"/>
                <w:color w:val="2E3A3A"/>
                <w:sz w:val="22"/>
                <w:szCs w:val="22"/>
              </w:rPr>
              <w:t xml:space="preserve">2025–26</w:t>
            </w:r>
          </w:p>
        </w:tc>
      </w:tr>
    </w:tbl>
    <w:p>
      <w:pPr>
        <w:spacing w:after="60" w:before="60" w:line="360"/>
      </w:pPr>
      <w:r>
        <w:t xml:space="preserve"/>
      </w:r>
    </w:p>
    <w:p>
      <w:pPr>
        <w:spacing w:after="60" w:before="60" w:line="360"/>
      </w:pPr>
      <w:r>
        <w:t xml:space="preserve"/>
      </w:r>
    </w:p>
    <w:p>
      <w:pPr>
        <w:spacing w:after="60" w:before="60" w:line="360"/>
        <w:jc w:val="center"/>
      </w:pPr>
      <w:r>
        <w:rPr>
          <w:rFonts w:ascii="Arial" w:cs="Arial" w:eastAsia="Arial" w:hAnsi="Arial"/>
          <w:i/>
          <w:iCs/>
          <w:color w:val="555555"/>
          <w:sz w:val="19"/>
          <w:szCs w:val="19"/>
        </w:rPr>
        <w:t xml:space="preserve">External Examiner: Dr Athina Tziboula-Clarke, Abertay University</w:t>
      </w:r>
    </w:p>
    <w:p>
      <w:r>
        <w:br w:type="page"/>
      </w:r>
    </w:p>
    <w:p>
      <w:pPr>
        <w:sectPr>
          <w:pgSz w:w="11906" w:h="16838" w:orient="portrait"/>
          <w:pgMar w:top="1440" w:right="1440" w:bottom="1440" w:left="1440" w:header="708" w:footer="708" w:gutter="0"/>
          <w:pgNumType/>
          <w:docGrid w:linePitch="360"/>
        </w:sectPr>
      </w:pPr>
    </w:p>
    <w:p>
      <w:pPr>
        <w:spacing w:after="200" w:before="0" w:line="360"/>
        <w:jc w:val="center"/>
      </w:pPr>
      <w:r>
        <w:rPr>
          <w:rFonts w:ascii="Arial" w:cs="Arial" w:eastAsia="Arial" w:hAnsi="Arial"/>
          <w:b/>
          <w:bCs/>
          <w:color w:val="005F5F"/>
          <w:sz w:val="32"/>
          <w:szCs w:val="32"/>
          <w:u w:val="single" w:color="005F5F"/>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hd w:fill="005F5F" w:val="clear"/>
        <w:spacing w:after="240" w:before="0" w:line="360"/>
      </w:pPr>
      <w:r>
        <w:rPr>
          <w:rFonts w:ascii="Arial" w:cs="Arial" w:eastAsia="Arial" w:hAnsi="Arial"/>
          <w:b/>
          <w:bCs/>
          <w:color w:val="FFFFFF"/>
          <w:sz w:val="32"/>
          <w:szCs w:val="32"/>
        </w:rPr>
        <w:t xml:space="preserve">Executive Summary</w:t>
      </w:r>
    </w:p>
    <w:p>
      <w:pPr>
        <w:spacing w:after="140" w:before="80" w:line="360"/>
        <w:jc w:val="both"/>
      </w:pPr>
      <w:r>
        <w:rPr>
          <w:rFonts w:ascii="Arial" w:cs="Arial" w:eastAsia="Arial" w:hAnsi="Arial"/>
          <w:color w:val="2E3A3A"/>
          <w:sz w:val="24"/>
          <w:szCs w:val="24"/>
        </w:rPr>
        <w:t xml:space="preserve">CrustLoop Consultancy is a proposed circular economy advisory firm designed to help UK food businesses — including bakeries, cafes, supermarkets, and sandwich manufacturers — transform surplus bread and baked goods waste into commercially viable, environmentally responsible outputs. The consultancy addresses a critical and well-documented market gap: the UK discards approximately 900,000 tonnes of bread annually (WRAP, 2022), representing both an enormous environmental cost and a largely untapped commercial opportunity for food businesses facing increasing pressure to demonstrate robust Environmental, Social, and Governance (ESG) credentials.</w:t>
      </w:r>
    </w:p>
    <w:p>
      <w:pPr>
        <w:spacing w:after="140" w:before="80" w:line="360"/>
        <w:jc w:val="both"/>
      </w:pPr>
      <w:r>
        <w:rPr>
          <w:rFonts w:ascii="Arial" w:cs="Arial" w:eastAsia="Arial" w:hAnsi="Arial"/>
          <w:color w:val="2E3A3A"/>
          <w:sz w:val="24"/>
          <w:szCs w:val="24"/>
        </w:rPr>
        <w:t xml:space="preserve">Grounded in the circular economy principles articulated by the Ellen MacArthur Foundation (2021), CrustLoop offers a comprehensive advisory service spanning waste diagnostics, supply chain partnership brokering, circular strategy implementation, and verified impact reporting. Its four primary waste diversion pathways — craft brewing partnerships, animal feed supply agreements, anaerobic digestion contracts, and urban composting networks — are directly informed by successful precedents including Toast Ale's bread-to-beer model (Stuart, 2009) and are aligned with the UK Food Waste Reduction Roadmap (HM Government, 2021).</w:t>
      </w:r>
    </w:p>
    <w:p>
      <w:pPr>
        <w:spacing w:after="140" w:before="80" w:line="360"/>
        <w:jc w:val="both"/>
      </w:pPr>
      <w:r>
        <w:rPr>
          <w:rFonts w:ascii="Arial" w:cs="Arial" w:eastAsia="Arial" w:hAnsi="Arial"/>
          <w:color w:val="2E3A3A"/>
          <w:sz w:val="24"/>
          <w:szCs w:val="24"/>
        </w:rPr>
        <w:t xml:space="preserve">The business is grounded in a rigorous analysis of the competitive landscape, deploying the 7Ps Marketing Mix (Kotler and Keller, 2016) and SWOT framework to identify strategic positioning opportunities. Critically, the proposal identifies five significant barriers — supply chain inconsistency, logistics complexity, cultural resistance, impact measurement challenges, and regulatory uncertainty — alongside five structural facilitators — policy imperatives, ESG investment demand, established CE networks, proof-of-concept models, and digital measurement technologies — that define the risk and opportunity environment for this venture.</w:t>
      </w:r>
    </w:p>
    <w:p>
      <w:pPr>
        <w:spacing w:after="140" w:before="80" w:line="360"/>
        <w:jc w:val="both"/>
      </w:pPr>
      <w:r>
        <w:rPr>
          <w:rFonts w:ascii="Arial" w:cs="Arial" w:eastAsia="Arial" w:hAnsi="Arial"/>
          <w:color w:val="2E3A3A"/>
          <w:sz w:val="24"/>
          <w:szCs w:val="24"/>
        </w:rPr>
        <w:t xml:space="preserve">CrustLoop represents a commercially sound, socially purposeful, and scalable business model that aligns individual commercial incentive with systemic food waste reduction, demonstrating that sustainability and profitability are mutually reinforcing strategic assets (Lacy and Rutqvist, 2015).</w:t>
      </w:r>
    </w:p>
    <w:p>
      <w:r>
        <w:br w:type="page"/>
      </w:r>
    </w:p>
    <w:p>
      <w:pPr>
        <w:pStyle w:val="Heading1"/>
        <w:pageBreakBefore/>
        <w:shd w:fill="005F5F" w:val="clear"/>
        <w:spacing w:after="240" w:before="0" w:line="360"/>
      </w:pPr>
      <w:r>
        <w:rPr>
          <w:rFonts w:ascii="Arial" w:cs="Arial" w:eastAsia="Arial" w:hAnsi="Arial"/>
          <w:b/>
          <w:bCs/>
          <w:color w:val="FFFFFF"/>
          <w:sz w:val="32"/>
          <w:szCs w:val="32"/>
        </w:rPr>
        <w:t xml:space="preserve">2.  Business Idea Description</w:t>
      </w:r>
    </w:p>
    <w:p>
      <w:pPr>
        <w:pStyle w:val="Heading2"/>
        <w:pBdr>
          <w:bottom w:val="single" w:color="009999" w:sz="4" w:space="2"/>
        </w:pBdr>
        <w:spacing w:after="120" w:before="320" w:line="360"/>
      </w:pPr>
      <w:r>
        <w:rPr>
          <w:rFonts w:ascii="Arial" w:cs="Arial" w:eastAsia="Arial" w:hAnsi="Arial"/>
          <w:b/>
          <w:bCs/>
          <w:color w:val="005F5F"/>
          <w:sz w:val="26"/>
          <w:szCs w:val="26"/>
        </w:rPr>
        <w:t xml:space="preserve">2.1  The Problem: A System Designed to Waste</w:t>
      </w:r>
    </w:p>
    <w:p>
      <w:pPr>
        <w:spacing w:after="140" w:before="80" w:line="360"/>
        <w:jc w:val="both"/>
      </w:pPr>
      <w:r>
        <w:rPr>
          <w:rFonts w:ascii="Arial" w:cs="Arial" w:eastAsia="Arial" w:hAnsi="Arial"/>
          <w:color w:val="2E3A3A"/>
          <w:sz w:val="24"/>
          <w:szCs w:val="24"/>
        </w:rPr>
        <w:t xml:space="preserve">The United Kingdom food system is characterised by profound structural inefficiencies that result in staggering levels of avoidable waste. The Food and Agriculture Organisation (FAO, 2019) estimates that one-third of all food produced globally for human consumption is lost or wasted, contributing between 8 and 10 per cent of total global greenhouse gas emissions. In the UK specifically, the food and drink sector generates approximately 10.7 million tonnes of food waste annually, of which 6.4 million tonnes is classified as avoidable — food that was edible at the point of disposal (DEFRA, 2021). Bread and baked goods constitute a disproportionately large share of this total, with WRAP (2022) estimating that approximately 900,000 tonnes of bread are discarded each year in the UK alone.</w:t>
      </w:r>
    </w:p>
    <w:p>
      <w:pPr>
        <w:spacing w:after="140" w:before="80" w:line="360"/>
        <w:jc w:val="both"/>
      </w:pPr>
      <w:r>
        <w:rPr>
          <w:rFonts w:ascii="Arial" w:cs="Arial" w:eastAsia="Arial" w:hAnsi="Arial"/>
          <w:color w:val="2E3A3A"/>
          <w:sz w:val="24"/>
          <w:szCs w:val="24"/>
        </w:rPr>
        <w:t xml:space="preserve">Figure 1 below illustrates the scale of UK food waste by category, placing bakery and bread waste in its broader sectoral context. Whilst fresh vegetables generate the highest absolute volume of avoidable waste, bread and bakery products represent a concentrated, logistically manageable waste stream uniquely suited to circular valorisation — given its consistent composition, predictable generation patterns, and the existence of mature diversion markets such as craft brewing and anaerobic digestion.</w:t>
      </w:r>
    </w:p>
    <w:p>
      <w:pPr>
        <w:spacing w:after="60" w:before="60" w:line="360"/>
      </w:pPr>
      <w:r>
        <w:t xml:space="preserve"/>
      </w:r>
    </w:p>
    <w:p>
      <w:pPr>
        <w:spacing w:after="80" w:before="120" w:line="360"/>
        <w:jc w:val="center"/>
      </w:pPr>
      <w:r>
        <w:drawing>
          <wp:inline distT="0" distB="0" distL="0" distR="0">
            <wp:extent cx="4953000" cy="2524125"/>
            <wp:effectExtent t="0" r="0" b="0" l="0"/>
            <wp:docPr id="1" name="chart" descr="Bar 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524125"/>
                    </a:xfrm>
                    <a:prstGeom prst="rect">
                      <a:avLst/>
                    </a:prstGeom>
                  </pic:spPr>
                </pic:pic>
              </a:graphicData>
            </a:graphic>
          </wp:inline>
        </w:drawing>
      </w:r>
    </w:p>
    <w:p>
      <w:pPr>
        <w:spacing w:after="200" w:before="60" w:line="360"/>
        <w:jc w:val="center"/>
      </w:pPr>
      <w:r>
        <w:rPr>
          <w:rFonts w:ascii="Arial" w:cs="Arial" w:eastAsia="Arial" w:hAnsi="Arial"/>
          <w:i/>
          <w:iCs/>
          <w:color w:val="555555"/>
          <w:sz w:val="19"/>
          <w:szCs w:val="19"/>
        </w:rPr>
        <w:t xml:space="preserve">Figure 1: UK Avoidable Food Waste by Category ('000 tonnes per annum). Sources: WRAP (2022); DEFRA (2021).</w:t>
      </w:r>
    </w:p>
    <w:p>
      <w:pPr>
        <w:spacing w:after="60" w:before="60" w:line="360"/>
      </w:pPr>
      <w:r>
        <w:t xml:space="preserve"/>
      </w:r>
    </w:p>
    <w:p>
      <w:pPr>
        <w:spacing w:after="140" w:before="80" w:line="360"/>
        <w:jc w:val="both"/>
      </w:pPr>
      <w:r>
        <w:rPr>
          <w:rFonts w:ascii="Arial" w:cs="Arial" w:eastAsia="Arial" w:hAnsi="Arial"/>
          <w:color w:val="2E3A3A"/>
          <w:sz w:val="24"/>
          <w:szCs w:val="24"/>
        </w:rPr>
        <w:t xml:space="preserve">This waste is not incidental but structural. Papargyropoulou et al. (2014) argue that food waste arises from systemic misalignments between production schedules, retail demand forecasting, consumer behaviour, and supply chain logistics. The dominant linear economic model — characterised by Stahel (2016) as a 'take-make-waste' paradigm — treats surplus as an inevitable residue rather than a recoverable resource. Critically, decomposing bread in landfill releases methane, a greenhouse gas approximately 28 times more potent than CO₂ over a 100-year period (IPCC, 2021), amplifying the environmental case for diversion.</w:t>
      </w:r>
    </w:p>
    <w:p>
      <w:pPr>
        <w:pStyle w:val="Heading2"/>
        <w:pBdr>
          <w:bottom w:val="single" w:color="009999" w:sz="4" w:space="2"/>
        </w:pBdr>
        <w:spacing w:after="120" w:before="320" w:line="360"/>
      </w:pPr>
      <w:r>
        <w:rPr>
          <w:rFonts w:ascii="Arial" w:cs="Arial" w:eastAsia="Arial" w:hAnsi="Arial"/>
          <w:b/>
          <w:bCs/>
          <w:color w:val="005F5F"/>
          <w:sz w:val="26"/>
          <w:szCs w:val="26"/>
        </w:rPr>
        <w:t xml:space="preserve">2.2  The Solution: CrustLoop Consultancy</w:t>
      </w:r>
    </w:p>
    <w:p>
      <w:pPr>
        <w:spacing w:after="140" w:before="80" w:line="360"/>
        <w:jc w:val="both"/>
      </w:pPr>
      <w:r>
        <w:rPr>
          <w:rFonts w:ascii="Arial" w:cs="Arial" w:eastAsia="Arial" w:hAnsi="Arial"/>
          <w:color w:val="2E3A3A"/>
          <w:sz w:val="24"/>
          <w:szCs w:val="24"/>
        </w:rPr>
        <w:t xml:space="preserve">CrustLoop Consultancy is conceived as a specialist circular economy advisory firm that embeds itself within the operational reality of food businesses and redesigns their waste streams from liability into asset. The business draws on the foundational circular economy concept articulated by the Ellen MacArthur Foundation (2021): a restorative and regenerative economic model designed to keep products, components, and materials at their highest utility and value at all times, eliminating waste as a design outcome rather than an operational inevitability.</w:t>
      </w:r>
    </w:p>
    <w:p>
      <w:pPr>
        <w:spacing w:after="140" w:before="80" w:line="360"/>
        <w:jc w:val="both"/>
      </w:pPr>
      <w:r>
        <w:rPr>
          <w:rFonts w:ascii="Arial" w:cs="Arial" w:eastAsia="Arial" w:hAnsi="Arial"/>
          <w:color w:val="2E3A3A"/>
          <w:sz w:val="24"/>
          <w:szCs w:val="24"/>
        </w:rPr>
        <w:t xml:space="preserve">The consultancy will offer four integrated service lines: a Waste Audit, Partnership Brokering, Strategy and Implementation, and Impact Reporting. Figure 2 illustrates CrustLoop's projected distribution of client surplus across its four primary diversion pathways. Craft brewing partnerships represent the highest-value diversion channel and are therefore weighted most heavily in early-stage client proposals, whilst anaerobic digestion provides a reliable baseline channel for volumes that cannot be accommodated by brewing or feed contracts in any given period.</w:t>
      </w:r>
    </w:p>
    <w:p>
      <w:pPr>
        <w:spacing w:after="60" w:before="60" w:line="360"/>
      </w:pPr>
      <w:r>
        <w:t xml:space="preserve"/>
      </w:r>
    </w:p>
    <w:p>
      <w:pPr>
        <w:spacing w:after="80" w:before="120" w:line="360"/>
        <w:jc w:val="center"/>
      </w:pPr>
      <w:r>
        <w:drawing>
          <wp:inline distT="0" distB="0" distL="0" distR="0">
            <wp:extent cx="4572000" cy="2524125"/>
            <wp:effectExtent t="0" r="0" b="0" l="0"/>
            <wp:docPr id="1" name="chart" descr="Bar 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524125"/>
                    </a:xfrm>
                    <a:prstGeom prst="rect">
                      <a:avLst/>
                    </a:prstGeom>
                  </pic:spPr>
                </pic:pic>
              </a:graphicData>
            </a:graphic>
          </wp:inline>
        </w:drawing>
      </w:r>
    </w:p>
    <w:p>
      <w:pPr>
        <w:spacing w:after="200" w:before="60" w:line="360"/>
        <w:jc w:val="center"/>
      </w:pPr>
      <w:r>
        <w:rPr>
          <w:rFonts w:ascii="Arial" w:cs="Arial" w:eastAsia="Arial" w:hAnsi="Arial"/>
          <w:i/>
          <w:iCs/>
          <w:color w:val="555555"/>
          <w:sz w:val="19"/>
          <w:szCs w:val="19"/>
        </w:rPr>
        <w:t xml:space="preserve">Figure 2: CrustLoop Projected Waste Diversion by Pathway (% of total client surplus). Sources: Author's own projections; Ellen MacArthur Foundation (2021); ADBA (2022).</w:t>
      </w:r>
    </w:p>
    <w:p>
      <w:pPr>
        <w:spacing w:after="60" w:before="60" w:line="360"/>
      </w:pPr>
      <w:r>
        <w:t xml:space="preserve"/>
      </w:r>
    </w:p>
    <w:p>
      <w:pPr>
        <w:pBdr>
          <w:left w:val="single" w:color="009999" w:sz="14" w:space="10"/>
        </w:pBdr>
        <w:shd w:fill="D6EFEF" w:val="clear"/>
        <w:spacing w:after="70" w:before="70" w:line="300"/>
        <w:ind w:left="360" w:right="360"/>
      </w:pPr>
      <w:r>
        <w:rPr>
          <w:rFonts w:ascii="Arial" w:cs="Arial" w:eastAsia="Arial" w:hAnsi="Arial"/>
          <w:color w:val="2E3A3A"/>
          <w:sz w:val="22"/>
          <w:szCs w:val="22"/>
        </w:rPr>
        <w:t xml:space="preserve">Key Statistic: Anaerobic digestion of one tonne of food waste can generate sufficient biogas to power an</w:t>
      </w:r>
    </w:p>
    <w:p>
      <w:pPr>
        <w:pBdr>
          <w:left w:val="single" w:color="009999" w:sz="14" w:space="10"/>
        </w:pBdr>
        <w:shd w:fill="D6EFEF" w:val="clear"/>
        <w:spacing w:after="70" w:before="70" w:line="300"/>
        <w:ind w:left="360" w:right="360"/>
      </w:pPr>
      <w:r>
        <w:rPr>
          <w:rFonts w:ascii="Arial" w:cs="Arial" w:eastAsia="Arial" w:hAnsi="Arial"/>
          <w:color w:val="2E3A3A"/>
          <w:sz w:val="22"/>
          <w:szCs w:val="22"/>
        </w:rPr>
        <w:t xml:space="preserve">average UK household for approximately two months, whilst simultaneously producing digestate as a</w:t>
      </w:r>
    </w:p>
    <w:p>
      <w:pPr>
        <w:pBdr>
          <w:left w:val="single" w:color="009999" w:sz="14" w:space="10"/>
        </w:pBdr>
        <w:shd w:fill="D6EFEF" w:val="clear"/>
        <w:spacing w:after="70" w:before="70" w:line="300"/>
        <w:ind w:left="360" w:right="360"/>
      </w:pPr>
      <w:r>
        <w:rPr>
          <w:rFonts w:ascii="Arial" w:cs="Arial" w:eastAsia="Arial" w:hAnsi="Arial"/>
          <w:color w:val="2E3A3A"/>
          <w:sz w:val="22"/>
          <w:szCs w:val="22"/>
        </w:rPr>
        <w:t xml:space="preserve">natural fertiliser substitute (Zero Waste Scotland, 2022).</w:t>
      </w:r>
    </w:p>
    <w:p>
      <w:pPr>
        <w:pStyle w:val="Heading2"/>
        <w:pBdr>
          <w:bottom w:val="single" w:color="009999" w:sz="4" w:space="2"/>
        </w:pBdr>
        <w:spacing w:after="120" w:before="320" w:line="360"/>
      </w:pPr>
      <w:r>
        <w:rPr>
          <w:rFonts w:ascii="Arial" w:cs="Arial" w:eastAsia="Arial" w:hAnsi="Arial"/>
          <w:b/>
          <w:bCs/>
          <w:color w:val="005F5F"/>
          <w:sz w:val="26"/>
          <w:szCs w:val="26"/>
        </w:rPr>
        <w:t xml:space="preserve">2.3  Unique Selling Proposition</w:t>
      </w:r>
    </w:p>
    <w:p>
      <w:pPr>
        <w:spacing w:after="140" w:before="80" w:line="360"/>
        <w:jc w:val="both"/>
      </w:pPr>
      <w:r>
        <w:rPr>
          <w:rFonts w:ascii="Arial" w:cs="Arial" w:eastAsia="Arial" w:hAnsi="Arial"/>
          <w:color w:val="2E3A3A"/>
          <w:sz w:val="24"/>
          <w:szCs w:val="24"/>
        </w:rPr>
        <w:t xml:space="preserve">CrustLoop's USP rests on three differentiated pillars. First, genuine sector specialisation: unlike generalist sustainability consultants, CrustLoop focuses exclusively on baked goods waste, enabling depth of expertise in relevant legislation, supply chain logistics, and viable diversion markets that broad advisory firms cannot replicate (Porter, 2008). Second, a partnership-led, outcomes-focused commercial model: CrustLoop generates revenue through retainer contracts and a percentage share of verified cost savings, aligning the consultancy's commercial incentives directly with client outcomes. Third, a measurable impact reporting framework: at a time when greenwashing accusations present significant reputational risks (Bocken et al., 2016), CrustLoop's commitment to independently verifiable impact data provides clients with genuine, auditable sustainability credentials that create competitive advantage in procurement processes and investor relations.</w:t>
      </w:r>
    </w:p>
    <w:p>
      <w:pPr>
        <w:spacing w:after="140" w:before="80" w:line="360"/>
        <w:jc w:val="both"/>
      </w:pPr>
      <w:r>
        <w:rPr>
          <w:rFonts w:ascii="Arial" w:cs="Arial" w:eastAsia="Arial" w:hAnsi="Arial"/>
          <w:color w:val="2E3A3A"/>
          <w:sz w:val="24"/>
          <w:szCs w:val="24"/>
        </w:rPr>
        <w:t xml:space="preserve">Target clients include national food retail chains such as Greggs and Pret A Manger, regional sandwich manufacturers, contract catering firms in healthcare and education, and independent high street bakeries served through a standardised, lower-cost diagnostic package.</w:t>
      </w:r>
    </w:p>
    <w:p>
      <w:r>
        <w:br w:type="page"/>
      </w:r>
    </w:p>
    <w:p>
      <w:pPr>
        <w:pStyle w:val="Heading1"/>
        <w:pageBreakBefore/>
        <w:shd w:fill="005F5F" w:val="clear"/>
        <w:spacing w:after="240" w:before="0" w:line="360"/>
      </w:pPr>
      <w:r>
        <w:rPr>
          <w:rFonts w:ascii="Arial" w:cs="Arial" w:eastAsia="Arial" w:hAnsi="Arial"/>
          <w:b/>
          <w:bCs/>
          <w:color w:val="FFFFFF"/>
          <w:sz w:val="32"/>
          <w:szCs w:val="32"/>
        </w:rPr>
        <w:t xml:space="preserve">3.  Market Analysis and Strategy</w:t>
      </w:r>
    </w:p>
    <w:p>
      <w:pPr>
        <w:pStyle w:val="Heading2"/>
        <w:pBdr>
          <w:bottom w:val="single" w:color="009999" w:sz="4" w:space="2"/>
        </w:pBdr>
        <w:spacing w:after="120" w:before="320" w:line="360"/>
      </w:pPr>
      <w:r>
        <w:rPr>
          <w:rFonts w:ascii="Arial" w:cs="Arial" w:eastAsia="Arial" w:hAnsi="Arial"/>
          <w:b/>
          <w:bCs/>
          <w:color w:val="005F5F"/>
          <w:sz w:val="26"/>
          <w:szCs w:val="26"/>
        </w:rPr>
        <w:t xml:space="preserve">3.1  Market Context and Scale of Opportunity</w:t>
      </w:r>
    </w:p>
    <w:p>
      <w:pPr>
        <w:spacing w:after="140" w:before="80" w:line="360"/>
        <w:jc w:val="both"/>
      </w:pPr>
      <w:r>
        <w:rPr>
          <w:rFonts w:ascii="Arial" w:cs="Arial" w:eastAsia="Arial" w:hAnsi="Arial"/>
          <w:color w:val="2E3A3A"/>
          <w:sz w:val="24"/>
          <w:szCs w:val="24"/>
        </w:rPr>
        <w:t xml:space="preserve">The circular economy consulting market represents one of the fastest-growing segments within professional services globally. According to the European Commission (2021), the full implementation of circular economy principles could generate EUR 1.8 trillion in economic value across Europe by 2030, with the agri-food sector identified as among the highest-priority areas for intervention. In the UK, the Food Waste Reduction Roadmap mandates all food businesses with a turnover above GBP 10 million to measure, report, and act on food waste by 2026 (HM Government, 2021), creating compliance-driven demand for specialist advisory services.</w:t>
      </w:r>
    </w:p>
    <w:p>
      <w:pPr>
        <w:spacing w:after="140" w:before="80" w:line="360"/>
        <w:jc w:val="both"/>
      </w:pPr>
      <w:r>
        <w:rPr>
          <w:rFonts w:ascii="Arial" w:cs="Arial" w:eastAsia="Arial" w:hAnsi="Arial"/>
          <w:color w:val="2E3A3A"/>
          <w:sz w:val="24"/>
          <w:szCs w:val="24"/>
        </w:rPr>
        <w:t xml:space="preserve">Kirchherr et al. (2017), in a systematic review of 114 circular economy definitions, identify three recurring dimensions: the technical cycle (material recovery and recycling), the biological cycle (organic material return to the biosphere), and the value creation logic. CrustLoop operates primarily across the biological cycle and value creation logic — positioning it within the emerging 'circular food economy' sub-sector that Geissdoerfer et al. (2017) identify as one of the most commercially promising frontiers of circular economy application.</w:t>
      </w:r>
    </w:p>
    <w:p>
      <w:pPr>
        <w:spacing w:after="60" w:before="60" w:line="3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800"/>
        <w:gridCol w:w="2600"/>
        <w:gridCol w:w="2700"/>
      </w:tblGrid>
      <w:tr>
        <w:trPr>
          <w:tblHeader/>
        </w:trPr>
        <w:tc>
          <w:tcPr>
            <w:tcW w:type="dxa" w:w="3800"/>
            <w:tcBorders>
              <w:top w:val="single" w:color="005F5F" w:sz="8"/>
              <w:left w:val="single" w:color="005F5F" w:sz="8"/>
              <w:bottom w:val="single" w:color="005F5F" w:sz="8"/>
              <w:right w:val="single" w:color="005F5F" w:sz="8"/>
            </w:tcBorders>
            <w:shd w:fill="005F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Metric</w:t>
            </w:r>
          </w:p>
        </w:tc>
        <w:tc>
          <w:tcPr>
            <w:tcW w:type="dxa" w:w="2600"/>
            <w:tcBorders>
              <w:top w:val="single" w:color="005F5F" w:sz="8"/>
              <w:left w:val="single" w:color="005F5F" w:sz="8"/>
              <w:bottom w:val="single" w:color="005F5F" w:sz="8"/>
              <w:right w:val="single" w:color="005F5F" w:sz="8"/>
            </w:tcBorders>
            <w:shd w:fill="005F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Value</w:t>
            </w:r>
          </w:p>
        </w:tc>
        <w:tc>
          <w:tcPr>
            <w:tcW w:type="dxa" w:w="2700"/>
            <w:tcBorders>
              <w:top w:val="single" w:color="005F5F" w:sz="8"/>
              <w:left w:val="single" w:color="005F5F" w:sz="8"/>
              <w:bottom w:val="single" w:color="005F5F" w:sz="8"/>
              <w:right w:val="single" w:color="005F5F" w:sz="8"/>
            </w:tcBorders>
            <w:shd w:fill="005F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Source</w:t>
            </w:r>
          </w:p>
        </w:tc>
      </w:tr>
      <w:tr>
        <w:tc>
          <w:tcPr>
            <w:tcW w:type="dxa" w:w="3800"/>
            <w:tcBorders>
              <w:top w:val="single" w:color="AAAAAA" w:sz="4"/>
              <w:left w:val="single" w:color="AAAAAA" w:sz="4"/>
              <w:bottom w:val="single" w:color="AAAAAA" w:sz="4"/>
              <w:right w:val="single" w:color="AAAAAA" w:sz="4"/>
            </w:tcBorders>
            <w:shd w:fill="F4F9F9" w:val="clear"/>
            <w:tcMar>
              <w:top w:type="dxa" w:w="90"/>
              <w:left w:type="dxa" w:w="160"/>
              <w:bottom w:type="dxa" w:w="90"/>
              <w:right w:type="dxa" w:w="160"/>
            </w:tcMar>
            <w:vAlign w:val="top"/>
          </w:tcPr>
          <w:p>
            <w:r>
              <w:rPr>
                <w:rFonts w:ascii="Arial" w:cs="Arial" w:eastAsia="Arial" w:hAnsi="Arial"/>
                <w:color w:val="2E3A3A"/>
                <w:sz w:val="20"/>
                <w:szCs w:val="20"/>
              </w:rPr>
              <w:t xml:space="preserve">UK annual bread &amp; bakery waste</w:t>
            </w:r>
          </w:p>
        </w:tc>
        <w:tc>
          <w:tcPr>
            <w:tcW w:type="dxa" w:w="2600"/>
            <w:tcBorders>
              <w:top w:val="single" w:color="AAAAAA" w:sz="4"/>
              <w:left w:val="single" w:color="AAAAAA" w:sz="4"/>
              <w:bottom w:val="single" w:color="AAAAAA" w:sz="4"/>
              <w:right w:val="single" w:color="AAAAAA" w:sz="4"/>
            </w:tcBorders>
            <w:shd w:fill="F4F9F9" w:val="clear"/>
            <w:tcMar>
              <w:top w:type="dxa" w:w="90"/>
              <w:left w:type="dxa" w:w="160"/>
              <w:bottom w:type="dxa" w:w="90"/>
              <w:right w:type="dxa" w:w="160"/>
            </w:tcMar>
            <w:vAlign w:val="top"/>
          </w:tcPr>
          <w:p>
            <w:r>
              <w:rPr>
                <w:rFonts w:ascii="Arial" w:cs="Arial" w:eastAsia="Arial" w:hAnsi="Arial"/>
                <w:color w:val="2E3A3A"/>
                <w:sz w:val="20"/>
                <w:szCs w:val="20"/>
              </w:rPr>
              <w:t xml:space="preserve">~900,000 tonnes</w:t>
            </w:r>
          </w:p>
        </w:tc>
        <w:tc>
          <w:tcPr>
            <w:tcW w:type="dxa" w:w="2700"/>
            <w:tcBorders>
              <w:top w:val="single" w:color="AAAAAA" w:sz="4"/>
              <w:left w:val="single" w:color="AAAAAA" w:sz="4"/>
              <w:bottom w:val="single" w:color="AAAAAA" w:sz="4"/>
              <w:right w:val="single" w:color="AAAAAA" w:sz="4"/>
            </w:tcBorders>
            <w:shd w:fill="F4F9F9" w:val="clear"/>
            <w:tcMar>
              <w:top w:type="dxa" w:w="90"/>
              <w:left w:type="dxa" w:w="160"/>
              <w:bottom w:type="dxa" w:w="90"/>
              <w:right w:type="dxa" w:w="160"/>
            </w:tcMar>
            <w:vAlign w:val="top"/>
          </w:tcPr>
          <w:p>
            <w:r>
              <w:rPr>
                <w:rFonts w:ascii="Arial" w:cs="Arial" w:eastAsia="Arial" w:hAnsi="Arial"/>
                <w:color w:val="2E3A3A"/>
                <w:sz w:val="20"/>
                <w:szCs w:val="20"/>
              </w:rPr>
              <w:t xml:space="preserve">WRAP (2022)</w:t>
            </w:r>
          </w:p>
        </w:tc>
      </w:tr>
      <w:tr>
        <w:tc>
          <w:tcPr>
            <w:tcW w:type="dxa" w:w="3800"/>
            <w:tcBorders>
              <w:top w:val="single" w:color="AAAAAA" w:sz="4"/>
              <w:left w:val="single" w:color="AAAAAA" w:sz="4"/>
              <w:bottom w:val="single" w:color="AAAAAA" w:sz="4"/>
              <w:right w:val="single" w:color="AAAAAA" w:sz="4"/>
            </w:tcBorders>
            <w:shd w:fill="FFFFFF" w:val="clear"/>
            <w:tcMar>
              <w:top w:type="dxa" w:w="90"/>
              <w:left w:type="dxa" w:w="160"/>
              <w:bottom w:type="dxa" w:w="90"/>
              <w:right w:type="dxa" w:w="160"/>
            </w:tcMar>
            <w:vAlign w:val="top"/>
          </w:tcPr>
          <w:p>
            <w:r>
              <w:rPr>
                <w:rFonts w:ascii="Arial" w:cs="Arial" w:eastAsia="Arial" w:hAnsi="Arial"/>
                <w:color w:val="2E3A3A"/>
                <w:sz w:val="20"/>
                <w:szCs w:val="20"/>
              </w:rPr>
              <w:t xml:space="preserve">UK total avoidable food waste</w:t>
            </w:r>
          </w:p>
        </w:tc>
        <w:tc>
          <w:tcPr>
            <w:tcW w:type="dxa" w:w="2600"/>
            <w:tcBorders>
              <w:top w:val="single" w:color="AAAAAA" w:sz="4"/>
              <w:left w:val="single" w:color="AAAAAA" w:sz="4"/>
              <w:bottom w:val="single" w:color="AAAAAA" w:sz="4"/>
              <w:right w:val="single" w:color="AAAAAA" w:sz="4"/>
            </w:tcBorders>
            <w:shd w:fill="FFFFFF" w:val="clear"/>
            <w:tcMar>
              <w:top w:type="dxa" w:w="90"/>
              <w:left w:type="dxa" w:w="160"/>
              <w:bottom w:type="dxa" w:w="90"/>
              <w:right w:type="dxa" w:w="160"/>
            </w:tcMar>
            <w:vAlign w:val="top"/>
          </w:tcPr>
          <w:p>
            <w:r>
              <w:rPr>
                <w:rFonts w:ascii="Arial" w:cs="Arial" w:eastAsia="Arial" w:hAnsi="Arial"/>
                <w:color w:val="2E3A3A"/>
                <w:sz w:val="20"/>
                <w:szCs w:val="20"/>
              </w:rPr>
              <w:t xml:space="preserve">6.4 million t/yr</w:t>
            </w:r>
          </w:p>
        </w:tc>
        <w:tc>
          <w:tcPr>
            <w:tcW w:type="dxa" w:w="2700"/>
            <w:tcBorders>
              <w:top w:val="single" w:color="AAAAAA" w:sz="4"/>
              <w:left w:val="single" w:color="AAAAAA" w:sz="4"/>
              <w:bottom w:val="single" w:color="AAAAAA" w:sz="4"/>
              <w:right w:val="single" w:color="AAAAAA" w:sz="4"/>
            </w:tcBorders>
            <w:shd w:fill="FFFFFF" w:val="clear"/>
            <w:tcMar>
              <w:top w:type="dxa" w:w="90"/>
              <w:left w:type="dxa" w:w="160"/>
              <w:bottom w:type="dxa" w:w="90"/>
              <w:right w:type="dxa" w:w="160"/>
            </w:tcMar>
            <w:vAlign w:val="top"/>
          </w:tcPr>
          <w:p>
            <w:r>
              <w:rPr>
                <w:rFonts w:ascii="Arial" w:cs="Arial" w:eastAsia="Arial" w:hAnsi="Arial"/>
                <w:color w:val="2E3A3A"/>
                <w:sz w:val="20"/>
                <w:szCs w:val="20"/>
              </w:rPr>
              <w:t xml:space="preserve">DEFRA (2021)</w:t>
            </w:r>
          </w:p>
        </w:tc>
      </w:tr>
      <w:tr>
        <w:tc>
          <w:tcPr>
            <w:tcW w:type="dxa" w:w="3800"/>
            <w:tcBorders>
              <w:top w:val="single" w:color="AAAAAA" w:sz="4"/>
              <w:left w:val="single" w:color="AAAAAA" w:sz="4"/>
              <w:bottom w:val="single" w:color="AAAAAA" w:sz="4"/>
              <w:right w:val="single" w:color="AAAAAA" w:sz="4"/>
            </w:tcBorders>
            <w:shd w:fill="F4F9F9" w:val="clear"/>
            <w:tcMar>
              <w:top w:type="dxa" w:w="90"/>
              <w:left w:type="dxa" w:w="160"/>
              <w:bottom w:type="dxa" w:w="90"/>
              <w:right w:type="dxa" w:w="160"/>
            </w:tcMar>
            <w:vAlign w:val="top"/>
          </w:tcPr>
          <w:p>
            <w:r>
              <w:rPr>
                <w:rFonts w:ascii="Arial" w:cs="Arial" w:eastAsia="Arial" w:hAnsi="Arial"/>
                <w:color w:val="2E3A3A"/>
                <w:sz w:val="20"/>
                <w:szCs w:val="20"/>
              </w:rPr>
              <w:t xml:space="preserve">UK food sector waste cost to business</w:t>
            </w:r>
          </w:p>
        </w:tc>
        <w:tc>
          <w:tcPr>
            <w:tcW w:type="dxa" w:w="2600"/>
            <w:tcBorders>
              <w:top w:val="single" w:color="AAAAAA" w:sz="4"/>
              <w:left w:val="single" w:color="AAAAAA" w:sz="4"/>
              <w:bottom w:val="single" w:color="AAAAAA" w:sz="4"/>
              <w:right w:val="single" w:color="AAAAAA" w:sz="4"/>
            </w:tcBorders>
            <w:shd w:fill="F4F9F9" w:val="clear"/>
            <w:tcMar>
              <w:top w:type="dxa" w:w="90"/>
              <w:left w:type="dxa" w:w="160"/>
              <w:bottom w:type="dxa" w:w="90"/>
              <w:right w:type="dxa" w:w="160"/>
            </w:tcMar>
            <w:vAlign w:val="top"/>
          </w:tcPr>
          <w:p>
            <w:r>
              <w:rPr>
                <w:rFonts w:ascii="Arial" w:cs="Arial" w:eastAsia="Arial" w:hAnsi="Arial"/>
                <w:color w:val="2E3A3A"/>
                <w:sz w:val="20"/>
                <w:szCs w:val="20"/>
              </w:rPr>
              <w:t xml:space="preserve">£19 billion/yr</w:t>
            </w:r>
          </w:p>
        </w:tc>
        <w:tc>
          <w:tcPr>
            <w:tcW w:type="dxa" w:w="2700"/>
            <w:tcBorders>
              <w:top w:val="single" w:color="AAAAAA" w:sz="4"/>
              <w:left w:val="single" w:color="AAAAAA" w:sz="4"/>
              <w:bottom w:val="single" w:color="AAAAAA" w:sz="4"/>
              <w:right w:val="single" w:color="AAAAAA" w:sz="4"/>
            </w:tcBorders>
            <w:shd w:fill="F4F9F9" w:val="clear"/>
            <w:tcMar>
              <w:top w:type="dxa" w:w="90"/>
              <w:left w:type="dxa" w:w="160"/>
              <w:bottom w:type="dxa" w:w="90"/>
              <w:right w:type="dxa" w:w="160"/>
            </w:tcMar>
            <w:vAlign w:val="top"/>
          </w:tcPr>
          <w:p>
            <w:r>
              <w:rPr>
                <w:rFonts w:ascii="Arial" w:cs="Arial" w:eastAsia="Arial" w:hAnsi="Arial"/>
                <w:color w:val="2E3A3A"/>
                <w:sz w:val="20"/>
                <w:szCs w:val="20"/>
              </w:rPr>
              <w:t xml:space="preserve">WRAP (2022)</w:t>
            </w:r>
          </w:p>
        </w:tc>
      </w:tr>
      <w:tr>
        <w:tc>
          <w:tcPr>
            <w:tcW w:type="dxa" w:w="3800"/>
            <w:tcBorders>
              <w:top w:val="single" w:color="AAAAAA" w:sz="4"/>
              <w:left w:val="single" w:color="AAAAAA" w:sz="4"/>
              <w:bottom w:val="single" w:color="AAAAAA" w:sz="4"/>
              <w:right w:val="single" w:color="AAAAAA" w:sz="4"/>
            </w:tcBorders>
            <w:shd w:fill="FFFFFF" w:val="clear"/>
            <w:tcMar>
              <w:top w:type="dxa" w:w="90"/>
              <w:left w:type="dxa" w:w="160"/>
              <w:bottom w:type="dxa" w:w="90"/>
              <w:right w:type="dxa" w:w="160"/>
            </w:tcMar>
            <w:vAlign w:val="top"/>
          </w:tcPr>
          <w:p>
            <w:r>
              <w:rPr>
                <w:rFonts w:ascii="Arial" w:cs="Arial" w:eastAsia="Arial" w:hAnsi="Arial"/>
                <w:color w:val="2E3A3A"/>
                <w:sz w:val="20"/>
                <w:szCs w:val="20"/>
              </w:rPr>
              <w:t xml:space="preserve">Global food wasted annually</w:t>
            </w:r>
          </w:p>
        </w:tc>
        <w:tc>
          <w:tcPr>
            <w:tcW w:type="dxa" w:w="2600"/>
            <w:tcBorders>
              <w:top w:val="single" w:color="AAAAAA" w:sz="4"/>
              <w:left w:val="single" w:color="AAAAAA" w:sz="4"/>
              <w:bottom w:val="single" w:color="AAAAAA" w:sz="4"/>
              <w:right w:val="single" w:color="AAAAAA" w:sz="4"/>
            </w:tcBorders>
            <w:shd w:fill="FFFFFF" w:val="clear"/>
            <w:tcMar>
              <w:top w:type="dxa" w:w="90"/>
              <w:left w:type="dxa" w:w="160"/>
              <w:bottom w:type="dxa" w:w="90"/>
              <w:right w:type="dxa" w:w="160"/>
            </w:tcMar>
            <w:vAlign w:val="top"/>
          </w:tcPr>
          <w:p>
            <w:r>
              <w:rPr>
                <w:rFonts w:ascii="Arial" w:cs="Arial" w:eastAsia="Arial" w:hAnsi="Arial"/>
                <w:color w:val="2E3A3A"/>
                <w:sz w:val="20"/>
                <w:szCs w:val="20"/>
              </w:rPr>
              <w:t xml:space="preserve">1.3 billion tonnes</w:t>
            </w:r>
          </w:p>
        </w:tc>
        <w:tc>
          <w:tcPr>
            <w:tcW w:type="dxa" w:w="2700"/>
            <w:tcBorders>
              <w:top w:val="single" w:color="AAAAAA" w:sz="4"/>
              <w:left w:val="single" w:color="AAAAAA" w:sz="4"/>
              <w:bottom w:val="single" w:color="AAAAAA" w:sz="4"/>
              <w:right w:val="single" w:color="AAAAAA" w:sz="4"/>
            </w:tcBorders>
            <w:shd w:fill="FFFFFF" w:val="clear"/>
            <w:tcMar>
              <w:top w:type="dxa" w:w="90"/>
              <w:left w:type="dxa" w:w="160"/>
              <w:bottom w:type="dxa" w:w="90"/>
              <w:right w:type="dxa" w:w="160"/>
            </w:tcMar>
            <w:vAlign w:val="top"/>
          </w:tcPr>
          <w:p>
            <w:r>
              <w:rPr>
                <w:rFonts w:ascii="Arial" w:cs="Arial" w:eastAsia="Arial" w:hAnsi="Arial"/>
                <w:color w:val="2E3A3A"/>
                <w:sz w:val="20"/>
                <w:szCs w:val="20"/>
              </w:rPr>
              <w:t xml:space="preserve">FAO (2019)</w:t>
            </w:r>
          </w:p>
        </w:tc>
      </w:tr>
      <w:tr>
        <w:tc>
          <w:tcPr>
            <w:tcW w:type="dxa" w:w="3800"/>
            <w:tcBorders>
              <w:top w:val="single" w:color="AAAAAA" w:sz="4"/>
              <w:left w:val="single" w:color="AAAAAA" w:sz="4"/>
              <w:bottom w:val="single" w:color="AAAAAA" w:sz="4"/>
              <w:right w:val="single" w:color="AAAAAA" w:sz="4"/>
            </w:tcBorders>
            <w:shd w:fill="F4F9F9" w:val="clear"/>
            <w:tcMar>
              <w:top w:type="dxa" w:w="90"/>
              <w:left w:type="dxa" w:w="160"/>
              <w:bottom w:type="dxa" w:w="90"/>
              <w:right w:type="dxa" w:w="160"/>
            </w:tcMar>
            <w:vAlign w:val="top"/>
          </w:tcPr>
          <w:p>
            <w:r>
              <w:rPr>
                <w:rFonts w:ascii="Arial" w:cs="Arial" w:eastAsia="Arial" w:hAnsi="Arial"/>
                <w:color w:val="2E3A3A"/>
                <w:sz w:val="20"/>
                <w:szCs w:val="20"/>
              </w:rPr>
              <w:t xml:space="preserve">UK AD plants operational (2022)</w:t>
            </w:r>
          </w:p>
        </w:tc>
        <w:tc>
          <w:tcPr>
            <w:tcW w:type="dxa" w:w="2600"/>
            <w:tcBorders>
              <w:top w:val="single" w:color="AAAAAA" w:sz="4"/>
              <w:left w:val="single" w:color="AAAAAA" w:sz="4"/>
              <w:bottom w:val="single" w:color="AAAAAA" w:sz="4"/>
              <w:right w:val="single" w:color="AAAAAA" w:sz="4"/>
            </w:tcBorders>
            <w:shd w:fill="F4F9F9" w:val="clear"/>
            <w:tcMar>
              <w:top w:type="dxa" w:w="90"/>
              <w:left w:type="dxa" w:w="160"/>
              <w:bottom w:type="dxa" w:w="90"/>
              <w:right w:type="dxa" w:w="160"/>
            </w:tcMar>
            <w:vAlign w:val="top"/>
          </w:tcPr>
          <w:p>
            <w:r>
              <w:rPr>
                <w:rFonts w:ascii="Arial" w:cs="Arial" w:eastAsia="Arial" w:hAnsi="Arial"/>
                <w:color w:val="2E3A3A"/>
                <w:sz w:val="20"/>
                <w:szCs w:val="20"/>
              </w:rPr>
              <w:t xml:space="preserve">Over 650</w:t>
            </w:r>
          </w:p>
        </w:tc>
        <w:tc>
          <w:tcPr>
            <w:tcW w:type="dxa" w:w="2700"/>
            <w:tcBorders>
              <w:top w:val="single" w:color="AAAAAA" w:sz="4"/>
              <w:left w:val="single" w:color="AAAAAA" w:sz="4"/>
              <w:bottom w:val="single" w:color="AAAAAA" w:sz="4"/>
              <w:right w:val="single" w:color="AAAAAA" w:sz="4"/>
            </w:tcBorders>
            <w:shd w:fill="F4F9F9" w:val="clear"/>
            <w:tcMar>
              <w:top w:type="dxa" w:w="90"/>
              <w:left w:type="dxa" w:w="160"/>
              <w:bottom w:type="dxa" w:w="90"/>
              <w:right w:type="dxa" w:w="160"/>
            </w:tcMar>
            <w:vAlign w:val="top"/>
          </w:tcPr>
          <w:p>
            <w:r>
              <w:rPr>
                <w:rFonts w:ascii="Arial" w:cs="Arial" w:eastAsia="Arial" w:hAnsi="Arial"/>
                <w:color w:val="2E3A3A"/>
                <w:sz w:val="20"/>
                <w:szCs w:val="20"/>
              </w:rPr>
              <w:t xml:space="preserve">ADBA (2022)</w:t>
            </w:r>
          </w:p>
        </w:tc>
      </w:tr>
      <w:tr>
        <w:tc>
          <w:tcPr>
            <w:tcW w:type="dxa" w:w="3800"/>
            <w:tcBorders>
              <w:top w:val="single" w:color="AAAAAA" w:sz="4"/>
              <w:left w:val="single" w:color="AAAAAA" w:sz="4"/>
              <w:bottom w:val="single" w:color="AAAAAA" w:sz="4"/>
              <w:right w:val="single" w:color="AAAAAA" w:sz="4"/>
            </w:tcBorders>
            <w:shd w:fill="FFFFFF" w:val="clear"/>
            <w:tcMar>
              <w:top w:type="dxa" w:w="90"/>
              <w:left w:type="dxa" w:w="160"/>
              <w:bottom w:type="dxa" w:w="90"/>
              <w:right w:type="dxa" w:w="160"/>
            </w:tcMar>
            <w:vAlign w:val="top"/>
          </w:tcPr>
          <w:p>
            <w:r>
              <w:rPr>
                <w:rFonts w:ascii="Arial" w:cs="Arial" w:eastAsia="Arial" w:hAnsi="Arial"/>
                <w:color w:val="2E3A3A"/>
                <w:sz w:val="20"/>
                <w:szCs w:val="20"/>
              </w:rPr>
              <w:t xml:space="preserve">UK CE consulting market growth (CAGR)</w:t>
            </w:r>
          </w:p>
        </w:tc>
        <w:tc>
          <w:tcPr>
            <w:tcW w:type="dxa" w:w="2600"/>
            <w:tcBorders>
              <w:top w:val="single" w:color="AAAAAA" w:sz="4"/>
              <w:left w:val="single" w:color="AAAAAA" w:sz="4"/>
              <w:bottom w:val="single" w:color="AAAAAA" w:sz="4"/>
              <w:right w:val="single" w:color="AAAAAA" w:sz="4"/>
            </w:tcBorders>
            <w:shd w:fill="FFFFFF" w:val="clear"/>
            <w:tcMar>
              <w:top w:type="dxa" w:w="90"/>
              <w:left w:type="dxa" w:w="160"/>
              <w:bottom w:type="dxa" w:w="90"/>
              <w:right w:type="dxa" w:w="160"/>
            </w:tcMar>
            <w:vAlign w:val="top"/>
          </w:tcPr>
          <w:p>
            <w:r>
              <w:rPr>
                <w:rFonts w:ascii="Arial" w:cs="Arial" w:eastAsia="Arial" w:hAnsi="Arial"/>
                <w:color w:val="2E3A3A"/>
                <w:sz w:val="20"/>
                <w:szCs w:val="20"/>
              </w:rPr>
              <w:t xml:space="preserve">~14% per annum</w:t>
            </w:r>
          </w:p>
        </w:tc>
        <w:tc>
          <w:tcPr>
            <w:tcW w:type="dxa" w:w="2700"/>
            <w:tcBorders>
              <w:top w:val="single" w:color="AAAAAA" w:sz="4"/>
              <w:left w:val="single" w:color="AAAAAA" w:sz="4"/>
              <w:bottom w:val="single" w:color="AAAAAA" w:sz="4"/>
              <w:right w:val="single" w:color="AAAAAA" w:sz="4"/>
            </w:tcBorders>
            <w:shd w:fill="FFFFFF" w:val="clear"/>
            <w:tcMar>
              <w:top w:type="dxa" w:w="90"/>
              <w:left w:type="dxa" w:w="160"/>
              <w:bottom w:type="dxa" w:w="90"/>
              <w:right w:type="dxa" w:w="160"/>
            </w:tcMar>
            <w:vAlign w:val="top"/>
          </w:tcPr>
          <w:p>
            <w:r>
              <w:rPr>
                <w:rFonts w:ascii="Arial" w:cs="Arial" w:eastAsia="Arial" w:hAnsi="Arial"/>
                <w:color w:val="2E3A3A"/>
                <w:sz w:val="20"/>
                <w:szCs w:val="20"/>
              </w:rPr>
              <w:t xml:space="preserve">European Commission (2021)</w:t>
            </w:r>
          </w:p>
        </w:tc>
      </w:tr>
    </w:tbl>
    <w:p>
      <w:pPr>
        <w:spacing w:after="200" w:before="60" w:line="360"/>
        <w:jc w:val="center"/>
      </w:pPr>
      <w:r>
        <w:rPr>
          <w:rFonts w:ascii="Arial" w:cs="Arial" w:eastAsia="Arial" w:hAnsi="Arial"/>
          <w:i/>
          <w:iCs/>
          <w:color w:val="555555"/>
          <w:sz w:val="19"/>
          <w:szCs w:val="19"/>
        </w:rPr>
        <w:t xml:space="preserve">Table 1: Key Market Context Statistics for CrustLoop's Operating Environment</w:t>
      </w:r>
    </w:p>
    <w:p>
      <w:pPr>
        <w:pStyle w:val="Heading2"/>
        <w:pBdr>
          <w:bottom w:val="single" w:color="009999" w:sz="4" w:space="2"/>
        </w:pBdr>
        <w:spacing w:after="120" w:before="320" w:line="360"/>
      </w:pPr>
      <w:r>
        <w:rPr>
          <w:rFonts w:ascii="Arial" w:cs="Arial" w:eastAsia="Arial" w:hAnsi="Arial"/>
          <w:b/>
          <w:bCs/>
          <w:color w:val="005F5F"/>
          <w:sz w:val="26"/>
          <w:szCs w:val="26"/>
        </w:rPr>
        <w:t xml:space="preserve">3.2  Competitive Landscape</w:t>
      </w:r>
    </w:p>
    <w:p>
      <w:pPr>
        <w:spacing w:after="140" w:before="80" w:line="360"/>
        <w:jc w:val="both"/>
      </w:pPr>
      <w:r>
        <w:rPr>
          <w:rFonts w:ascii="Arial" w:cs="Arial" w:eastAsia="Arial" w:hAnsi="Arial"/>
          <w:color w:val="2E3A3A"/>
          <w:sz w:val="24"/>
          <w:szCs w:val="24"/>
        </w:rPr>
        <w:t xml:space="preserve">A critical evaluation of CrustLoop's competitive environment reveals that whilst the sustainability consulting market is populated by numerous players, none directly occupies the specialist baked goods circular economy advisory niche. Winnow Solutions deploys AI-powered food waste measurement technology targeted at commercial hospitality kitchens — a potential technology partner rather than a direct competitor. Too Good To Go operates a consumer-facing surplus food marketplace limited to consumer redistribution rather than industrial-scale circular valorisation. WRAP's advisory programmes offer sector-wide benchmarking data but lack the bespoke implementation-intensive support that CrustLoop will provide.</w:t>
      </w:r>
    </w:p>
    <w:p>
      <w:pPr>
        <w:spacing w:after="140" w:before="80" w:line="360"/>
        <w:jc w:val="both"/>
      </w:pPr>
      <w:r>
        <w:rPr>
          <w:rFonts w:ascii="Arial" w:cs="Arial" w:eastAsia="Arial" w:hAnsi="Arial"/>
          <w:color w:val="2E3A3A"/>
          <w:sz w:val="24"/>
          <w:szCs w:val="24"/>
        </w:rPr>
        <w:t xml:space="preserve">Porter's (2008) five forces framework illuminates CrustLoop's competitive position favourably: supplier power is low (surplus bread is effectively free at point of collection), buyer power is moderate, the threat of new entrants is limited in the near term by the knowledge barrier of sector-specific expertise, substitute services lack CrustLoop's depth of focus, and competitive rivalry is currently low due to the novelty of the niche.</w:t>
      </w:r>
    </w:p>
    <w:p>
      <w:pPr>
        <w:pStyle w:val="Heading2"/>
        <w:pBdr>
          <w:bottom w:val="single" w:color="009999" w:sz="4" w:space="2"/>
        </w:pBdr>
        <w:spacing w:after="120" w:before="320" w:line="360"/>
      </w:pPr>
      <w:r>
        <w:rPr>
          <w:rFonts w:ascii="Arial" w:cs="Arial" w:eastAsia="Arial" w:hAnsi="Arial"/>
          <w:b/>
          <w:bCs/>
          <w:color w:val="005F5F"/>
          <w:sz w:val="26"/>
          <w:szCs w:val="26"/>
        </w:rPr>
        <w:t xml:space="preserve">3.3  Marketing Strategy: The 7Ps Framework</w:t>
      </w:r>
    </w:p>
    <w:p>
      <w:pPr>
        <w:spacing w:after="140" w:before="80" w:line="360"/>
        <w:jc w:val="both"/>
      </w:pPr>
      <w:r>
        <w:rPr>
          <w:rFonts w:ascii="Arial" w:cs="Arial" w:eastAsia="Arial" w:hAnsi="Arial"/>
          <w:color w:val="2E3A3A"/>
          <w:sz w:val="24"/>
          <w:szCs w:val="24"/>
        </w:rPr>
        <w:t xml:space="preserve">The 7Ps Marketing Mix, as extended by Kotler and Keller (2016) beyond McCarthy's (1964) original 4Ps to incorporate People, Process, and Physical Evidence, provides the analytical structure for CrustLoop's go-to-market strategy.</w:t>
      </w:r>
    </w:p>
    <w:p>
      <w:pPr>
        <w:spacing w:after="60" w:before="60" w:line="3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000"/>
        <w:gridCol w:w="7100"/>
      </w:tblGrid>
      <w:tr>
        <w:trPr>
          <w:tblHeader/>
        </w:trPr>
        <w:tc>
          <w:tcPr>
            <w:tcW w:type="dxa" w:w="2000"/>
            <w:tcBorders>
              <w:top w:val="single" w:color="005F5F" w:sz="8"/>
              <w:left w:val="single" w:color="005F5F" w:sz="8"/>
              <w:bottom w:val="single" w:color="005F5F" w:sz="8"/>
              <w:right w:val="single" w:color="005F5F" w:sz="8"/>
            </w:tcBorders>
            <w:shd w:fill="005F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Marketing P</w:t>
            </w:r>
          </w:p>
        </w:tc>
        <w:tc>
          <w:tcPr>
            <w:tcW w:type="dxa" w:w="7100"/>
            <w:tcBorders>
              <w:top w:val="single" w:color="005F5F" w:sz="8"/>
              <w:left w:val="single" w:color="005F5F" w:sz="8"/>
              <w:bottom w:val="single" w:color="005F5F" w:sz="8"/>
              <w:right w:val="single" w:color="005F5F" w:sz="8"/>
            </w:tcBorders>
            <w:shd w:fill="005F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CrustLoop Strategic Application</w:t>
            </w:r>
          </w:p>
        </w:tc>
      </w:tr>
      <w:tr>
        <w:tc>
          <w:tcPr>
            <w:tcW w:type="dxa" w:w="2000"/>
            <w:tcBorders>
              <w:top w:val="single" w:color="AAAAAA" w:sz="4"/>
              <w:left w:val="single" w:color="AAAAAA" w:sz="4"/>
              <w:bottom w:val="single" w:color="AAAAAA" w:sz="4"/>
              <w:right w:val="single" w:color="AAAAAA" w:sz="4"/>
            </w:tcBorders>
            <w:shd w:fill="F4F9F9" w:val="clear"/>
            <w:tcMar>
              <w:top w:type="dxa" w:w="90"/>
              <w:left w:type="dxa" w:w="160"/>
              <w:bottom w:type="dxa" w:w="90"/>
              <w:right w:type="dxa" w:w="160"/>
            </w:tcMar>
            <w:vAlign w:val="top"/>
          </w:tcPr>
          <w:p>
            <w:r>
              <w:rPr>
                <w:rFonts w:ascii="Arial" w:cs="Arial" w:eastAsia="Arial" w:hAnsi="Arial"/>
                <w:color w:val="2E3A3A"/>
                <w:sz w:val="20"/>
                <w:szCs w:val="20"/>
              </w:rPr>
              <w:t xml:space="preserve">Product</w:t>
            </w:r>
          </w:p>
        </w:tc>
        <w:tc>
          <w:tcPr>
            <w:tcW w:type="dxa" w:w="7100"/>
            <w:tcBorders>
              <w:top w:val="single" w:color="AAAAAA" w:sz="4"/>
              <w:left w:val="single" w:color="AAAAAA" w:sz="4"/>
              <w:bottom w:val="single" w:color="AAAAAA" w:sz="4"/>
              <w:right w:val="single" w:color="AAAAAA" w:sz="4"/>
            </w:tcBorders>
            <w:shd w:fill="F4F9F9" w:val="clear"/>
            <w:tcMar>
              <w:top w:type="dxa" w:w="90"/>
              <w:left w:type="dxa" w:w="160"/>
              <w:bottom w:type="dxa" w:w="90"/>
              <w:right w:type="dxa" w:w="160"/>
            </w:tcMar>
            <w:vAlign w:val="top"/>
          </w:tcPr>
          <w:p>
            <w:r>
              <w:rPr>
                <w:rFonts w:ascii="Arial" w:cs="Arial" w:eastAsia="Arial" w:hAnsi="Arial"/>
                <w:color w:val="2E3A3A"/>
                <w:sz w:val="20"/>
                <w:szCs w:val="20"/>
              </w:rPr>
              <w:t xml:space="preserve">Four integrated service lines: Waste Audit, Partnership Brokering, Circular Strategy and Implementation, and Impact Reporting. Services are modular — clients may engage with one or all. The core product is bespoke intellectual capital applied to specific operational waste contexts.</w:t>
            </w:r>
          </w:p>
        </w:tc>
      </w:tr>
      <w:tr>
        <w:tc>
          <w:tcPr>
            <w:tcW w:type="dxa" w:w="2000"/>
            <w:tcBorders>
              <w:top w:val="single" w:color="AAAAAA" w:sz="4"/>
              <w:left w:val="single" w:color="AAAAAA" w:sz="4"/>
              <w:bottom w:val="single" w:color="AAAAAA" w:sz="4"/>
              <w:right w:val="single" w:color="AAAAAA" w:sz="4"/>
            </w:tcBorders>
            <w:shd w:fill="FFFFFF" w:val="clear"/>
            <w:tcMar>
              <w:top w:type="dxa" w:w="90"/>
              <w:left w:type="dxa" w:w="160"/>
              <w:bottom w:type="dxa" w:w="90"/>
              <w:right w:type="dxa" w:w="160"/>
            </w:tcMar>
            <w:vAlign w:val="top"/>
          </w:tcPr>
          <w:p>
            <w:r>
              <w:rPr>
                <w:rFonts w:ascii="Arial" w:cs="Arial" w:eastAsia="Arial" w:hAnsi="Arial"/>
                <w:color w:val="2E3A3A"/>
                <w:sz w:val="20"/>
                <w:szCs w:val="20"/>
              </w:rPr>
              <w:t xml:space="preserve">Price</w:t>
            </w:r>
          </w:p>
        </w:tc>
        <w:tc>
          <w:tcPr>
            <w:tcW w:type="dxa" w:w="7100"/>
            <w:tcBorders>
              <w:top w:val="single" w:color="AAAAAA" w:sz="4"/>
              <w:left w:val="single" w:color="AAAAAA" w:sz="4"/>
              <w:bottom w:val="single" w:color="AAAAAA" w:sz="4"/>
              <w:right w:val="single" w:color="AAAAAA" w:sz="4"/>
            </w:tcBorders>
            <w:shd w:fill="FFFFFF" w:val="clear"/>
            <w:tcMar>
              <w:top w:type="dxa" w:w="90"/>
              <w:left w:type="dxa" w:w="160"/>
              <w:bottom w:type="dxa" w:w="90"/>
              <w:right w:type="dxa" w:w="160"/>
            </w:tcMar>
            <w:vAlign w:val="top"/>
          </w:tcPr>
          <w:p>
            <w:r>
              <w:rPr>
                <w:rFonts w:ascii="Arial" w:cs="Arial" w:eastAsia="Arial" w:hAnsi="Arial"/>
                <w:color w:val="2E3A3A"/>
                <w:sz w:val="20"/>
                <w:szCs w:val="20"/>
              </w:rPr>
              <w:t xml:space="preserve">Tiered pricing: (i) Diagnostic Audit — fixed-fee entry point; (ii) Monthly Advisory Retainer — recurring revenue model; (iii) Performance Share — percentage of verified cost savings, aligning CrustLoop's income with client value creation.</w:t>
            </w:r>
          </w:p>
        </w:tc>
      </w:tr>
      <w:tr>
        <w:tc>
          <w:tcPr>
            <w:tcW w:type="dxa" w:w="2000"/>
            <w:tcBorders>
              <w:top w:val="single" w:color="AAAAAA" w:sz="4"/>
              <w:left w:val="single" w:color="AAAAAA" w:sz="4"/>
              <w:bottom w:val="single" w:color="AAAAAA" w:sz="4"/>
              <w:right w:val="single" w:color="AAAAAA" w:sz="4"/>
            </w:tcBorders>
            <w:shd w:fill="F4F9F9" w:val="clear"/>
            <w:tcMar>
              <w:top w:type="dxa" w:w="90"/>
              <w:left w:type="dxa" w:w="160"/>
              <w:bottom w:type="dxa" w:w="90"/>
              <w:right w:type="dxa" w:w="160"/>
            </w:tcMar>
            <w:vAlign w:val="top"/>
          </w:tcPr>
          <w:p>
            <w:r>
              <w:rPr>
                <w:rFonts w:ascii="Arial" w:cs="Arial" w:eastAsia="Arial" w:hAnsi="Arial"/>
                <w:color w:val="2E3A3A"/>
                <w:sz w:val="20"/>
                <w:szCs w:val="20"/>
              </w:rPr>
              <w:t xml:space="preserve">Place</w:t>
            </w:r>
          </w:p>
        </w:tc>
        <w:tc>
          <w:tcPr>
            <w:tcW w:type="dxa" w:w="7100"/>
            <w:tcBorders>
              <w:top w:val="single" w:color="AAAAAA" w:sz="4"/>
              <w:left w:val="single" w:color="AAAAAA" w:sz="4"/>
              <w:bottom w:val="single" w:color="AAAAAA" w:sz="4"/>
              <w:right w:val="single" w:color="AAAAAA" w:sz="4"/>
            </w:tcBorders>
            <w:shd w:fill="F4F9F9" w:val="clear"/>
            <w:tcMar>
              <w:top w:type="dxa" w:w="90"/>
              <w:left w:type="dxa" w:w="160"/>
              <w:bottom w:type="dxa" w:w="90"/>
              <w:right w:type="dxa" w:w="160"/>
            </w:tcMar>
            <w:vAlign w:val="top"/>
          </w:tcPr>
          <w:p>
            <w:r>
              <w:rPr>
                <w:rFonts w:ascii="Arial" w:cs="Arial" w:eastAsia="Arial" w:hAnsi="Arial"/>
                <w:color w:val="2E3A3A"/>
                <w:sz w:val="20"/>
                <w:szCs w:val="20"/>
              </w:rPr>
              <w:t xml:space="preserve">London-headquartered with nationwide remote consulting capability. On-site visits for audits and partnership inception. Client-facing digital impact dashboard. National coverage by Year 2.</w:t>
            </w:r>
          </w:p>
        </w:tc>
      </w:tr>
      <w:tr>
        <w:tc>
          <w:tcPr>
            <w:tcW w:type="dxa" w:w="2000"/>
            <w:tcBorders>
              <w:top w:val="single" w:color="AAAAAA" w:sz="4"/>
              <w:left w:val="single" w:color="AAAAAA" w:sz="4"/>
              <w:bottom w:val="single" w:color="AAAAAA" w:sz="4"/>
              <w:right w:val="single" w:color="AAAAAA" w:sz="4"/>
            </w:tcBorders>
            <w:shd w:fill="FFFFFF" w:val="clear"/>
            <w:tcMar>
              <w:top w:type="dxa" w:w="90"/>
              <w:left w:type="dxa" w:w="160"/>
              <w:bottom w:type="dxa" w:w="90"/>
              <w:right w:type="dxa" w:w="160"/>
            </w:tcMar>
            <w:vAlign w:val="top"/>
          </w:tcPr>
          <w:p>
            <w:r>
              <w:rPr>
                <w:rFonts w:ascii="Arial" w:cs="Arial" w:eastAsia="Arial" w:hAnsi="Arial"/>
                <w:color w:val="2E3A3A"/>
                <w:sz w:val="20"/>
                <w:szCs w:val="20"/>
              </w:rPr>
              <w:t xml:space="preserve">Promotion</w:t>
            </w:r>
          </w:p>
        </w:tc>
        <w:tc>
          <w:tcPr>
            <w:tcW w:type="dxa" w:w="7100"/>
            <w:tcBorders>
              <w:top w:val="single" w:color="AAAAAA" w:sz="4"/>
              <w:left w:val="single" w:color="AAAAAA" w:sz="4"/>
              <w:bottom w:val="single" w:color="AAAAAA" w:sz="4"/>
              <w:right w:val="single" w:color="AAAAAA" w:sz="4"/>
            </w:tcBorders>
            <w:shd w:fill="FFFFFF" w:val="clear"/>
            <w:tcMar>
              <w:top w:type="dxa" w:w="90"/>
              <w:left w:type="dxa" w:w="160"/>
              <w:bottom w:type="dxa" w:w="90"/>
              <w:right w:type="dxa" w:w="160"/>
            </w:tcMar>
            <w:vAlign w:val="top"/>
          </w:tcPr>
          <w:p>
            <w:r>
              <w:rPr>
                <w:rFonts w:ascii="Arial" w:cs="Arial" w:eastAsia="Arial" w:hAnsi="Arial"/>
                <w:color w:val="2E3A3A"/>
                <w:sz w:val="20"/>
                <w:szCs w:val="20"/>
              </w:rPr>
              <w:t xml:space="preserve">B2B marketing via LinkedIn, trade press editorial (The Grocer, Footprint), and industry forums (Bread &amp; Jam Festival, WRAP Circular Economy Conference). Co-publication with Ellen MacArthur Foundation CE100 network.</w:t>
            </w:r>
          </w:p>
        </w:tc>
      </w:tr>
      <w:tr>
        <w:tc>
          <w:tcPr>
            <w:tcW w:type="dxa" w:w="2000"/>
            <w:tcBorders>
              <w:top w:val="single" w:color="AAAAAA" w:sz="4"/>
              <w:left w:val="single" w:color="AAAAAA" w:sz="4"/>
              <w:bottom w:val="single" w:color="AAAAAA" w:sz="4"/>
              <w:right w:val="single" w:color="AAAAAA" w:sz="4"/>
            </w:tcBorders>
            <w:shd w:fill="F4F9F9" w:val="clear"/>
            <w:tcMar>
              <w:top w:type="dxa" w:w="90"/>
              <w:left w:type="dxa" w:w="160"/>
              <w:bottom w:type="dxa" w:w="90"/>
              <w:right w:type="dxa" w:w="160"/>
            </w:tcMar>
            <w:vAlign w:val="top"/>
          </w:tcPr>
          <w:p>
            <w:r>
              <w:rPr>
                <w:rFonts w:ascii="Arial" w:cs="Arial" w:eastAsia="Arial" w:hAnsi="Arial"/>
                <w:color w:val="2E3A3A"/>
                <w:sz w:val="20"/>
                <w:szCs w:val="20"/>
              </w:rPr>
              <w:t xml:space="preserve">People</w:t>
            </w:r>
          </w:p>
        </w:tc>
        <w:tc>
          <w:tcPr>
            <w:tcW w:type="dxa" w:w="7100"/>
            <w:tcBorders>
              <w:top w:val="single" w:color="AAAAAA" w:sz="4"/>
              <w:left w:val="single" w:color="AAAAAA" w:sz="4"/>
              <w:bottom w:val="single" w:color="AAAAAA" w:sz="4"/>
              <w:right w:val="single" w:color="AAAAAA" w:sz="4"/>
            </w:tcBorders>
            <w:shd w:fill="F4F9F9" w:val="clear"/>
            <w:tcMar>
              <w:top w:type="dxa" w:w="90"/>
              <w:left w:type="dxa" w:w="160"/>
              <w:bottom w:type="dxa" w:w="90"/>
              <w:right w:type="dxa" w:w="160"/>
            </w:tcMar>
            <w:vAlign w:val="top"/>
          </w:tcPr>
          <w:p>
            <w:r>
              <w:rPr>
                <w:rFonts w:ascii="Arial" w:cs="Arial" w:eastAsia="Arial" w:hAnsi="Arial"/>
                <w:color w:val="2E3A3A"/>
                <w:sz w:val="20"/>
                <w:szCs w:val="20"/>
              </w:rPr>
              <w:t xml:space="preserve">Founder-led in Year 1. Year 2: Partnerships and Logistics Manager. Year 3: Impact Measurement Analyst with LCA background.</w:t>
            </w:r>
          </w:p>
        </w:tc>
      </w:tr>
      <w:tr>
        <w:tc>
          <w:tcPr>
            <w:tcW w:type="dxa" w:w="2000"/>
            <w:tcBorders>
              <w:top w:val="single" w:color="AAAAAA" w:sz="4"/>
              <w:left w:val="single" w:color="AAAAAA" w:sz="4"/>
              <w:bottom w:val="single" w:color="AAAAAA" w:sz="4"/>
              <w:right w:val="single" w:color="AAAAAA" w:sz="4"/>
            </w:tcBorders>
            <w:shd w:fill="FFFFFF" w:val="clear"/>
            <w:tcMar>
              <w:top w:type="dxa" w:w="90"/>
              <w:left w:type="dxa" w:w="160"/>
              <w:bottom w:type="dxa" w:w="90"/>
              <w:right w:type="dxa" w:w="160"/>
            </w:tcMar>
            <w:vAlign w:val="top"/>
          </w:tcPr>
          <w:p>
            <w:r>
              <w:rPr>
                <w:rFonts w:ascii="Arial" w:cs="Arial" w:eastAsia="Arial" w:hAnsi="Arial"/>
                <w:color w:val="2E3A3A"/>
                <w:sz w:val="20"/>
                <w:szCs w:val="20"/>
              </w:rPr>
              <w:t xml:space="preserve">Process</w:t>
            </w:r>
          </w:p>
        </w:tc>
        <w:tc>
          <w:tcPr>
            <w:tcW w:type="dxa" w:w="7100"/>
            <w:tcBorders>
              <w:top w:val="single" w:color="AAAAAA" w:sz="4"/>
              <w:left w:val="single" w:color="AAAAAA" w:sz="4"/>
              <w:bottom w:val="single" w:color="AAAAAA" w:sz="4"/>
              <w:right w:val="single" w:color="AAAAAA" w:sz="4"/>
            </w:tcBorders>
            <w:shd w:fill="FFFFFF" w:val="clear"/>
            <w:tcMar>
              <w:top w:type="dxa" w:w="90"/>
              <w:left w:type="dxa" w:w="160"/>
              <w:bottom w:type="dxa" w:w="90"/>
              <w:right w:type="dxa" w:w="160"/>
            </w:tcMar>
            <w:vAlign w:val="top"/>
          </w:tcPr>
          <w:p>
            <w:r>
              <w:rPr>
                <w:rFonts w:ascii="Arial" w:cs="Arial" w:eastAsia="Arial" w:hAnsi="Arial"/>
                <w:color w:val="2E3A3A"/>
                <w:sz w:val="20"/>
                <w:szCs w:val="20"/>
              </w:rPr>
              <w:t xml:space="preserve">Standardised four-stage methodology: (1) Waste Audit; (2) Pathway Design; (3) Partnership Implementation; (4) Impact Monitoring.</w:t>
            </w:r>
          </w:p>
        </w:tc>
      </w:tr>
      <w:tr>
        <w:tc>
          <w:tcPr>
            <w:tcW w:type="dxa" w:w="2000"/>
            <w:tcBorders>
              <w:top w:val="single" w:color="AAAAAA" w:sz="4"/>
              <w:left w:val="single" w:color="AAAAAA" w:sz="4"/>
              <w:bottom w:val="single" w:color="AAAAAA" w:sz="4"/>
              <w:right w:val="single" w:color="AAAAAA" w:sz="4"/>
            </w:tcBorders>
            <w:shd w:fill="F4F9F9" w:val="clear"/>
            <w:tcMar>
              <w:top w:type="dxa" w:w="90"/>
              <w:left w:type="dxa" w:w="160"/>
              <w:bottom w:type="dxa" w:w="90"/>
              <w:right w:type="dxa" w:w="160"/>
            </w:tcMar>
            <w:vAlign w:val="top"/>
          </w:tcPr>
          <w:p>
            <w:r>
              <w:rPr>
                <w:rFonts w:ascii="Arial" w:cs="Arial" w:eastAsia="Arial" w:hAnsi="Arial"/>
                <w:color w:val="2E3A3A"/>
                <w:sz w:val="20"/>
                <w:szCs w:val="20"/>
              </w:rPr>
              <w:t xml:space="preserve">Physical Evidence</w:t>
            </w:r>
          </w:p>
        </w:tc>
        <w:tc>
          <w:tcPr>
            <w:tcW w:type="dxa" w:w="7100"/>
            <w:tcBorders>
              <w:top w:val="single" w:color="AAAAAA" w:sz="4"/>
              <w:left w:val="single" w:color="AAAAAA" w:sz="4"/>
              <w:bottom w:val="single" w:color="AAAAAA" w:sz="4"/>
              <w:right w:val="single" w:color="AAAAAA" w:sz="4"/>
            </w:tcBorders>
            <w:shd w:fill="F4F9F9" w:val="clear"/>
            <w:tcMar>
              <w:top w:type="dxa" w:w="90"/>
              <w:left w:type="dxa" w:w="160"/>
              <w:bottom w:type="dxa" w:w="90"/>
              <w:right w:type="dxa" w:w="160"/>
            </w:tcMar>
            <w:vAlign w:val="top"/>
          </w:tcPr>
          <w:p>
            <w:r>
              <w:rPr>
                <w:rFonts w:ascii="Arial" w:cs="Arial" w:eastAsia="Arial" w:hAnsi="Arial"/>
                <w:color w:val="2E3A3A"/>
                <w:sz w:val="20"/>
                <w:szCs w:val="20"/>
              </w:rPr>
              <w:t xml:space="preserve">Branded impact reports with independent verification; published client case studies; B Corp certification target (Year 3); conference thought leadership.</w:t>
            </w:r>
          </w:p>
        </w:tc>
      </w:tr>
    </w:tbl>
    <w:p>
      <w:pPr>
        <w:spacing w:after="200" w:before="60" w:line="360"/>
        <w:jc w:val="center"/>
      </w:pPr>
      <w:r>
        <w:rPr>
          <w:rFonts w:ascii="Arial" w:cs="Arial" w:eastAsia="Arial" w:hAnsi="Arial"/>
          <w:i/>
          <w:iCs/>
          <w:color w:val="555555"/>
          <w:sz w:val="19"/>
          <w:szCs w:val="19"/>
        </w:rPr>
        <w:t xml:space="preserve">Table 2: CrustLoop 7Ps Marketing Mix Analysis (Kotler and Keller, 2016)</w:t>
      </w:r>
    </w:p>
    <w:p>
      <w:pPr>
        <w:pStyle w:val="Heading2"/>
        <w:pBdr>
          <w:bottom w:val="single" w:color="009999" w:sz="4" w:space="2"/>
        </w:pBdr>
        <w:spacing w:after="120" w:before="320" w:line="360"/>
      </w:pPr>
      <w:r>
        <w:rPr>
          <w:rFonts w:ascii="Arial" w:cs="Arial" w:eastAsia="Arial" w:hAnsi="Arial"/>
          <w:b/>
          <w:bCs/>
          <w:color w:val="005F5F"/>
          <w:sz w:val="26"/>
          <w:szCs w:val="26"/>
        </w:rPr>
        <w:t xml:space="preserve">3.4  SWOT Analysis</w:t>
      </w:r>
    </w:p>
    <w:p>
      <w:pPr>
        <w:spacing w:after="140" w:before="80" w:line="360"/>
        <w:jc w:val="both"/>
      </w:pPr>
      <w:r>
        <w:rPr>
          <w:rFonts w:ascii="Arial" w:cs="Arial" w:eastAsia="Arial" w:hAnsi="Arial"/>
          <w:color w:val="2E3A3A"/>
          <w:sz w:val="24"/>
          <w:szCs w:val="24"/>
        </w:rPr>
        <w:t xml:space="preserve">A SWOT analysis synthesises the internal and external strategic environment facing CrustLoop at launch (Hill and Westbrook, 1997).</w:t>
      </w:r>
    </w:p>
    <w:p>
      <w:pPr>
        <w:spacing w:after="60" w:before="60" w:line="360"/>
      </w:pPr>
      <w:r>
        <w:t xml:space="preserve"/>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500"/>
        <w:gridCol w:w="4350"/>
        <w:gridCol w:w="4350"/>
      </w:tblGrid>
      <w:tr>
        <w:trPr>
          <w:tblHeader/>
        </w:trPr>
        <w:tc>
          <w:tcPr>
            <w:tcW w:type="dxa" w:w="1500"/>
            <w:tcBorders>
              <w:top w:val="single" w:color="005F5F" w:sz="8"/>
              <w:left w:val="single" w:color="005F5F" w:sz="8"/>
              <w:bottom w:val="single" w:color="005F5F" w:sz="8"/>
              <w:right w:val="single" w:color="005F5F" w:sz="8"/>
            </w:tcBorders>
            <w:shd w:fill="005F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
            </w:r>
          </w:p>
        </w:tc>
        <w:tc>
          <w:tcPr>
            <w:tcW w:type="dxa" w:w="4350"/>
            <w:tcBorders>
              <w:top w:val="single" w:color="005F5F" w:sz="8"/>
              <w:left w:val="single" w:color="005F5F" w:sz="8"/>
              <w:bottom w:val="single" w:color="005F5F" w:sz="8"/>
              <w:right w:val="single" w:color="005F5F" w:sz="8"/>
            </w:tcBorders>
            <w:shd w:fill="005F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Helpful</w:t>
            </w:r>
          </w:p>
        </w:tc>
        <w:tc>
          <w:tcPr>
            <w:tcW w:type="dxa" w:w="4350"/>
            <w:tcBorders>
              <w:top w:val="single" w:color="005F5F" w:sz="8"/>
              <w:left w:val="single" w:color="005F5F" w:sz="8"/>
              <w:bottom w:val="single" w:color="005F5F" w:sz="8"/>
              <w:right w:val="single" w:color="005F5F" w:sz="8"/>
            </w:tcBorders>
            <w:shd w:fill="005F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Harmful</w:t>
            </w:r>
          </w:p>
        </w:tc>
      </w:tr>
      <w:tr>
        <w:tc>
          <w:tcPr>
            <w:tcW w:type="dxa" w:w="1500"/>
            <w:tcBorders>
              <w:top w:val="single" w:color="AAAAAA" w:sz="4"/>
              <w:left w:val="single" w:color="AAAAAA" w:sz="4"/>
              <w:bottom w:val="single" w:color="AAAAAA" w:sz="4"/>
              <w:right w:val="single" w:color="AAAAAA" w:sz="4"/>
            </w:tcBorders>
            <w:shd w:fill="D6EFEF" w:val="clear"/>
            <w:tcMar>
              <w:top w:type="dxa" w:w="90"/>
              <w:left w:type="dxa" w:w="160"/>
              <w:bottom w:type="dxa" w:w="90"/>
              <w:right w:type="dxa" w:w="160"/>
            </w:tcMar>
            <w:vAlign w:val="top"/>
          </w:tcPr>
          <w:p>
            <w:r>
              <w:rPr>
                <w:rFonts w:ascii="Arial" w:cs="Arial" w:eastAsia="Arial" w:hAnsi="Arial"/>
                <w:b/>
                <w:bCs/>
                <w:color w:val="005F5F"/>
                <w:sz w:val="20"/>
                <w:szCs w:val="20"/>
              </w:rPr>
              <w:t xml:space="preserve">Internal</w:t>
            </w:r>
          </w:p>
        </w:tc>
        <w:tc>
          <w:tcPr>
            <w:tcW w:type="dxa" w:w="4350"/>
            <w:tcBorders>
              <w:top w:val="single" w:color="AAAAAA" w:sz="4"/>
              <w:left w:val="single" w:color="AAAAAA" w:sz="4"/>
              <w:bottom w:val="single" w:color="AAAAAA" w:sz="4"/>
              <w:right w:val="single" w:color="AAAAAA" w:sz="4"/>
            </w:tcBorders>
            <w:shd w:fill="F4F9F9" w:val="clear"/>
            <w:tcMar>
              <w:top w:type="dxa" w:w="90"/>
              <w:left w:type="dxa" w:w="160"/>
              <w:bottom w:type="dxa" w:w="90"/>
              <w:right w:type="dxa" w:w="160"/>
            </w:tcMar>
            <w:vAlign w:val="top"/>
          </w:tcPr>
          <w:p>
            <w:r>
              <w:rPr>
                <w:rFonts w:ascii="Arial" w:cs="Arial" w:eastAsia="Arial" w:hAnsi="Arial"/>
                <w:b w:val="false"/>
                <w:bCs w:val="false"/>
                <w:color w:val="2E3A3A"/>
                <w:sz w:val="20"/>
                <w:szCs w:val="20"/>
              </w:rPr>
              <w:t xml:space="preserve">STRENGTHS:
- Deep sector specialisation — first-mover advantage
- Low capital overhead — knowledge and relationship-based
- Measurable client outcomes drive retention and referrals
- Strong alignment with UK food waste regulation
- Scalable standardised methodology
- Social purpose narrative resonates with ESG procurement</w:t>
            </w:r>
          </w:p>
        </w:tc>
        <w:tc>
          <w:tcPr>
            <w:tcW w:type="dxa" w:w="4350"/>
            <w:tcBorders>
              <w:top w:val="single" w:color="AAAAAA" w:sz="4"/>
              <w:left w:val="single" w:color="AAAAAA" w:sz="4"/>
              <w:bottom w:val="single" w:color="AAAAAA" w:sz="4"/>
              <w:right w:val="single" w:color="AAAAAA" w:sz="4"/>
            </w:tcBorders>
            <w:shd w:fill="F4F9F9" w:val="clear"/>
            <w:tcMar>
              <w:top w:type="dxa" w:w="90"/>
              <w:left w:type="dxa" w:w="160"/>
              <w:bottom w:type="dxa" w:w="90"/>
              <w:right w:type="dxa" w:w="160"/>
            </w:tcMar>
            <w:vAlign w:val="top"/>
          </w:tcPr>
          <w:p>
            <w:r>
              <w:rPr>
                <w:rFonts w:ascii="Arial" w:cs="Arial" w:eastAsia="Arial" w:hAnsi="Arial"/>
                <w:b w:val="false"/>
                <w:bCs w:val="false"/>
                <w:color w:val="2E3A3A"/>
                <w:sz w:val="20"/>
                <w:szCs w:val="20"/>
              </w:rPr>
              <w:t xml:space="preserve">WEAKNESSES:
- Small founding team limits capacity
- Limited brand recognition at launch
- Revenue dependent on client willingness to invest
- Reliance on third-party diversion partners
- Impact measurement not yet standardised
- Cash flow risk before retainers are established</w:t>
            </w:r>
          </w:p>
        </w:tc>
      </w:tr>
      <w:tr>
        <w:tc>
          <w:tcPr>
            <w:tcW w:type="dxa" w:w="1500"/>
            <w:tcBorders>
              <w:top w:val="single" w:color="AAAAAA" w:sz="4"/>
              <w:left w:val="single" w:color="AAAAAA" w:sz="4"/>
              <w:bottom w:val="single" w:color="AAAAAA" w:sz="4"/>
              <w:right w:val="single" w:color="AAAAAA" w:sz="4"/>
            </w:tcBorders>
            <w:shd w:fill="D6EFEF" w:val="clear"/>
            <w:tcMar>
              <w:top w:type="dxa" w:w="90"/>
              <w:left w:type="dxa" w:w="160"/>
              <w:bottom w:type="dxa" w:w="90"/>
              <w:right w:type="dxa" w:w="160"/>
            </w:tcMar>
            <w:vAlign w:val="top"/>
          </w:tcPr>
          <w:p>
            <w:r>
              <w:rPr>
                <w:rFonts w:ascii="Arial" w:cs="Arial" w:eastAsia="Arial" w:hAnsi="Arial"/>
                <w:b/>
                <w:bCs/>
                <w:color w:val="005F5F"/>
                <w:sz w:val="20"/>
                <w:szCs w:val="20"/>
              </w:rPr>
              <w:t xml:space="preserve">External</w:t>
            </w:r>
          </w:p>
        </w:tc>
        <w:tc>
          <w:tcPr>
            <w:tcW w:type="dxa" w:w="4350"/>
            <w:tcBorders>
              <w:top w:val="single" w:color="AAAAAA" w:sz="4"/>
              <w:left w:val="single" w:color="AAAAAA" w:sz="4"/>
              <w:bottom w:val="single" w:color="AAAAAA" w:sz="4"/>
              <w:right w:val="single" w:color="AAAAAA" w:sz="4"/>
            </w:tcBorders>
            <w:shd w:fill="FFFFFF" w:val="clear"/>
            <w:tcMar>
              <w:top w:type="dxa" w:w="90"/>
              <w:left w:type="dxa" w:w="160"/>
              <w:bottom w:type="dxa" w:w="90"/>
              <w:right w:type="dxa" w:w="160"/>
            </w:tcMar>
            <w:vAlign w:val="top"/>
          </w:tcPr>
          <w:p>
            <w:r>
              <w:rPr>
                <w:rFonts w:ascii="Arial" w:cs="Arial" w:eastAsia="Arial" w:hAnsi="Arial"/>
                <w:b w:val="false"/>
                <w:bCs w:val="false"/>
                <w:color w:val="2E3A3A"/>
                <w:sz w:val="20"/>
                <w:szCs w:val="20"/>
              </w:rPr>
              <w:t xml:space="preserve">OPPORTUNITIES:
- UK Food Waste Roadmap mandatory reporting by 2026
- Growing ESG criteria from retailers and investors
- Expansion into dairy, produce, other waste categories
- Potential to license proprietary measurement methodology
- Innovate UK grant funding for CE innovation</w:t>
            </w:r>
          </w:p>
        </w:tc>
        <w:tc>
          <w:tcPr>
            <w:tcW w:type="dxa" w:w="4350"/>
            <w:tcBorders>
              <w:top w:val="single" w:color="AAAAAA" w:sz="4"/>
              <w:left w:val="single" w:color="AAAAAA" w:sz="4"/>
              <w:bottom w:val="single" w:color="AAAAAA" w:sz="4"/>
              <w:right w:val="single" w:color="AAAAAA" w:sz="4"/>
            </w:tcBorders>
            <w:shd w:fill="FFFFFF" w:val="clear"/>
            <w:tcMar>
              <w:top w:type="dxa" w:w="90"/>
              <w:left w:type="dxa" w:w="160"/>
              <w:bottom w:type="dxa" w:w="90"/>
              <w:right w:type="dxa" w:w="160"/>
            </w:tcMar>
            <w:vAlign w:val="top"/>
          </w:tcPr>
          <w:p>
            <w:r>
              <w:rPr>
                <w:rFonts w:ascii="Arial" w:cs="Arial" w:eastAsia="Arial" w:hAnsi="Arial"/>
                <w:b w:val="false"/>
                <w:bCs w:val="false"/>
                <w:color w:val="2E3A3A"/>
                <w:sz w:val="20"/>
                <w:szCs w:val="20"/>
              </w:rPr>
              <w:t xml:space="preserve">THREATS:
- Economic downturn reducing sustainability spend
- Larger consultancies entering the CE food niche
- Supply chain volatility affecting diversion partners
- Regulatory changes in organic waste classification
- Greenwashing accusations if impact claims not verified</w:t>
            </w:r>
          </w:p>
        </w:tc>
      </w:tr>
    </w:tbl>
    <w:p>
      <w:pPr>
        <w:spacing w:after="200" w:before="60" w:line="360"/>
        <w:jc w:val="center"/>
      </w:pPr>
      <w:r>
        <w:rPr>
          <w:rFonts w:ascii="Arial" w:cs="Arial" w:eastAsia="Arial" w:hAnsi="Arial"/>
          <w:i/>
          <w:iCs/>
          <w:color w:val="555555"/>
          <w:sz w:val="19"/>
          <w:szCs w:val="19"/>
        </w:rPr>
        <w:t xml:space="preserve">Table 3: CrustLoop SWOT Analysis (Hill and Westbrook, 1997)</w:t>
      </w:r>
    </w:p>
    <w:p>
      <w:pPr>
        <w:pStyle w:val="Heading2"/>
        <w:pBdr>
          <w:bottom w:val="single" w:color="009999" w:sz="4" w:space="2"/>
        </w:pBdr>
        <w:spacing w:after="120" w:before="320" w:line="360"/>
      </w:pPr>
      <w:r>
        <w:rPr>
          <w:rFonts w:ascii="Arial" w:cs="Arial" w:eastAsia="Arial" w:hAnsi="Arial"/>
          <w:b/>
          <w:bCs/>
          <w:color w:val="005F5F"/>
          <w:sz w:val="26"/>
          <w:szCs w:val="26"/>
        </w:rPr>
        <w:t xml:space="preserve">3.5  Target Market and Stakeholder Mapping</w:t>
      </w:r>
    </w:p>
    <w:p>
      <w:pPr>
        <w:spacing w:after="140" w:before="80" w:line="360"/>
        <w:jc w:val="both"/>
      </w:pPr>
      <w:r>
        <w:rPr>
          <w:rFonts w:ascii="Arial" w:cs="Arial" w:eastAsia="Arial" w:hAnsi="Arial"/>
          <w:color w:val="2E3A3A"/>
          <w:sz w:val="24"/>
          <w:szCs w:val="24"/>
        </w:rPr>
        <w:t xml:space="preserve">CrustLoop's stakeholder ecosystem spans three tiers of client. Tier 1 — National Chains (Greggs, Pret A Manger, supermarket bakeries): highest volume waste generators, greatest regulatory scrutiny, and largest budgets. Tier 2 — Regional and Contract Catering Operations: mid-volume clients requiring a balance of standardisation and bespoke advisory. Tier 3 — Independent Bakeries and Cafes: served through a lower-cost standardised package, important for building a democratising reputation in sustainable food practice.</w:t>
      </w:r>
    </w:p>
    <w:p>
      <w:pPr>
        <w:spacing w:after="140" w:before="80" w:line="360"/>
        <w:jc w:val="both"/>
      </w:pPr>
      <w:r>
        <w:rPr>
          <w:rFonts w:ascii="Arial" w:cs="Arial" w:eastAsia="Arial" w:hAnsi="Arial"/>
          <w:color w:val="2E3A3A"/>
          <w:sz w:val="24"/>
          <w:szCs w:val="24"/>
        </w:rPr>
        <w:t xml:space="preserve">Murray et al. (2017) emphasise that circular economy implementation requires the active participation of multiple stakeholders across value chains; CrustLoop's brokering function is therefore central to its value creation logic. Secondary stakeholders include craft brewery partners, anaerobic digestion operators, local authorities, food waste charities, DEFRA, and the Environment Agency.</w:t>
      </w:r>
    </w:p>
    <w:p>
      <w:r>
        <w:br w:type="page"/>
      </w:r>
    </w:p>
    <w:p>
      <w:pPr>
        <w:pStyle w:val="Heading1"/>
        <w:pageBreakBefore/>
        <w:shd w:fill="005F5F" w:val="clear"/>
        <w:spacing w:after="240" w:before="0" w:line="360"/>
      </w:pPr>
      <w:r>
        <w:rPr>
          <w:rFonts w:ascii="Arial" w:cs="Arial" w:eastAsia="Arial" w:hAnsi="Arial"/>
          <w:b/>
          <w:bCs/>
          <w:color w:val="FFFFFF"/>
          <w:sz w:val="32"/>
          <w:szCs w:val="32"/>
        </w:rPr>
        <w:t xml:space="preserve">4.  Barriers and Facilitators</w:t>
      </w:r>
    </w:p>
    <w:p>
      <w:pPr>
        <w:pStyle w:val="Heading2"/>
        <w:pBdr>
          <w:bottom w:val="single" w:color="009999" w:sz="4" w:space="2"/>
        </w:pBdr>
        <w:spacing w:after="120" w:before="320" w:line="360"/>
      </w:pPr>
      <w:r>
        <w:rPr>
          <w:rFonts w:ascii="Arial" w:cs="Arial" w:eastAsia="Arial" w:hAnsi="Arial"/>
          <w:b/>
          <w:bCs/>
          <w:color w:val="005F5F"/>
          <w:sz w:val="26"/>
          <w:szCs w:val="26"/>
        </w:rPr>
        <w:t xml:space="preserve">4.1  Barriers to Implementation</w:t>
      </w:r>
    </w:p>
    <w:p>
      <w:pPr>
        <w:pStyle w:val="Heading3"/>
        <w:spacing w:after="80" w:before="240" w:line="360"/>
      </w:pPr>
      <w:r>
        <w:rPr>
          <w:rFonts w:ascii="Arial" w:cs="Arial" w:eastAsia="Arial" w:hAnsi="Arial"/>
          <w:b/>
          <w:bCs/>
          <w:color w:val="2E3A3A"/>
          <w:sz w:val="24"/>
          <w:szCs w:val="24"/>
        </w:rPr>
        <w:t xml:space="preserve">4.1.1  Supply Chain Inconsistency and Volume Variability</w:t>
      </w:r>
    </w:p>
    <w:p>
      <w:pPr>
        <w:spacing w:after="140" w:before="80" w:line="360"/>
        <w:jc w:val="both"/>
      </w:pPr>
      <w:r>
        <w:rPr>
          <w:rFonts w:ascii="Arial" w:cs="Arial" w:eastAsia="Arial" w:hAnsi="Arial"/>
          <w:color w:val="2E3A3A"/>
          <w:sz w:val="24"/>
          <w:szCs w:val="24"/>
        </w:rPr>
        <w:t xml:space="preserve">One of the most operationally significant barriers facing CrustLoop is the inherent unpredictability of surplus baked goods supply. Unlike commodity raw materials, bakery surplus is generated in response to daily sales performance, seasonal demand fluctuations, and product range decisions — factors largely outside CrustLoop's or its clients' control. Stuart (2009) documents similar challenges in the context of wider food system waste, noting that the 'lumpy' nature of surplus generation complicates the design of reliable circular loops. For diversion partners — particularly craft breweries with batch production schedules and AD plants with minimum feedstock requirements — volume unpredictability creates contractual risk. Mitigating this requires flexible, volume-variable partnership agreements and the aggregation of multiple client surplus streams to provide consistent supply to diversion partners.</w:t>
      </w:r>
    </w:p>
    <w:p>
      <w:pPr>
        <w:pStyle w:val="Heading3"/>
        <w:spacing w:after="80" w:before="240" w:line="360"/>
      </w:pPr>
      <w:r>
        <w:rPr>
          <w:rFonts w:ascii="Arial" w:cs="Arial" w:eastAsia="Arial" w:hAnsi="Arial"/>
          <w:b/>
          <w:bCs/>
          <w:color w:val="2E3A3A"/>
          <w:sz w:val="24"/>
          <w:szCs w:val="24"/>
        </w:rPr>
        <w:t xml:space="preserve">4.1.2  Logistics Complexity and Cold-Chain Management</w:t>
      </w:r>
    </w:p>
    <w:p>
      <w:pPr>
        <w:spacing w:after="140" w:before="80" w:line="360"/>
        <w:jc w:val="both"/>
      </w:pPr>
      <w:r>
        <w:rPr>
          <w:rFonts w:ascii="Arial" w:cs="Arial" w:eastAsia="Arial" w:hAnsi="Arial"/>
          <w:color w:val="2E3A3A"/>
          <w:sz w:val="24"/>
          <w:szCs w:val="24"/>
        </w:rPr>
        <w:t xml:space="preserve">Baked goods are time-sensitive materials. Surplus bread must be collected and redirected rapidly to avoid secondary decomposition, which would undermine the environmental case for circular diversion. Establishing cost-effective collection logistics across dispersed client networks, particularly for small independent bakeries in dense urban environments, presents a significant operational challenge. The carbon cost of additional vehicle movements for collection must be rigorously assessed against the benefit of diversion from landfill to ensure the net environmental case remains positive (Silvennoinen et al., 2015). Partnering with established food redistribution logistics networks such as FareShare could reduce this barrier whilst generating social co-benefit.</w:t>
      </w:r>
    </w:p>
    <w:p>
      <w:pPr>
        <w:pStyle w:val="Heading3"/>
        <w:spacing w:after="80" w:before="240" w:line="360"/>
      </w:pPr>
      <w:r>
        <w:rPr>
          <w:rFonts w:ascii="Arial" w:cs="Arial" w:eastAsia="Arial" w:hAnsi="Arial"/>
          <w:b/>
          <w:bCs/>
          <w:color w:val="2E3A3A"/>
          <w:sz w:val="24"/>
          <w:szCs w:val="24"/>
        </w:rPr>
        <w:t xml:space="preserve">4.1.3  Cultural Resistance and SME Awareness Deficit</w:t>
      </w:r>
    </w:p>
    <w:p>
      <w:pPr>
        <w:spacing w:after="140" w:before="80" w:line="360"/>
        <w:jc w:val="both"/>
      </w:pPr>
      <w:r>
        <w:rPr>
          <w:rFonts w:ascii="Arial" w:cs="Arial" w:eastAsia="Arial" w:hAnsi="Arial"/>
          <w:color w:val="2E3A3A"/>
          <w:sz w:val="24"/>
          <w:szCs w:val="24"/>
        </w:rPr>
        <w:t xml:space="preserve">Research by the Ellen MacArthur Foundation (2021) consistently demonstrates that SME uptake of circular economy practices lags significantly behind large corporations, driven by resource constraints, short-term financial horizons, and a cultural disposition to treat waste as an inevitable operational cost rather than a recoverable asset. Korhonen et al. (2018) note that the circular economy remains an 'essentially contested concept' in business practice. For CrustLoop, overcoming cultural inertia requires a deliberate education-led marketing strategy that leads with financial return rather than environmental aspiration — demonstrating that circular practice reduces disposal costs and strengthens procurement relationships within the client's existing commercial logic.</w:t>
      </w:r>
    </w:p>
    <w:p>
      <w:pPr>
        <w:pStyle w:val="Heading3"/>
        <w:spacing w:after="80" w:before="240" w:line="360"/>
      </w:pPr>
      <w:r>
        <w:rPr>
          <w:rFonts w:ascii="Arial" w:cs="Arial" w:eastAsia="Arial" w:hAnsi="Arial"/>
          <w:b/>
          <w:bCs/>
          <w:color w:val="2E3A3A"/>
          <w:sz w:val="24"/>
          <w:szCs w:val="24"/>
        </w:rPr>
        <w:t xml:space="preserve">4.1.4  Impact Measurement Standardisation</w:t>
      </w:r>
    </w:p>
    <w:p>
      <w:pPr>
        <w:spacing w:after="140" w:before="80" w:line="360"/>
        <w:jc w:val="both"/>
      </w:pPr>
      <w:r>
        <w:rPr>
          <w:rFonts w:ascii="Arial" w:cs="Arial" w:eastAsia="Arial" w:hAnsi="Arial"/>
          <w:color w:val="2E3A3A"/>
          <w:sz w:val="24"/>
          <w:szCs w:val="24"/>
        </w:rPr>
        <w:t xml:space="preserve">A persistent challenge in the sustainability consultancy sector is the absence of universally accepted, auditable methodologies for quantifying the environmental and social impact of circular interventions. Without credible measurement frameworks, CrustLoop's impact reports are vulnerable to accusations of greenwashing — a critical reputational risk (Bocken et al., 2016). The complexity of life cycle assessment (LCA) for organic waste diversion means that CrustLoop will need to invest in a rigorous, independently verified impact methodology drawing on WRAP's Food Waste Impact Calculator and the Carbon Trust's carbon footprinting protocols to establish the credibility its value proposition demands.</w:t>
      </w:r>
    </w:p>
    <w:p>
      <w:pPr>
        <w:pStyle w:val="Heading3"/>
        <w:spacing w:after="80" w:before="240" w:line="360"/>
      </w:pPr>
      <w:r>
        <w:rPr>
          <w:rFonts w:ascii="Arial" w:cs="Arial" w:eastAsia="Arial" w:hAnsi="Arial"/>
          <w:b/>
          <w:bCs/>
          <w:color w:val="2E3A3A"/>
          <w:sz w:val="24"/>
          <w:szCs w:val="24"/>
        </w:rPr>
        <w:t xml:space="preserve">4.1.5  Regulatory and Classification Uncertainty</w:t>
      </w:r>
    </w:p>
    <w:p>
      <w:pPr>
        <w:spacing w:after="140" w:before="80" w:line="360"/>
        <w:jc w:val="both"/>
      </w:pPr>
      <w:r>
        <w:rPr>
          <w:rFonts w:ascii="Arial" w:cs="Arial" w:eastAsia="Arial" w:hAnsi="Arial"/>
          <w:color w:val="2E3A3A"/>
          <w:sz w:val="24"/>
          <w:szCs w:val="24"/>
        </w:rPr>
        <w:t xml:space="preserve">UK waste legislation imposes specific regulatory requirements on the diversion of organic waste to different end uses. Surplus bread redirected to animal feed is subject to the Animal Feed Regulations 2010, whilst anaerobic digestion requires compliance with the Environmental Permitting (England and Wales) Regulations 2016. Post-Brexit, the UK has diverged incrementally from EU circular economy directives, introducing additional uncertainty for businesses with pan-European diversion ambitions (European Commission, 2021). CrustLoop must maintain ongoing regulatory monitoring and engage specialist environmental law counsel to protect clients from compliance risk.</w:t>
      </w:r>
    </w:p>
    <w:p>
      <w:pPr>
        <w:pStyle w:val="Heading2"/>
        <w:pBdr>
          <w:bottom w:val="single" w:color="009999" w:sz="4" w:space="2"/>
        </w:pBdr>
        <w:spacing w:after="120" w:before="320" w:line="360"/>
      </w:pPr>
      <w:r>
        <w:rPr>
          <w:rFonts w:ascii="Arial" w:cs="Arial" w:eastAsia="Arial" w:hAnsi="Arial"/>
          <w:b/>
          <w:bCs/>
          <w:color w:val="005F5F"/>
          <w:sz w:val="26"/>
          <w:szCs w:val="26"/>
        </w:rPr>
        <w:t xml:space="preserve">4.2  Facilitators of Implementation</w:t>
      </w:r>
    </w:p>
    <w:p>
      <w:pPr>
        <w:pStyle w:val="Heading3"/>
        <w:spacing w:after="80" w:before="240" w:line="360"/>
      </w:pPr>
      <w:r>
        <w:rPr>
          <w:rFonts w:ascii="Arial" w:cs="Arial" w:eastAsia="Arial" w:hAnsi="Arial"/>
          <w:b/>
          <w:bCs/>
          <w:color w:val="2E3A3A"/>
          <w:sz w:val="24"/>
          <w:szCs w:val="24"/>
        </w:rPr>
        <w:t xml:space="preserve">4.2.1  UK Government Food Waste Policy Mandates</w:t>
      </w:r>
    </w:p>
    <w:p>
      <w:pPr>
        <w:spacing w:after="140" w:before="80" w:line="360"/>
        <w:jc w:val="both"/>
      </w:pPr>
      <w:r>
        <w:rPr>
          <w:rFonts w:ascii="Arial" w:cs="Arial" w:eastAsia="Arial" w:hAnsi="Arial"/>
          <w:color w:val="2E3A3A"/>
          <w:sz w:val="24"/>
          <w:szCs w:val="24"/>
        </w:rPr>
        <w:t xml:space="preserve">The most powerful structural facilitator for CrustLoop is the increasingly mandatory nature of UK food waste reporting and reduction. The Food Waste Reduction Roadmap (HM Government, 2021) requires food businesses with turnover exceeding GBP 10 million to measure, publish, and act on food waste data by 2026. This regulatory imperative transforms circular economy advisory from an optional improvement activity into a compliance necessity for a substantial portion of CrustLoop's target client base, creating durable commercial demand aligned with the UK's commitment to halving food waste by 2030 in line with SDG 12.3 (Godfray et al., 2010).</w:t>
      </w:r>
    </w:p>
    <w:p>
      <w:pPr>
        <w:pStyle w:val="Heading3"/>
        <w:spacing w:after="80" w:before="240" w:line="360"/>
      </w:pPr>
      <w:r>
        <w:rPr>
          <w:rFonts w:ascii="Arial" w:cs="Arial" w:eastAsia="Arial" w:hAnsi="Arial"/>
          <w:b/>
          <w:bCs/>
          <w:color w:val="2E3A3A"/>
          <w:sz w:val="24"/>
          <w:szCs w:val="24"/>
        </w:rPr>
        <w:t xml:space="preserve">4.2.2  ESG Investment and Procurement Criteria</w:t>
      </w:r>
    </w:p>
    <w:p>
      <w:pPr>
        <w:spacing w:after="140" w:before="80" w:line="360"/>
        <w:jc w:val="both"/>
      </w:pPr>
      <w:r>
        <w:rPr>
          <w:rFonts w:ascii="Arial" w:cs="Arial" w:eastAsia="Arial" w:hAnsi="Arial"/>
          <w:color w:val="2E3A3A"/>
          <w:sz w:val="24"/>
          <w:szCs w:val="24"/>
        </w:rPr>
        <w:t xml:space="preserve">The integration of ESG criteria into the investment and procurement decisions of major retailers and institutional investors has created powerful commercial incentives for food businesses to demonstrate genuine sustainability performance. Bansal and DesJardine (2014) argue that long-term corporate value creation is fundamentally linked to the management of environmental and social externalities. For CrustLoop's target clients supplying major supermarkets with published sustainability commitments, credible food waste reduction credentials are increasingly a condition of continued listing rather than a differentiator alone.</w:t>
      </w:r>
    </w:p>
    <w:p>
      <w:pPr>
        <w:pStyle w:val="Heading3"/>
        <w:spacing w:after="80" w:before="240" w:line="360"/>
      </w:pPr>
      <w:r>
        <w:rPr>
          <w:rFonts w:ascii="Arial" w:cs="Arial" w:eastAsia="Arial" w:hAnsi="Arial"/>
          <w:b/>
          <w:bCs/>
          <w:color w:val="2E3A3A"/>
          <w:sz w:val="24"/>
          <w:szCs w:val="24"/>
        </w:rPr>
        <w:t xml:space="preserve">4.2.3  Established Circular Economy Infrastructure and Networks</w:t>
      </w:r>
    </w:p>
    <w:p>
      <w:pPr>
        <w:spacing w:after="140" w:before="80" w:line="360"/>
        <w:jc w:val="both"/>
      </w:pPr>
      <w:r>
        <w:rPr>
          <w:rFonts w:ascii="Arial" w:cs="Arial" w:eastAsia="Arial" w:hAnsi="Arial"/>
          <w:color w:val="2E3A3A"/>
          <w:sz w:val="24"/>
          <w:szCs w:val="24"/>
        </w:rPr>
        <w:t xml:space="preserve">The UK's well-developed circular economy ecosystem provides CrustLoop with rich partnership, credibility, and knowledge resources. The Ellen MacArthur Foundation's CE100 network, WRAP's Food Waste Reduction Alliance, the Sustainable Food Trust, and the ADBA all provide access to industry intelligence, pre-vetted diversion partners, and co-marketing opportunities. Aligning CrustLoop with these bodies from the outset will accelerate brand credibility and reduce the cost of diversion partner identification — one of the most resource-intensive aspects of circular economy implementation (Geissdoerfer et al., 2017).</w:t>
      </w:r>
    </w:p>
    <w:p>
      <w:pPr>
        <w:pStyle w:val="Heading3"/>
        <w:spacing w:after="80" w:before="240" w:line="360"/>
      </w:pPr>
      <w:r>
        <w:rPr>
          <w:rFonts w:ascii="Arial" w:cs="Arial" w:eastAsia="Arial" w:hAnsi="Arial"/>
          <w:b/>
          <w:bCs/>
          <w:color w:val="2E3A3A"/>
          <w:sz w:val="24"/>
          <w:szCs w:val="24"/>
        </w:rPr>
        <w:t xml:space="preserve">4.2.4  Proven Proof-of-Concept Models</w:t>
      </w:r>
    </w:p>
    <w:p>
      <w:pPr>
        <w:spacing w:after="140" w:before="80" w:line="360"/>
        <w:jc w:val="both"/>
      </w:pPr>
      <w:r>
        <w:rPr>
          <w:rFonts w:ascii="Arial" w:cs="Arial" w:eastAsia="Arial" w:hAnsi="Arial"/>
          <w:color w:val="2E3A3A"/>
          <w:sz w:val="24"/>
          <w:szCs w:val="24"/>
        </w:rPr>
        <w:t xml:space="preserve">The commercial and social success of Toast Ale — a viable social enterprise built on the circular reuse of surplus bread in craft brewing, donating 100 per cent of profits to food-waste charities and spawning partner breweries across the USA, Australia, Iceland, and Latin America (Stuart, 2009; Toast Ale, 2023) — provides powerful de-risking evidence for sceptical clients. The rapid growth of the UK's anaerobic digestion sector, with over 650 operational plants as of 2022 (ADBA, 2022), confirms the existence of mature, scalable infrastructure for organic waste valorisation that CrustLoop can connect its clients to rather than build independently.</w:t>
      </w:r>
    </w:p>
    <w:p>
      <w:pPr>
        <w:pStyle w:val="Heading3"/>
        <w:spacing w:after="80" w:before="240" w:line="360"/>
      </w:pPr>
      <w:r>
        <w:rPr>
          <w:rFonts w:ascii="Arial" w:cs="Arial" w:eastAsia="Arial" w:hAnsi="Arial"/>
          <w:b/>
          <w:bCs/>
          <w:color w:val="2E3A3A"/>
          <w:sz w:val="24"/>
          <w:szCs w:val="24"/>
        </w:rPr>
        <w:t xml:space="preserve">4.2.5  Digital Impact Measurement Technology</w:t>
      </w:r>
    </w:p>
    <w:p>
      <w:pPr>
        <w:spacing w:after="140" w:before="80" w:line="360"/>
        <w:jc w:val="both"/>
      </w:pPr>
      <w:r>
        <w:rPr>
          <w:rFonts w:ascii="Arial" w:cs="Arial" w:eastAsia="Arial" w:hAnsi="Arial"/>
          <w:color w:val="2E3A3A"/>
          <w:sz w:val="24"/>
          <w:szCs w:val="24"/>
        </w:rPr>
        <w:t xml:space="preserve">Advances in affordable data management, IoT-connected waste monitoring, and cloud-based sustainability reporting platforms mean CrustLoop can deploy sophisticated impact measurement tools without a large internal data science function. The Foresight Report (2011) on the future of food and farming highlighted the critical importance of information transparency in enabling sustainable food system transformation — digital measurement tools are now mature enough to deliver this transparency at commercially viable cost. A CrustLoop client impact dashboard displaying real-time waste diversion volumes, carbon savings, and financial returns would serve simultaneously as an operational management tool, client retention mechanism, and marketing asset.</w:t>
      </w:r>
    </w:p>
    <w:p>
      <w:pPr>
        <w:spacing w:after="60" w:before="60" w:line="360"/>
      </w:pPr>
      <w:r>
        <w:t xml:space="preserve"/>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2700"/>
        <w:gridCol w:w="2500"/>
        <w:gridCol w:w="1100"/>
      </w:tblGrid>
      <w:tr>
        <w:trPr>
          <w:tblHeader/>
        </w:trPr>
        <w:tc>
          <w:tcPr>
            <w:tcW w:type="dxa" w:w="2500"/>
            <w:tcBorders>
              <w:top w:val="single" w:color="005F5F" w:sz="8"/>
              <w:left w:val="single" w:color="005F5F" w:sz="8"/>
              <w:bottom w:val="single" w:color="005F5F" w:sz="8"/>
              <w:right w:val="single" w:color="005F5F" w:sz="8"/>
            </w:tcBorders>
            <w:shd w:fill="005F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Barrier</w:t>
            </w:r>
          </w:p>
        </w:tc>
        <w:tc>
          <w:tcPr>
            <w:tcW w:type="dxa" w:w="1300"/>
            <w:tcBorders>
              <w:top w:val="single" w:color="005F5F" w:sz="8"/>
              <w:left w:val="single" w:color="005F5F" w:sz="8"/>
              <w:bottom w:val="single" w:color="005F5F" w:sz="8"/>
              <w:right w:val="single" w:color="005F5F" w:sz="8"/>
            </w:tcBorders>
            <w:shd w:fill="005F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Severity</w:t>
            </w:r>
          </w:p>
        </w:tc>
        <w:tc>
          <w:tcPr>
            <w:tcW w:type="dxa" w:w="2700"/>
            <w:tcBorders>
              <w:top w:val="single" w:color="005F5F" w:sz="8"/>
              <w:left w:val="single" w:color="005F5F" w:sz="8"/>
              <w:bottom w:val="single" w:color="005F5F" w:sz="8"/>
              <w:right w:val="single" w:color="005F5F" w:sz="8"/>
            </w:tcBorders>
            <w:shd w:fill="005F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Mitigation Strategy</w:t>
            </w:r>
          </w:p>
        </w:tc>
        <w:tc>
          <w:tcPr>
            <w:tcW w:type="dxa" w:w="2500"/>
            <w:tcBorders>
              <w:top w:val="single" w:color="005F5F" w:sz="8"/>
              <w:left w:val="single" w:color="005F5F" w:sz="8"/>
              <w:bottom w:val="single" w:color="005F5F" w:sz="8"/>
              <w:right w:val="single" w:color="005F5F" w:sz="8"/>
            </w:tcBorders>
            <w:shd w:fill="005F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Key Facilitator</w:t>
            </w:r>
          </w:p>
        </w:tc>
        <w:tc>
          <w:tcPr>
            <w:tcW w:type="dxa" w:w="1100"/>
            <w:tcBorders>
              <w:top w:val="single" w:color="005F5F" w:sz="8"/>
              <w:left w:val="single" w:color="005F5F" w:sz="8"/>
              <w:bottom w:val="single" w:color="005F5F" w:sz="8"/>
              <w:right w:val="single" w:color="005F5F" w:sz="8"/>
            </w:tcBorders>
            <w:shd w:fill="005F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Strength</w:t>
            </w:r>
          </w:p>
        </w:tc>
      </w:tr>
      <w:tr>
        <w:tc>
          <w:tcPr>
            <w:tcW w:type="dxa" w:w="2500"/>
            <w:tcBorders>
              <w:top w:val="single" w:color="AAAAAA" w:sz="4"/>
              <w:left w:val="single" w:color="AAAAAA" w:sz="4"/>
              <w:bottom w:val="single" w:color="AAAAAA" w:sz="4"/>
              <w:right w:val="single" w:color="AAAAAA" w:sz="4"/>
            </w:tcBorders>
            <w:shd w:fill="F4F9F9" w:val="clear"/>
            <w:tcMar>
              <w:top w:type="dxa" w:w="90"/>
              <w:left w:type="dxa" w:w="160"/>
              <w:bottom w:type="dxa" w:w="90"/>
              <w:right w:type="dxa" w:w="160"/>
            </w:tcMar>
            <w:vAlign w:val="top"/>
          </w:tcPr>
          <w:p>
            <w:r>
              <w:rPr>
                <w:rFonts w:ascii="Arial" w:cs="Arial" w:eastAsia="Arial" w:hAnsi="Arial"/>
                <w:color w:val="2E3A3A"/>
                <w:sz w:val="20"/>
                <w:szCs w:val="20"/>
              </w:rPr>
              <w:t xml:space="preserve">Supply chain inconsistency</w:t>
            </w:r>
          </w:p>
        </w:tc>
        <w:tc>
          <w:tcPr>
            <w:tcW w:type="dxa" w:w="1300"/>
            <w:tcBorders>
              <w:top w:val="single" w:color="AAAAAA" w:sz="4"/>
              <w:left w:val="single" w:color="AAAAAA" w:sz="4"/>
              <w:bottom w:val="single" w:color="AAAAAA" w:sz="4"/>
              <w:right w:val="single" w:color="AAAAAA" w:sz="4"/>
            </w:tcBorders>
            <w:shd w:fill="F4F9F9" w:val="clear"/>
            <w:tcMar>
              <w:top w:type="dxa" w:w="90"/>
              <w:left w:type="dxa" w:w="160"/>
              <w:bottom w:type="dxa" w:w="90"/>
              <w:right w:type="dxa" w:w="160"/>
            </w:tcMar>
            <w:vAlign w:val="top"/>
          </w:tcPr>
          <w:p>
            <w:r>
              <w:rPr>
                <w:rFonts w:ascii="Arial" w:cs="Arial" w:eastAsia="Arial" w:hAnsi="Arial"/>
                <w:color w:val="2E3A3A"/>
                <w:sz w:val="20"/>
                <w:szCs w:val="20"/>
              </w:rPr>
              <w:t xml:space="preserve">High</w:t>
            </w:r>
          </w:p>
        </w:tc>
        <w:tc>
          <w:tcPr>
            <w:tcW w:type="dxa" w:w="2700"/>
            <w:tcBorders>
              <w:top w:val="single" w:color="AAAAAA" w:sz="4"/>
              <w:left w:val="single" w:color="AAAAAA" w:sz="4"/>
              <w:bottom w:val="single" w:color="AAAAAA" w:sz="4"/>
              <w:right w:val="single" w:color="AAAAAA" w:sz="4"/>
            </w:tcBorders>
            <w:shd w:fill="F4F9F9" w:val="clear"/>
            <w:tcMar>
              <w:top w:type="dxa" w:w="90"/>
              <w:left w:type="dxa" w:w="160"/>
              <w:bottom w:type="dxa" w:w="90"/>
              <w:right w:type="dxa" w:w="160"/>
            </w:tcMar>
            <w:vAlign w:val="top"/>
          </w:tcPr>
          <w:p>
            <w:r>
              <w:rPr>
                <w:rFonts w:ascii="Arial" w:cs="Arial" w:eastAsia="Arial" w:hAnsi="Arial"/>
                <w:color w:val="2E3A3A"/>
                <w:sz w:val="20"/>
                <w:szCs w:val="20"/>
              </w:rPr>
              <w:t xml:space="preserve">Flexible contracts; client aggregation</w:t>
            </w:r>
          </w:p>
        </w:tc>
        <w:tc>
          <w:tcPr>
            <w:tcW w:type="dxa" w:w="2500"/>
            <w:tcBorders>
              <w:top w:val="single" w:color="AAAAAA" w:sz="4"/>
              <w:left w:val="single" w:color="AAAAAA" w:sz="4"/>
              <w:bottom w:val="single" w:color="AAAAAA" w:sz="4"/>
              <w:right w:val="single" w:color="AAAAAA" w:sz="4"/>
            </w:tcBorders>
            <w:shd w:fill="F4F9F9" w:val="clear"/>
            <w:tcMar>
              <w:top w:type="dxa" w:w="90"/>
              <w:left w:type="dxa" w:w="160"/>
              <w:bottom w:type="dxa" w:w="90"/>
              <w:right w:type="dxa" w:w="160"/>
            </w:tcMar>
            <w:vAlign w:val="top"/>
          </w:tcPr>
          <w:p>
            <w:r>
              <w:rPr>
                <w:rFonts w:ascii="Arial" w:cs="Arial" w:eastAsia="Arial" w:hAnsi="Arial"/>
                <w:color w:val="2E3A3A"/>
                <w:sz w:val="20"/>
                <w:szCs w:val="20"/>
              </w:rPr>
              <w:t xml:space="preserve">Proven models (Toast Ale)</w:t>
            </w:r>
          </w:p>
        </w:tc>
        <w:tc>
          <w:tcPr>
            <w:tcW w:type="dxa" w:w="1100"/>
            <w:tcBorders>
              <w:top w:val="single" w:color="AAAAAA" w:sz="4"/>
              <w:left w:val="single" w:color="AAAAAA" w:sz="4"/>
              <w:bottom w:val="single" w:color="AAAAAA" w:sz="4"/>
              <w:right w:val="single" w:color="AAAAAA" w:sz="4"/>
            </w:tcBorders>
            <w:shd w:fill="F4F9F9" w:val="clear"/>
            <w:tcMar>
              <w:top w:type="dxa" w:w="90"/>
              <w:left w:type="dxa" w:w="160"/>
              <w:bottom w:type="dxa" w:w="90"/>
              <w:right w:type="dxa" w:w="160"/>
            </w:tcMar>
            <w:vAlign w:val="top"/>
          </w:tcPr>
          <w:p>
            <w:r>
              <w:rPr>
                <w:rFonts w:ascii="Arial" w:cs="Arial" w:eastAsia="Arial" w:hAnsi="Arial"/>
                <w:color w:val="2E3A3A"/>
                <w:sz w:val="20"/>
                <w:szCs w:val="20"/>
              </w:rPr>
              <w:t xml:space="preserve">High</w:t>
            </w:r>
          </w:p>
        </w:tc>
      </w:tr>
      <w:tr>
        <w:tc>
          <w:tcPr>
            <w:tcW w:type="dxa" w:w="2500"/>
            <w:tcBorders>
              <w:top w:val="single" w:color="AAAAAA" w:sz="4"/>
              <w:left w:val="single" w:color="AAAAAA" w:sz="4"/>
              <w:bottom w:val="single" w:color="AAAAAA" w:sz="4"/>
              <w:right w:val="single" w:color="AAAAAA" w:sz="4"/>
            </w:tcBorders>
            <w:shd w:fill="FFFFFF" w:val="clear"/>
            <w:tcMar>
              <w:top w:type="dxa" w:w="90"/>
              <w:left w:type="dxa" w:w="160"/>
              <w:bottom w:type="dxa" w:w="90"/>
              <w:right w:type="dxa" w:w="160"/>
            </w:tcMar>
            <w:vAlign w:val="top"/>
          </w:tcPr>
          <w:p>
            <w:r>
              <w:rPr>
                <w:rFonts w:ascii="Arial" w:cs="Arial" w:eastAsia="Arial" w:hAnsi="Arial"/>
                <w:color w:val="2E3A3A"/>
                <w:sz w:val="20"/>
                <w:szCs w:val="20"/>
              </w:rPr>
              <w:t xml:space="preserve">Logistics complexity</w:t>
            </w:r>
          </w:p>
        </w:tc>
        <w:tc>
          <w:tcPr>
            <w:tcW w:type="dxa" w:w="1300"/>
            <w:tcBorders>
              <w:top w:val="single" w:color="AAAAAA" w:sz="4"/>
              <w:left w:val="single" w:color="AAAAAA" w:sz="4"/>
              <w:bottom w:val="single" w:color="AAAAAA" w:sz="4"/>
              <w:right w:val="single" w:color="AAAAAA" w:sz="4"/>
            </w:tcBorders>
            <w:shd w:fill="FFFFFF" w:val="clear"/>
            <w:tcMar>
              <w:top w:type="dxa" w:w="90"/>
              <w:left w:type="dxa" w:w="160"/>
              <w:bottom w:type="dxa" w:w="90"/>
              <w:right w:type="dxa" w:w="160"/>
            </w:tcMar>
            <w:vAlign w:val="top"/>
          </w:tcPr>
          <w:p>
            <w:r>
              <w:rPr>
                <w:rFonts w:ascii="Arial" w:cs="Arial" w:eastAsia="Arial" w:hAnsi="Arial"/>
                <w:color w:val="2E3A3A"/>
                <w:sz w:val="20"/>
                <w:szCs w:val="20"/>
              </w:rPr>
              <w:t xml:space="preserve">Medium</w:t>
            </w:r>
          </w:p>
        </w:tc>
        <w:tc>
          <w:tcPr>
            <w:tcW w:type="dxa" w:w="2700"/>
            <w:tcBorders>
              <w:top w:val="single" w:color="AAAAAA" w:sz="4"/>
              <w:left w:val="single" w:color="AAAAAA" w:sz="4"/>
              <w:bottom w:val="single" w:color="AAAAAA" w:sz="4"/>
              <w:right w:val="single" w:color="AAAAAA" w:sz="4"/>
            </w:tcBorders>
            <w:shd w:fill="FFFFFF" w:val="clear"/>
            <w:tcMar>
              <w:top w:type="dxa" w:w="90"/>
              <w:left w:type="dxa" w:w="160"/>
              <w:bottom w:type="dxa" w:w="90"/>
              <w:right w:type="dxa" w:w="160"/>
            </w:tcMar>
            <w:vAlign w:val="top"/>
          </w:tcPr>
          <w:p>
            <w:r>
              <w:rPr>
                <w:rFonts w:ascii="Arial" w:cs="Arial" w:eastAsia="Arial" w:hAnsi="Arial"/>
                <w:color w:val="2E3A3A"/>
                <w:sz w:val="20"/>
                <w:szCs w:val="20"/>
              </w:rPr>
              <w:t xml:space="preserve">Partner with FareShare logistics</w:t>
            </w:r>
          </w:p>
        </w:tc>
        <w:tc>
          <w:tcPr>
            <w:tcW w:type="dxa" w:w="2500"/>
            <w:tcBorders>
              <w:top w:val="single" w:color="AAAAAA" w:sz="4"/>
              <w:left w:val="single" w:color="AAAAAA" w:sz="4"/>
              <w:bottom w:val="single" w:color="AAAAAA" w:sz="4"/>
              <w:right w:val="single" w:color="AAAAAA" w:sz="4"/>
            </w:tcBorders>
            <w:shd w:fill="FFFFFF" w:val="clear"/>
            <w:tcMar>
              <w:top w:type="dxa" w:w="90"/>
              <w:left w:type="dxa" w:w="160"/>
              <w:bottom w:type="dxa" w:w="90"/>
              <w:right w:type="dxa" w:w="160"/>
            </w:tcMar>
            <w:vAlign w:val="top"/>
          </w:tcPr>
          <w:p>
            <w:r>
              <w:rPr>
                <w:rFonts w:ascii="Arial" w:cs="Arial" w:eastAsia="Arial" w:hAnsi="Arial"/>
                <w:color w:val="2E3A3A"/>
                <w:sz w:val="20"/>
                <w:szCs w:val="20"/>
              </w:rPr>
              <w:t xml:space="preserve">UK AD infrastructure growth</w:t>
            </w:r>
          </w:p>
        </w:tc>
        <w:tc>
          <w:tcPr>
            <w:tcW w:type="dxa" w:w="1100"/>
            <w:tcBorders>
              <w:top w:val="single" w:color="AAAAAA" w:sz="4"/>
              <w:left w:val="single" w:color="AAAAAA" w:sz="4"/>
              <w:bottom w:val="single" w:color="AAAAAA" w:sz="4"/>
              <w:right w:val="single" w:color="AAAAAA" w:sz="4"/>
            </w:tcBorders>
            <w:shd w:fill="FFFFFF" w:val="clear"/>
            <w:tcMar>
              <w:top w:type="dxa" w:w="90"/>
              <w:left w:type="dxa" w:w="160"/>
              <w:bottom w:type="dxa" w:w="90"/>
              <w:right w:type="dxa" w:w="160"/>
            </w:tcMar>
            <w:vAlign w:val="top"/>
          </w:tcPr>
          <w:p>
            <w:r>
              <w:rPr>
                <w:rFonts w:ascii="Arial" w:cs="Arial" w:eastAsia="Arial" w:hAnsi="Arial"/>
                <w:color w:val="2E3A3A"/>
                <w:sz w:val="20"/>
                <w:szCs w:val="20"/>
              </w:rPr>
              <w:t xml:space="preserve">High</w:t>
            </w:r>
          </w:p>
        </w:tc>
      </w:tr>
      <w:tr>
        <w:tc>
          <w:tcPr>
            <w:tcW w:type="dxa" w:w="2500"/>
            <w:tcBorders>
              <w:top w:val="single" w:color="AAAAAA" w:sz="4"/>
              <w:left w:val="single" w:color="AAAAAA" w:sz="4"/>
              <w:bottom w:val="single" w:color="AAAAAA" w:sz="4"/>
              <w:right w:val="single" w:color="AAAAAA" w:sz="4"/>
            </w:tcBorders>
            <w:shd w:fill="F4F9F9" w:val="clear"/>
            <w:tcMar>
              <w:top w:type="dxa" w:w="90"/>
              <w:left w:type="dxa" w:w="160"/>
              <w:bottom w:type="dxa" w:w="90"/>
              <w:right w:type="dxa" w:w="160"/>
            </w:tcMar>
            <w:vAlign w:val="top"/>
          </w:tcPr>
          <w:p>
            <w:r>
              <w:rPr>
                <w:rFonts w:ascii="Arial" w:cs="Arial" w:eastAsia="Arial" w:hAnsi="Arial"/>
                <w:color w:val="2E3A3A"/>
                <w:sz w:val="20"/>
                <w:szCs w:val="20"/>
              </w:rPr>
              <w:t xml:space="preserve">Cultural resistance</w:t>
            </w:r>
          </w:p>
        </w:tc>
        <w:tc>
          <w:tcPr>
            <w:tcW w:type="dxa" w:w="1300"/>
            <w:tcBorders>
              <w:top w:val="single" w:color="AAAAAA" w:sz="4"/>
              <w:left w:val="single" w:color="AAAAAA" w:sz="4"/>
              <w:bottom w:val="single" w:color="AAAAAA" w:sz="4"/>
              <w:right w:val="single" w:color="AAAAAA" w:sz="4"/>
            </w:tcBorders>
            <w:shd w:fill="F4F9F9" w:val="clear"/>
            <w:tcMar>
              <w:top w:type="dxa" w:w="90"/>
              <w:left w:type="dxa" w:w="160"/>
              <w:bottom w:type="dxa" w:w="90"/>
              <w:right w:type="dxa" w:w="160"/>
            </w:tcMar>
            <w:vAlign w:val="top"/>
          </w:tcPr>
          <w:p>
            <w:r>
              <w:rPr>
                <w:rFonts w:ascii="Arial" w:cs="Arial" w:eastAsia="Arial" w:hAnsi="Arial"/>
                <w:color w:val="2E3A3A"/>
                <w:sz w:val="20"/>
                <w:szCs w:val="20"/>
              </w:rPr>
              <w:t xml:space="preserve">Medium</w:t>
            </w:r>
          </w:p>
        </w:tc>
        <w:tc>
          <w:tcPr>
            <w:tcW w:type="dxa" w:w="2700"/>
            <w:tcBorders>
              <w:top w:val="single" w:color="AAAAAA" w:sz="4"/>
              <w:left w:val="single" w:color="AAAAAA" w:sz="4"/>
              <w:bottom w:val="single" w:color="AAAAAA" w:sz="4"/>
              <w:right w:val="single" w:color="AAAAAA" w:sz="4"/>
            </w:tcBorders>
            <w:shd w:fill="F4F9F9" w:val="clear"/>
            <w:tcMar>
              <w:top w:type="dxa" w:w="90"/>
              <w:left w:type="dxa" w:w="160"/>
              <w:bottom w:type="dxa" w:w="90"/>
              <w:right w:type="dxa" w:w="160"/>
            </w:tcMar>
            <w:vAlign w:val="top"/>
          </w:tcPr>
          <w:p>
            <w:r>
              <w:rPr>
                <w:rFonts w:ascii="Arial" w:cs="Arial" w:eastAsia="Arial" w:hAnsi="Arial"/>
                <w:color w:val="2E3A3A"/>
                <w:sz w:val="20"/>
                <w:szCs w:val="20"/>
              </w:rPr>
              <w:t xml:space="preserve">ROI-led marketing; education content</w:t>
            </w:r>
          </w:p>
        </w:tc>
        <w:tc>
          <w:tcPr>
            <w:tcW w:type="dxa" w:w="2500"/>
            <w:tcBorders>
              <w:top w:val="single" w:color="AAAAAA" w:sz="4"/>
              <w:left w:val="single" w:color="AAAAAA" w:sz="4"/>
              <w:bottom w:val="single" w:color="AAAAAA" w:sz="4"/>
              <w:right w:val="single" w:color="AAAAAA" w:sz="4"/>
            </w:tcBorders>
            <w:shd w:fill="F4F9F9" w:val="clear"/>
            <w:tcMar>
              <w:top w:type="dxa" w:w="90"/>
              <w:left w:type="dxa" w:w="160"/>
              <w:bottom w:type="dxa" w:w="90"/>
              <w:right w:type="dxa" w:w="160"/>
            </w:tcMar>
            <w:vAlign w:val="top"/>
          </w:tcPr>
          <w:p>
            <w:r>
              <w:rPr>
                <w:rFonts w:ascii="Arial" w:cs="Arial" w:eastAsia="Arial" w:hAnsi="Arial"/>
                <w:color w:val="2E3A3A"/>
                <w:sz w:val="20"/>
                <w:szCs w:val="20"/>
              </w:rPr>
              <w:t xml:space="preserve">ESG procurement criteria</w:t>
            </w:r>
          </w:p>
        </w:tc>
        <w:tc>
          <w:tcPr>
            <w:tcW w:type="dxa" w:w="1100"/>
            <w:tcBorders>
              <w:top w:val="single" w:color="AAAAAA" w:sz="4"/>
              <w:left w:val="single" w:color="AAAAAA" w:sz="4"/>
              <w:bottom w:val="single" w:color="AAAAAA" w:sz="4"/>
              <w:right w:val="single" w:color="AAAAAA" w:sz="4"/>
            </w:tcBorders>
            <w:shd w:fill="F4F9F9" w:val="clear"/>
            <w:tcMar>
              <w:top w:type="dxa" w:w="90"/>
              <w:left w:type="dxa" w:w="160"/>
              <w:bottom w:type="dxa" w:w="90"/>
              <w:right w:type="dxa" w:w="160"/>
            </w:tcMar>
            <w:vAlign w:val="top"/>
          </w:tcPr>
          <w:p>
            <w:r>
              <w:rPr>
                <w:rFonts w:ascii="Arial" w:cs="Arial" w:eastAsia="Arial" w:hAnsi="Arial"/>
                <w:color w:val="2E3A3A"/>
                <w:sz w:val="20"/>
                <w:szCs w:val="20"/>
              </w:rPr>
              <w:t xml:space="preserve">High</w:t>
            </w:r>
          </w:p>
        </w:tc>
      </w:tr>
      <w:tr>
        <w:tc>
          <w:tcPr>
            <w:tcW w:type="dxa" w:w="2500"/>
            <w:tcBorders>
              <w:top w:val="single" w:color="AAAAAA" w:sz="4"/>
              <w:left w:val="single" w:color="AAAAAA" w:sz="4"/>
              <w:bottom w:val="single" w:color="AAAAAA" w:sz="4"/>
              <w:right w:val="single" w:color="AAAAAA" w:sz="4"/>
            </w:tcBorders>
            <w:shd w:fill="FFFFFF" w:val="clear"/>
            <w:tcMar>
              <w:top w:type="dxa" w:w="90"/>
              <w:left w:type="dxa" w:w="160"/>
              <w:bottom w:type="dxa" w:w="90"/>
              <w:right w:type="dxa" w:w="160"/>
            </w:tcMar>
            <w:vAlign w:val="top"/>
          </w:tcPr>
          <w:p>
            <w:r>
              <w:rPr>
                <w:rFonts w:ascii="Arial" w:cs="Arial" w:eastAsia="Arial" w:hAnsi="Arial"/>
                <w:color w:val="2E3A3A"/>
                <w:sz w:val="20"/>
                <w:szCs w:val="20"/>
              </w:rPr>
              <w:t xml:space="preserve">Impact measurement gaps</w:t>
            </w:r>
          </w:p>
        </w:tc>
        <w:tc>
          <w:tcPr>
            <w:tcW w:type="dxa" w:w="1300"/>
            <w:tcBorders>
              <w:top w:val="single" w:color="AAAAAA" w:sz="4"/>
              <w:left w:val="single" w:color="AAAAAA" w:sz="4"/>
              <w:bottom w:val="single" w:color="AAAAAA" w:sz="4"/>
              <w:right w:val="single" w:color="AAAAAA" w:sz="4"/>
            </w:tcBorders>
            <w:shd w:fill="FFFFFF" w:val="clear"/>
            <w:tcMar>
              <w:top w:type="dxa" w:w="90"/>
              <w:left w:type="dxa" w:w="160"/>
              <w:bottom w:type="dxa" w:w="90"/>
              <w:right w:type="dxa" w:w="160"/>
            </w:tcMar>
            <w:vAlign w:val="top"/>
          </w:tcPr>
          <w:p>
            <w:r>
              <w:rPr>
                <w:rFonts w:ascii="Arial" w:cs="Arial" w:eastAsia="Arial" w:hAnsi="Arial"/>
                <w:color w:val="2E3A3A"/>
                <w:sz w:val="20"/>
                <w:szCs w:val="20"/>
              </w:rPr>
              <w:t xml:space="preserve">High</w:t>
            </w:r>
          </w:p>
        </w:tc>
        <w:tc>
          <w:tcPr>
            <w:tcW w:type="dxa" w:w="2700"/>
            <w:tcBorders>
              <w:top w:val="single" w:color="AAAAAA" w:sz="4"/>
              <w:left w:val="single" w:color="AAAAAA" w:sz="4"/>
              <w:bottom w:val="single" w:color="AAAAAA" w:sz="4"/>
              <w:right w:val="single" w:color="AAAAAA" w:sz="4"/>
            </w:tcBorders>
            <w:shd w:fill="FFFFFF" w:val="clear"/>
            <w:tcMar>
              <w:top w:type="dxa" w:w="90"/>
              <w:left w:type="dxa" w:w="160"/>
              <w:bottom w:type="dxa" w:w="90"/>
              <w:right w:type="dxa" w:w="160"/>
            </w:tcMar>
            <w:vAlign w:val="top"/>
          </w:tcPr>
          <w:p>
            <w:r>
              <w:rPr>
                <w:rFonts w:ascii="Arial" w:cs="Arial" w:eastAsia="Arial" w:hAnsi="Arial"/>
                <w:color w:val="2E3A3A"/>
                <w:sz w:val="20"/>
                <w:szCs w:val="20"/>
              </w:rPr>
              <w:t xml:space="preserve">WRAP / Carbon Trust methodology</w:t>
            </w:r>
          </w:p>
        </w:tc>
        <w:tc>
          <w:tcPr>
            <w:tcW w:type="dxa" w:w="2500"/>
            <w:tcBorders>
              <w:top w:val="single" w:color="AAAAAA" w:sz="4"/>
              <w:left w:val="single" w:color="AAAAAA" w:sz="4"/>
              <w:bottom w:val="single" w:color="AAAAAA" w:sz="4"/>
              <w:right w:val="single" w:color="AAAAAA" w:sz="4"/>
            </w:tcBorders>
            <w:shd w:fill="FFFFFF" w:val="clear"/>
            <w:tcMar>
              <w:top w:type="dxa" w:w="90"/>
              <w:left w:type="dxa" w:w="160"/>
              <w:bottom w:type="dxa" w:w="90"/>
              <w:right w:type="dxa" w:w="160"/>
            </w:tcMar>
            <w:vAlign w:val="top"/>
          </w:tcPr>
          <w:p>
            <w:r>
              <w:rPr>
                <w:rFonts w:ascii="Arial" w:cs="Arial" w:eastAsia="Arial" w:hAnsi="Arial"/>
                <w:color w:val="2E3A3A"/>
                <w:sz w:val="20"/>
                <w:szCs w:val="20"/>
              </w:rPr>
              <w:t xml:space="preserve">Digital measurement platforms</w:t>
            </w:r>
          </w:p>
        </w:tc>
        <w:tc>
          <w:tcPr>
            <w:tcW w:type="dxa" w:w="1100"/>
            <w:tcBorders>
              <w:top w:val="single" w:color="AAAAAA" w:sz="4"/>
              <w:left w:val="single" w:color="AAAAAA" w:sz="4"/>
              <w:bottom w:val="single" w:color="AAAAAA" w:sz="4"/>
              <w:right w:val="single" w:color="AAAAAA" w:sz="4"/>
            </w:tcBorders>
            <w:shd w:fill="FFFFFF" w:val="clear"/>
            <w:tcMar>
              <w:top w:type="dxa" w:w="90"/>
              <w:left w:type="dxa" w:w="160"/>
              <w:bottom w:type="dxa" w:w="90"/>
              <w:right w:type="dxa" w:w="160"/>
            </w:tcMar>
            <w:vAlign w:val="top"/>
          </w:tcPr>
          <w:p>
            <w:r>
              <w:rPr>
                <w:rFonts w:ascii="Arial" w:cs="Arial" w:eastAsia="Arial" w:hAnsi="Arial"/>
                <w:color w:val="2E3A3A"/>
                <w:sz w:val="20"/>
                <w:szCs w:val="20"/>
              </w:rPr>
              <w:t xml:space="preserve">Medium</w:t>
            </w:r>
          </w:p>
        </w:tc>
      </w:tr>
      <w:tr>
        <w:tc>
          <w:tcPr>
            <w:tcW w:type="dxa" w:w="2500"/>
            <w:tcBorders>
              <w:top w:val="single" w:color="AAAAAA" w:sz="4"/>
              <w:left w:val="single" w:color="AAAAAA" w:sz="4"/>
              <w:bottom w:val="single" w:color="AAAAAA" w:sz="4"/>
              <w:right w:val="single" w:color="AAAAAA" w:sz="4"/>
            </w:tcBorders>
            <w:shd w:fill="F4F9F9" w:val="clear"/>
            <w:tcMar>
              <w:top w:type="dxa" w:w="90"/>
              <w:left w:type="dxa" w:w="160"/>
              <w:bottom w:type="dxa" w:w="90"/>
              <w:right w:type="dxa" w:w="160"/>
            </w:tcMar>
            <w:vAlign w:val="top"/>
          </w:tcPr>
          <w:p>
            <w:r>
              <w:rPr>
                <w:rFonts w:ascii="Arial" w:cs="Arial" w:eastAsia="Arial" w:hAnsi="Arial"/>
                <w:color w:val="2E3A3A"/>
                <w:sz w:val="20"/>
                <w:szCs w:val="20"/>
              </w:rPr>
              <w:t xml:space="preserve">Regulatory uncertainty</w:t>
            </w:r>
          </w:p>
        </w:tc>
        <w:tc>
          <w:tcPr>
            <w:tcW w:type="dxa" w:w="1300"/>
            <w:tcBorders>
              <w:top w:val="single" w:color="AAAAAA" w:sz="4"/>
              <w:left w:val="single" w:color="AAAAAA" w:sz="4"/>
              <w:bottom w:val="single" w:color="AAAAAA" w:sz="4"/>
              <w:right w:val="single" w:color="AAAAAA" w:sz="4"/>
            </w:tcBorders>
            <w:shd w:fill="F4F9F9" w:val="clear"/>
            <w:tcMar>
              <w:top w:type="dxa" w:w="90"/>
              <w:left w:type="dxa" w:w="160"/>
              <w:bottom w:type="dxa" w:w="90"/>
              <w:right w:type="dxa" w:w="160"/>
            </w:tcMar>
            <w:vAlign w:val="top"/>
          </w:tcPr>
          <w:p>
            <w:r>
              <w:rPr>
                <w:rFonts w:ascii="Arial" w:cs="Arial" w:eastAsia="Arial" w:hAnsi="Arial"/>
                <w:color w:val="2E3A3A"/>
                <w:sz w:val="20"/>
                <w:szCs w:val="20"/>
              </w:rPr>
              <w:t xml:space="preserve">Medium</w:t>
            </w:r>
          </w:p>
        </w:tc>
        <w:tc>
          <w:tcPr>
            <w:tcW w:type="dxa" w:w="2700"/>
            <w:tcBorders>
              <w:top w:val="single" w:color="AAAAAA" w:sz="4"/>
              <w:left w:val="single" w:color="AAAAAA" w:sz="4"/>
              <w:bottom w:val="single" w:color="AAAAAA" w:sz="4"/>
              <w:right w:val="single" w:color="AAAAAA" w:sz="4"/>
            </w:tcBorders>
            <w:shd w:fill="F4F9F9" w:val="clear"/>
            <w:tcMar>
              <w:top w:type="dxa" w:w="90"/>
              <w:left w:type="dxa" w:w="160"/>
              <w:bottom w:type="dxa" w:w="90"/>
              <w:right w:type="dxa" w:w="160"/>
            </w:tcMar>
            <w:vAlign w:val="top"/>
          </w:tcPr>
          <w:p>
            <w:r>
              <w:rPr>
                <w:rFonts w:ascii="Arial" w:cs="Arial" w:eastAsia="Arial" w:hAnsi="Arial"/>
                <w:color w:val="2E3A3A"/>
                <w:sz w:val="20"/>
                <w:szCs w:val="20"/>
              </w:rPr>
              <w:t xml:space="preserve">Ongoing legal monitoring</w:t>
            </w:r>
          </w:p>
        </w:tc>
        <w:tc>
          <w:tcPr>
            <w:tcW w:type="dxa" w:w="2500"/>
            <w:tcBorders>
              <w:top w:val="single" w:color="AAAAAA" w:sz="4"/>
              <w:left w:val="single" w:color="AAAAAA" w:sz="4"/>
              <w:bottom w:val="single" w:color="AAAAAA" w:sz="4"/>
              <w:right w:val="single" w:color="AAAAAA" w:sz="4"/>
            </w:tcBorders>
            <w:shd w:fill="F4F9F9" w:val="clear"/>
            <w:tcMar>
              <w:top w:type="dxa" w:w="90"/>
              <w:left w:type="dxa" w:w="160"/>
              <w:bottom w:type="dxa" w:w="90"/>
              <w:right w:type="dxa" w:w="160"/>
            </w:tcMar>
            <w:vAlign w:val="top"/>
          </w:tcPr>
          <w:p>
            <w:r>
              <w:rPr>
                <w:rFonts w:ascii="Arial" w:cs="Arial" w:eastAsia="Arial" w:hAnsi="Arial"/>
                <w:color w:val="2E3A3A"/>
                <w:sz w:val="20"/>
                <w:szCs w:val="20"/>
              </w:rPr>
              <w:t xml:space="preserve">UK Government policy mandates</w:t>
            </w:r>
          </w:p>
        </w:tc>
        <w:tc>
          <w:tcPr>
            <w:tcW w:type="dxa" w:w="1100"/>
            <w:tcBorders>
              <w:top w:val="single" w:color="AAAAAA" w:sz="4"/>
              <w:left w:val="single" w:color="AAAAAA" w:sz="4"/>
              <w:bottom w:val="single" w:color="AAAAAA" w:sz="4"/>
              <w:right w:val="single" w:color="AAAAAA" w:sz="4"/>
            </w:tcBorders>
            <w:shd w:fill="F4F9F9" w:val="clear"/>
            <w:tcMar>
              <w:top w:type="dxa" w:w="90"/>
              <w:left w:type="dxa" w:w="160"/>
              <w:bottom w:type="dxa" w:w="90"/>
              <w:right w:type="dxa" w:w="160"/>
            </w:tcMar>
            <w:vAlign w:val="top"/>
          </w:tcPr>
          <w:p>
            <w:r>
              <w:rPr>
                <w:rFonts w:ascii="Arial" w:cs="Arial" w:eastAsia="Arial" w:hAnsi="Arial"/>
                <w:color w:val="2E3A3A"/>
                <w:sz w:val="20"/>
                <w:szCs w:val="20"/>
              </w:rPr>
              <w:t xml:space="preserve">High</w:t>
            </w:r>
          </w:p>
        </w:tc>
      </w:tr>
    </w:tbl>
    <w:p>
      <w:pPr>
        <w:spacing w:after="200" w:before="60" w:line="360"/>
        <w:jc w:val="center"/>
      </w:pPr>
      <w:r>
        <w:rPr>
          <w:rFonts w:ascii="Arial" w:cs="Arial" w:eastAsia="Arial" w:hAnsi="Arial"/>
          <w:i/>
          <w:iCs/>
          <w:color w:val="555555"/>
          <w:sz w:val="19"/>
          <w:szCs w:val="19"/>
        </w:rPr>
        <w:t xml:space="preserve">Table 4: Barriers and Facilitators Summary — CrustLoop Risk and Opportunity Matrix</w:t>
      </w:r>
    </w:p>
    <w:p>
      <w:r>
        <w:br w:type="page"/>
      </w:r>
    </w:p>
    <w:p>
      <w:pPr>
        <w:pStyle w:val="Heading1"/>
        <w:pageBreakBefore/>
        <w:shd w:fill="005F5F" w:val="clear"/>
        <w:spacing w:after="240" w:before="0" w:line="360"/>
      </w:pPr>
      <w:r>
        <w:rPr>
          <w:rFonts w:ascii="Arial" w:cs="Arial" w:eastAsia="Arial" w:hAnsi="Arial"/>
          <w:b/>
          <w:bCs/>
          <w:color w:val="FFFFFF"/>
          <w:sz w:val="32"/>
          <w:szCs w:val="32"/>
        </w:rPr>
        <w:t xml:space="preserve">5.  Conclusions and Recommendations</w:t>
      </w:r>
    </w:p>
    <w:p>
      <w:pPr>
        <w:spacing w:after="140" w:before="80" w:line="360"/>
        <w:jc w:val="both"/>
      </w:pPr>
      <w:r>
        <w:rPr>
          <w:rFonts w:ascii="Arial" w:cs="Arial" w:eastAsia="Arial" w:hAnsi="Arial"/>
          <w:color w:val="2E3A3A"/>
          <w:sz w:val="24"/>
          <w:szCs w:val="24"/>
        </w:rPr>
        <w:t xml:space="preserve">This business proposal has demonstrated that CrustLoop Consultancy represents a commercially credible, socially purposeful, and timely response to one of the UK food system's most persistent inefficiencies. By applying circular economy principles — specifically the Ellen MacArthur Foundation's (2021) biological cycle and industrial symbiosis frameworks, as operationalised in Stahel's (2016) performance economy model — to the specific challenge of surplus baked goods waste, CrustLoop creates measurable value for food businesses, diversion partners, and wider society simultaneously. The rigorous application of the 7Ps Marketing Mix (Kotler and Keller, 2016) and SWOT analysis (Hill and Westbrook, 1997) has identified a defensible market niche, a viable competitive positioning, and a scalable service architecture.</w:t>
      </w:r>
    </w:p>
    <w:p>
      <w:pPr>
        <w:spacing w:after="140" w:before="80" w:line="360"/>
        <w:jc w:val="both"/>
      </w:pPr>
      <w:r>
        <w:rPr>
          <w:rFonts w:ascii="Arial" w:cs="Arial" w:eastAsia="Arial" w:hAnsi="Arial"/>
          <w:color w:val="2E3A3A"/>
          <w:sz w:val="24"/>
          <w:szCs w:val="24"/>
        </w:rPr>
        <w:t xml:space="preserve">The barriers analysis reveals that supply chain inconsistency, impact measurement, and cultural resistance represent the most significant risks to successful implementation. However, each barrier is matched by structural facilitators — most notably the UK Food Waste Reduction Roadmap's mandatory reporting requirements, the proven success of analogous initiatives including Toast Ale, and the growing commercial incentives of ESG-driven procurement — that create durable demand for exactly the services CrustLoop proposes.</w:t>
      </w:r>
    </w:p>
    <w:p>
      <w:pPr>
        <w:spacing w:after="140" w:before="80" w:line="360"/>
        <w:jc w:val="both"/>
      </w:pPr>
      <w:r>
        <w:rPr>
          <w:rFonts w:ascii="Arial" w:cs="Arial" w:eastAsia="Arial" w:hAnsi="Arial"/>
          <w:color w:val="2E3A3A"/>
          <w:sz w:val="24"/>
          <w:szCs w:val="24"/>
        </w:rPr>
        <w:t xml:space="preserve">Three strategic recommendations emerge for future entrepreneurs seeking to build sustainable enterprises within circular food systems. First, regulatory alignment is both a commercial driver and a protective safeguard: designing a business that helps clients fulfil legislative obligations creates durable, recession-resilient demand (HM Government, 2021). Second, rigorous impact measurement must be prioritised from the earliest stage; in a sector vulnerable to greenwashing accusations (Bocken et al., 2016), independently verifiable data is the most powerful commercial and reputational asset available. Third, as Murray et al. (2017) argue, circular economy transformation in food systems cannot be achieved by individual firms in isolation — entrepreneurs who position themselves as connectors and facilitators of system-level change will generate disproportionate social and commercial returns in the long run.</w:t>
      </w:r>
    </w:p>
    <w:p>
      <w:r>
        <w:br w:type="page"/>
      </w:r>
    </w:p>
    <w:p>
      <w:pPr>
        <w:pStyle w:val="Heading1"/>
        <w:pageBreakBefore/>
        <w:shd w:fill="005F5F" w:val="clear"/>
        <w:spacing w:after="240" w:before="0" w:line="360"/>
      </w:pPr>
      <w:r>
        <w:rPr>
          <w:rFonts w:ascii="Arial" w:cs="Arial" w:eastAsia="Arial" w:hAnsi="Arial"/>
          <w:b/>
          <w:bCs/>
          <w:color w:val="FFFFFF"/>
          <w:sz w:val="32"/>
          <w:szCs w:val="32"/>
        </w:rPr>
        <w:t xml:space="preserve">References</w:t>
      </w:r>
    </w:p>
    <w:p>
      <w:pPr>
        <w:spacing w:after="60" w:before="60" w:line="360"/>
      </w:pPr>
      <w:r>
        <w:t xml:space="preserve"/>
      </w:r>
    </w:p>
    <w:p>
      <w:pPr>
        <w:spacing w:after="140" w:before="80" w:line="360"/>
        <w:jc w:val="both"/>
      </w:pPr>
      <w:r>
        <w:rPr>
          <w:rFonts w:ascii="Arial" w:cs="Arial" w:eastAsia="Arial" w:hAnsi="Arial"/>
          <w:color w:val="2E3A3A"/>
          <w:sz w:val="24"/>
          <w:szCs w:val="24"/>
        </w:rPr>
        <w:t xml:space="preserve">Anaerobic Digestion and Bioresources Association (ADBA) (2022) UK anaerobic digestion market report. London: ADBA.</w:t>
      </w:r>
    </w:p>
    <w:p>
      <w:pPr>
        <w:spacing w:after="60" w:before="60" w:line="360"/>
      </w:pPr>
      <w:r>
        <w:t xml:space="preserve"/>
      </w:r>
    </w:p>
    <w:p>
      <w:pPr>
        <w:spacing w:after="140" w:before="80" w:line="360"/>
        <w:jc w:val="both"/>
      </w:pPr>
      <w:r>
        <w:rPr>
          <w:rFonts w:ascii="Arial" w:cs="Arial" w:eastAsia="Arial" w:hAnsi="Arial"/>
          <w:color w:val="2E3A3A"/>
          <w:sz w:val="24"/>
          <w:szCs w:val="24"/>
        </w:rPr>
        <w:t xml:space="preserve">Bansal, P. and DesJardine, M.R. (2014) 'Business sustainability: It is about time', Strategic Organization, 12(1), pp. 70–78.</w:t>
      </w:r>
    </w:p>
    <w:p>
      <w:pPr>
        <w:spacing w:after="60" w:before="60" w:line="360"/>
      </w:pPr>
      <w:r>
        <w:t xml:space="preserve"/>
      </w:r>
    </w:p>
    <w:p>
      <w:pPr>
        <w:spacing w:after="140" w:before="80" w:line="360"/>
        <w:jc w:val="both"/>
      </w:pPr>
      <w:r>
        <w:rPr>
          <w:rFonts w:ascii="Arial" w:cs="Arial" w:eastAsia="Arial" w:hAnsi="Arial"/>
          <w:color w:val="2E3A3A"/>
          <w:sz w:val="24"/>
          <w:szCs w:val="24"/>
        </w:rPr>
        <w:t xml:space="preserve">Bocken, N.M.P., de Pauw, I., Bakker, C. and van der Grinten, B. (2016) 'Product design and business model strategies for a circular economy', Journal of Industrial and Production Engineering, 33(5), pp. 308–320.</w:t>
      </w:r>
    </w:p>
    <w:p>
      <w:pPr>
        <w:spacing w:after="60" w:before="60" w:line="360"/>
      </w:pPr>
      <w:r>
        <w:t xml:space="preserve"/>
      </w:r>
    </w:p>
    <w:p>
      <w:pPr>
        <w:spacing w:after="140" w:before="80" w:line="360"/>
        <w:jc w:val="both"/>
      </w:pPr>
      <w:r>
        <w:rPr>
          <w:rFonts w:ascii="Arial" w:cs="Arial" w:eastAsia="Arial" w:hAnsi="Arial"/>
          <w:color w:val="2E3A3A"/>
          <w:sz w:val="24"/>
          <w:szCs w:val="24"/>
        </w:rPr>
        <w:t xml:space="preserve">Department for Environment, Food and Rural Affairs (DEFRA) (2021) Food waste in England: Annual statistics. London: HMSO.</w:t>
      </w:r>
    </w:p>
    <w:p>
      <w:pPr>
        <w:spacing w:after="60" w:before="60" w:line="360"/>
      </w:pPr>
      <w:r>
        <w:t xml:space="preserve"/>
      </w:r>
    </w:p>
    <w:p>
      <w:pPr>
        <w:spacing w:after="140" w:before="80" w:line="360"/>
        <w:jc w:val="both"/>
      </w:pPr>
      <w:r>
        <w:rPr>
          <w:rFonts w:ascii="Arial" w:cs="Arial" w:eastAsia="Arial" w:hAnsi="Arial"/>
          <w:color w:val="2E3A3A"/>
          <w:sz w:val="24"/>
          <w:szCs w:val="24"/>
        </w:rPr>
        <w:t xml:space="preserve">Ellen MacArthur Foundation (2021) Completing the picture: How the circular economy tackles climate change. Cowes: Ellen MacArthur Foundation. Available at: https://ellenmacarthurfoundation.org (Accessed: 20 May 2026).</w:t>
      </w:r>
    </w:p>
    <w:p>
      <w:pPr>
        <w:spacing w:after="60" w:before="60" w:line="360"/>
      </w:pPr>
      <w:r>
        <w:t xml:space="preserve"/>
      </w:r>
    </w:p>
    <w:p>
      <w:pPr>
        <w:spacing w:after="140" w:before="80" w:line="360"/>
        <w:jc w:val="both"/>
      </w:pPr>
      <w:r>
        <w:rPr>
          <w:rFonts w:ascii="Arial" w:cs="Arial" w:eastAsia="Arial" w:hAnsi="Arial"/>
          <w:color w:val="2E3A3A"/>
          <w:sz w:val="24"/>
          <w:szCs w:val="24"/>
        </w:rPr>
        <w:t xml:space="preserve">European Commission (2021) Circular economy action plan: For a cleaner and more competitive Europe. Brussels: European Commission. Available at: https://circulareconomy.europa.eu (Accessed: 20 May 2026).</w:t>
      </w:r>
    </w:p>
    <w:p>
      <w:pPr>
        <w:spacing w:after="60" w:before="60" w:line="360"/>
      </w:pPr>
      <w:r>
        <w:t xml:space="preserve"/>
      </w:r>
    </w:p>
    <w:p>
      <w:pPr>
        <w:spacing w:after="140" w:before="80" w:line="360"/>
        <w:jc w:val="both"/>
      </w:pPr>
      <w:r>
        <w:rPr>
          <w:rFonts w:ascii="Arial" w:cs="Arial" w:eastAsia="Arial" w:hAnsi="Arial"/>
          <w:color w:val="2E3A3A"/>
          <w:sz w:val="24"/>
          <w:szCs w:val="24"/>
        </w:rPr>
        <w:t xml:space="preserve">Feedback (2021) Farmers' report: The scale of food waste on UK farms. London: Feedback.</w:t>
      </w:r>
    </w:p>
    <w:p>
      <w:pPr>
        <w:spacing w:after="60" w:before="60" w:line="360"/>
      </w:pPr>
      <w:r>
        <w:t xml:space="preserve"/>
      </w:r>
    </w:p>
    <w:p>
      <w:pPr>
        <w:spacing w:after="140" w:before="80" w:line="360"/>
        <w:jc w:val="both"/>
      </w:pPr>
      <w:r>
        <w:rPr>
          <w:rFonts w:ascii="Arial" w:cs="Arial" w:eastAsia="Arial" w:hAnsi="Arial"/>
          <w:color w:val="2E3A3A"/>
          <w:sz w:val="24"/>
          <w:szCs w:val="24"/>
        </w:rPr>
        <w:t xml:space="preserve">Food and Agriculture Organisation of the United Nations (FAO) (2019) The state of food and agriculture: Moving forward on food loss and waste reduction. Rome: FAO.</w:t>
      </w:r>
    </w:p>
    <w:p>
      <w:pPr>
        <w:spacing w:after="60" w:before="60" w:line="360"/>
      </w:pPr>
      <w:r>
        <w:t xml:space="preserve"/>
      </w:r>
    </w:p>
    <w:p>
      <w:pPr>
        <w:spacing w:after="140" w:before="80" w:line="360"/>
        <w:jc w:val="both"/>
      </w:pPr>
      <w:r>
        <w:rPr>
          <w:rFonts w:ascii="Arial" w:cs="Arial" w:eastAsia="Arial" w:hAnsi="Arial"/>
          <w:color w:val="2E3A3A"/>
          <w:sz w:val="24"/>
          <w:szCs w:val="24"/>
        </w:rPr>
        <w:t xml:space="preserve">Foresight (2011) The future of food and farming: Challenges and choices for global sustainability. London: Government Office for Science.</w:t>
      </w:r>
    </w:p>
    <w:p>
      <w:pPr>
        <w:spacing w:after="60" w:before="60" w:line="360"/>
      </w:pPr>
      <w:r>
        <w:t xml:space="preserve"/>
      </w:r>
    </w:p>
    <w:p>
      <w:pPr>
        <w:spacing w:after="140" w:before="80" w:line="360"/>
        <w:jc w:val="both"/>
      </w:pPr>
      <w:r>
        <w:rPr>
          <w:rFonts w:ascii="Arial" w:cs="Arial" w:eastAsia="Arial" w:hAnsi="Arial"/>
          <w:color w:val="2E3A3A"/>
          <w:sz w:val="24"/>
          <w:szCs w:val="24"/>
        </w:rPr>
        <w:t xml:space="preserve">Geissdoerfer, M., Savaget, P., Bocken, N.M.P. and Hultink, E.J. (2017) 'The circular economy: A new sustainability paradigm?', Journal of Cleaner Production, 143, pp. 757–768.</w:t>
      </w:r>
    </w:p>
    <w:p>
      <w:pPr>
        <w:spacing w:after="60" w:before="60" w:line="360"/>
      </w:pPr>
      <w:r>
        <w:t xml:space="preserve"/>
      </w:r>
    </w:p>
    <w:p>
      <w:pPr>
        <w:spacing w:after="140" w:before="80" w:line="360"/>
        <w:jc w:val="both"/>
      </w:pPr>
      <w:r>
        <w:rPr>
          <w:rFonts w:ascii="Arial" w:cs="Arial" w:eastAsia="Arial" w:hAnsi="Arial"/>
          <w:color w:val="2E3A3A"/>
          <w:sz w:val="24"/>
          <w:szCs w:val="24"/>
        </w:rPr>
        <w:t xml:space="preserve">Godfray, H.C.J., Beddington, J.R., Crute, I.R., Haddad, L., Lawrence, D., Muir, J.F., Pretty, J., Robinson, S., Thomas, S.M. and Toulmin, C. (2010) 'Food security: The challenge of feeding 9 billion people', Science, 327(5967), pp. 812–818.</w:t>
      </w:r>
    </w:p>
    <w:p>
      <w:pPr>
        <w:spacing w:after="60" w:before="60" w:line="360"/>
      </w:pPr>
      <w:r>
        <w:t xml:space="preserve"/>
      </w:r>
    </w:p>
    <w:p>
      <w:pPr>
        <w:spacing w:after="140" w:before="80" w:line="360"/>
        <w:jc w:val="both"/>
      </w:pPr>
      <w:r>
        <w:rPr>
          <w:rFonts w:ascii="Arial" w:cs="Arial" w:eastAsia="Arial" w:hAnsi="Arial"/>
          <w:color w:val="2E3A3A"/>
          <w:sz w:val="24"/>
          <w:szCs w:val="24"/>
        </w:rPr>
        <w:t xml:space="preserve">Hill, T. and Westbrook, R. (1997) 'SWOT analysis: It is time for a product recall', Long Range Planning, 30(1), pp. 46–52.</w:t>
      </w:r>
    </w:p>
    <w:p>
      <w:pPr>
        <w:spacing w:after="60" w:before="60" w:line="360"/>
      </w:pPr>
      <w:r>
        <w:t xml:space="preserve"/>
      </w:r>
    </w:p>
    <w:p>
      <w:pPr>
        <w:spacing w:after="140" w:before="80" w:line="360"/>
        <w:jc w:val="both"/>
      </w:pPr>
      <w:r>
        <w:rPr>
          <w:rFonts w:ascii="Arial" w:cs="Arial" w:eastAsia="Arial" w:hAnsi="Arial"/>
          <w:color w:val="2E3A3A"/>
          <w:sz w:val="24"/>
          <w:szCs w:val="24"/>
        </w:rPr>
        <w:t xml:space="preserve">HM Government (2021) Food waste reduction roadmap: Progress report 2021. London: HMSO.</w:t>
      </w:r>
    </w:p>
    <w:p>
      <w:pPr>
        <w:spacing w:after="60" w:before="60" w:line="360"/>
      </w:pPr>
      <w:r>
        <w:t xml:space="preserve"/>
      </w:r>
    </w:p>
    <w:p>
      <w:pPr>
        <w:spacing w:after="140" w:before="80" w:line="360"/>
        <w:jc w:val="both"/>
      </w:pPr>
      <w:r>
        <w:rPr>
          <w:rFonts w:ascii="Arial" w:cs="Arial" w:eastAsia="Arial" w:hAnsi="Arial"/>
          <w:color w:val="2E3A3A"/>
          <w:sz w:val="24"/>
          <w:szCs w:val="24"/>
        </w:rPr>
        <w:t xml:space="preserve">Intergovernmental Panel on Climate Change (IPCC) (2021) Climate change 2021: The physical science basis. Cambridge: Cambridge University Press.</w:t>
      </w:r>
    </w:p>
    <w:p>
      <w:pPr>
        <w:spacing w:after="60" w:before="60" w:line="360"/>
      </w:pPr>
      <w:r>
        <w:t xml:space="preserve"/>
      </w:r>
    </w:p>
    <w:p>
      <w:pPr>
        <w:spacing w:after="140" w:before="80" w:line="360"/>
        <w:jc w:val="both"/>
      </w:pPr>
      <w:r>
        <w:rPr>
          <w:rFonts w:ascii="Arial" w:cs="Arial" w:eastAsia="Arial" w:hAnsi="Arial"/>
          <w:color w:val="2E3A3A"/>
          <w:sz w:val="24"/>
          <w:szCs w:val="24"/>
        </w:rPr>
        <w:t xml:space="preserve">Kirchherr, J., Reike, D. and Hekkert, M. (2017) 'Conceptualising the circular economy: An analysis of 114 definitions', Resources, Conservation and Recycling, 127, pp. 221–232.</w:t>
      </w:r>
    </w:p>
    <w:p>
      <w:pPr>
        <w:spacing w:after="60" w:before="60" w:line="360"/>
      </w:pPr>
      <w:r>
        <w:t xml:space="preserve"/>
      </w:r>
    </w:p>
    <w:p>
      <w:pPr>
        <w:spacing w:after="140" w:before="80" w:line="360"/>
        <w:jc w:val="both"/>
      </w:pPr>
      <w:r>
        <w:rPr>
          <w:rFonts w:ascii="Arial" w:cs="Arial" w:eastAsia="Arial" w:hAnsi="Arial"/>
          <w:color w:val="2E3A3A"/>
          <w:sz w:val="24"/>
          <w:szCs w:val="24"/>
        </w:rPr>
        <w:t xml:space="preserve">Korhonen, J., Honkasalo, A. and Seppälä, J. (2018) 'Circular economy: The concept and its limitations', Ecological Economics, 143, pp. 37–46.</w:t>
      </w:r>
    </w:p>
    <w:p>
      <w:pPr>
        <w:spacing w:after="60" w:before="60" w:line="360"/>
      </w:pPr>
      <w:r>
        <w:t xml:space="preserve"/>
      </w:r>
    </w:p>
    <w:p>
      <w:pPr>
        <w:spacing w:after="140" w:before="80" w:line="360"/>
        <w:jc w:val="both"/>
      </w:pPr>
      <w:r>
        <w:rPr>
          <w:rFonts w:ascii="Arial" w:cs="Arial" w:eastAsia="Arial" w:hAnsi="Arial"/>
          <w:color w:val="2E3A3A"/>
          <w:sz w:val="24"/>
          <w:szCs w:val="24"/>
        </w:rPr>
        <w:t xml:space="preserve">Kotler, P. and Keller, K.L. (2016) Marketing management. 15th edn. Harlow: Pearson Education.</w:t>
      </w:r>
    </w:p>
    <w:p>
      <w:pPr>
        <w:spacing w:after="60" w:before="60" w:line="360"/>
      </w:pPr>
      <w:r>
        <w:t xml:space="preserve"/>
      </w:r>
    </w:p>
    <w:p>
      <w:pPr>
        <w:spacing w:after="140" w:before="80" w:line="360"/>
        <w:jc w:val="both"/>
      </w:pPr>
      <w:r>
        <w:rPr>
          <w:rFonts w:ascii="Arial" w:cs="Arial" w:eastAsia="Arial" w:hAnsi="Arial"/>
          <w:color w:val="2E3A3A"/>
          <w:sz w:val="24"/>
          <w:szCs w:val="24"/>
        </w:rPr>
        <w:t xml:space="preserve">Lacy, P. and Rutqvist, J. (2015) Waste to wealth: The circular economy advantage. Basingstoke: Palgrave Macmillan.</w:t>
      </w:r>
    </w:p>
    <w:p>
      <w:pPr>
        <w:spacing w:after="60" w:before="60" w:line="360"/>
      </w:pPr>
      <w:r>
        <w:t xml:space="preserve"/>
      </w:r>
    </w:p>
    <w:p>
      <w:pPr>
        <w:spacing w:after="140" w:before="80" w:line="360"/>
        <w:jc w:val="both"/>
      </w:pPr>
      <w:r>
        <w:rPr>
          <w:rFonts w:ascii="Arial" w:cs="Arial" w:eastAsia="Arial" w:hAnsi="Arial"/>
          <w:color w:val="2E3A3A"/>
          <w:sz w:val="24"/>
          <w:szCs w:val="24"/>
        </w:rPr>
        <w:t xml:space="preserve">Murray, A., Skene, K. and Haynes, K. (2017) 'The circular economy: An interdisciplinary exploration of the concept and application in a global context', Journal of Business Ethics, 140(3), pp. 369–380.</w:t>
      </w:r>
    </w:p>
    <w:p>
      <w:pPr>
        <w:spacing w:after="60" w:before="60" w:line="360"/>
      </w:pPr>
      <w:r>
        <w:t xml:space="preserve"/>
      </w:r>
    </w:p>
    <w:p>
      <w:pPr>
        <w:spacing w:after="140" w:before="80" w:line="360"/>
        <w:jc w:val="both"/>
      </w:pPr>
      <w:r>
        <w:rPr>
          <w:rFonts w:ascii="Arial" w:cs="Arial" w:eastAsia="Arial" w:hAnsi="Arial"/>
          <w:color w:val="2E3A3A"/>
          <w:sz w:val="24"/>
          <w:szCs w:val="24"/>
        </w:rPr>
        <w:t xml:space="preserve">Papargyropoulou, E., Lozano, R., Steinberger, J.K., Wright, N. and Ujang, Z. (2014) 'The food waste hierarchy as a framework for the management of food surplus and food waste', Journal of Cleaner Production, 76, pp. 106–115.</w:t>
      </w:r>
    </w:p>
    <w:p>
      <w:pPr>
        <w:spacing w:after="60" w:before="60" w:line="360"/>
      </w:pPr>
      <w:r>
        <w:t xml:space="preserve"/>
      </w:r>
    </w:p>
    <w:p>
      <w:pPr>
        <w:spacing w:after="140" w:before="80" w:line="360"/>
        <w:jc w:val="both"/>
      </w:pPr>
      <w:r>
        <w:rPr>
          <w:rFonts w:ascii="Arial" w:cs="Arial" w:eastAsia="Arial" w:hAnsi="Arial"/>
          <w:color w:val="2E3A3A"/>
          <w:sz w:val="24"/>
          <w:szCs w:val="24"/>
        </w:rPr>
        <w:t xml:space="preserve">Porter, M.E. (2008) Competitive advantage: Creating and sustaining superior performance. New York: Free Press.</w:t>
      </w:r>
    </w:p>
    <w:p>
      <w:pPr>
        <w:spacing w:after="60" w:before="60" w:line="360"/>
      </w:pPr>
      <w:r>
        <w:t xml:space="preserve"/>
      </w:r>
    </w:p>
    <w:p>
      <w:pPr>
        <w:spacing w:after="140" w:before="80" w:line="360"/>
        <w:jc w:val="both"/>
      </w:pPr>
      <w:r>
        <w:rPr>
          <w:rFonts w:ascii="Arial" w:cs="Arial" w:eastAsia="Arial" w:hAnsi="Arial"/>
          <w:color w:val="2E3A3A"/>
          <w:sz w:val="24"/>
          <w:szCs w:val="24"/>
        </w:rPr>
        <w:t xml:space="preserve">Silvennoinen, K., Korhonen, V., Katajajuuri, J.M. and Reinikainen, A. (2015) 'Reasons behind food waste in Finnish households', British Food Journal, 117(1), pp. 204–213.</w:t>
      </w:r>
    </w:p>
    <w:p>
      <w:pPr>
        <w:spacing w:after="60" w:before="60" w:line="360"/>
      </w:pPr>
      <w:r>
        <w:t xml:space="preserve"/>
      </w:r>
    </w:p>
    <w:p>
      <w:pPr>
        <w:spacing w:after="140" w:before="80" w:line="360"/>
        <w:jc w:val="both"/>
      </w:pPr>
      <w:r>
        <w:rPr>
          <w:rFonts w:ascii="Arial" w:cs="Arial" w:eastAsia="Arial" w:hAnsi="Arial"/>
          <w:color w:val="2E3A3A"/>
          <w:sz w:val="24"/>
          <w:szCs w:val="24"/>
        </w:rPr>
        <w:t xml:space="preserve">Stahel, W.R. (2016) 'The circular economy', Nature, 531, pp. 435–438.</w:t>
      </w:r>
    </w:p>
    <w:p>
      <w:pPr>
        <w:spacing w:after="60" w:before="60" w:line="360"/>
      </w:pPr>
      <w:r>
        <w:t xml:space="preserve"/>
      </w:r>
    </w:p>
    <w:p>
      <w:pPr>
        <w:spacing w:after="140" w:before="80" w:line="360"/>
        <w:jc w:val="both"/>
      </w:pPr>
      <w:r>
        <w:rPr>
          <w:rFonts w:ascii="Arial" w:cs="Arial" w:eastAsia="Arial" w:hAnsi="Arial"/>
          <w:color w:val="2E3A3A"/>
          <w:sz w:val="24"/>
          <w:szCs w:val="24"/>
        </w:rPr>
        <w:t xml:space="preserve">Steffen, W., Richardson, K., Rockstrom, J., Cornell, S.E., Fetzer, I., Bennett, E.M., Biggs, R., Carpenter, S.R., de Vries, W., de Wit, C.A., Folke, C., Gerten, D., Heinke, J., Mace, G.M., Persson, L.M., Ramanathan, V., Reyers, B. and Sorlin, S. (2015) 'Planetary boundaries: Guiding human development on a changing planet', Science, 347(6223), p. 1259855.</w:t>
      </w:r>
    </w:p>
    <w:p>
      <w:pPr>
        <w:spacing w:after="60" w:before="60" w:line="360"/>
      </w:pPr>
      <w:r>
        <w:t xml:space="preserve"/>
      </w:r>
    </w:p>
    <w:p>
      <w:pPr>
        <w:spacing w:after="140" w:before="80" w:line="360"/>
        <w:jc w:val="both"/>
      </w:pPr>
      <w:r>
        <w:rPr>
          <w:rFonts w:ascii="Arial" w:cs="Arial" w:eastAsia="Arial" w:hAnsi="Arial"/>
          <w:color w:val="2E3A3A"/>
          <w:sz w:val="24"/>
          <w:szCs w:val="24"/>
        </w:rPr>
        <w:t xml:space="preserve">Stuart, T. (2009) Waste: Uncovering the global food scandal. London: Penguin Books.</w:t>
      </w:r>
    </w:p>
    <w:p>
      <w:pPr>
        <w:spacing w:after="60" w:before="60" w:line="360"/>
      </w:pPr>
      <w:r>
        <w:t xml:space="preserve"/>
      </w:r>
    </w:p>
    <w:p>
      <w:pPr>
        <w:spacing w:after="140" w:before="80" w:line="360"/>
        <w:jc w:val="both"/>
      </w:pPr>
      <w:r>
        <w:rPr>
          <w:rFonts w:ascii="Arial" w:cs="Arial" w:eastAsia="Arial" w:hAnsi="Arial"/>
          <w:color w:val="2E3A3A"/>
          <w:sz w:val="24"/>
          <w:szCs w:val="24"/>
        </w:rPr>
        <w:t xml:space="preserve">Toast Ale (2023) Impact report 2023. London: Toast Ale. Available at: https://www.toastale.com (Accessed: 20 May 2026).</w:t>
      </w:r>
    </w:p>
    <w:p>
      <w:pPr>
        <w:spacing w:after="60" w:before="60" w:line="360"/>
      </w:pPr>
      <w:r>
        <w:t xml:space="preserve"/>
      </w:r>
    </w:p>
    <w:p>
      <w:pPr>
        <w:spacing w:after="140" w:before="80" w:line="360"/>
        <w:jc w:val="both"/>
      </w:pPr>
      <w:r>
        <w:rPr>
          <w:rFonts w:ascii="Arial" w:cs="Arial" w:eastAsia="Arial" w:hAnsi="Arial"/>
          <w:color w:val="2E3A3A"/>
          <w:sz w:val="24"/>
          <w:szCs w:val="24"/>
        </w:rPr>
        <w:t xml:space="preserve">Waste and Resources Action Programme (WRAP) (2020) Food surplus and waste in the UK: Key facts. Banbury: WRAP.</w:t>
      </w:r>
    </w:p>
    <w:p>
      <w:pPr>
        <w:spacing w:after="60" w:before="60" w:line="360"/>
      </w:pPr>
      <w:r>
        <w:t xml:space="preserve"/>
      </w:r>
    </w:p>
    <w:p>
      <w:pPr>
        <w:spacing w:after="140" w:before="80" w:line="360"/>
        <w:jc w:val="both"/>
      </w:pPr>
      <w:r>
        <w:rPr>
          <w:rFonts w:ascii="Arial" w:cs="Arial" w:eastAsia="Arial" w:hAnsi="Arial"/>
          <w:color w:val="2E3A3A"/>
          <w:sz w:val="24"/>
          <w:szCs w:val="24"/>
        </w:rPr>
        <w:t xml:space="preserve">Waste and Resources Action Programme (WRAP) (2022) Courtauld commitment 2030 and food waste reduction roadmap: Annual progress report. Banbury: WRAP.</w:t>
      </w:r>
    </w:p>
    <w:p>
      <w:pPr>
        <w:spacing w:after="60" w:before="60" w:line="360"/>
      </w:pPr>
      <w:r>
        <w:t xml:space="preserve"/>
      </w:r>
    </w:p>
    <w:p>
      <w:pPr>
        <w:spacing w:after="140" w:before="80" w:line="360"/>
        <w:jc w:val="both"/>
      </w:pPr>
      <w:r>
        <w:rPr>
          <w:rFonts w:ascii="Arial" w:cs="Arial" w:eastAsia="Arial" w:hAnsi="Arial"/>
          <w:color w:val="2E3A3A"/>
          <w:sz w:val="24"/>
          <w:szCs w:val="24"/>
        </w:rPr>
        <w:t xml:space="preserve">Zero Waste Scotland (2022) Anaerobic digestion and food waste: An evidence review. Stirling: Zero Waste Scotland.</w:t>
      </w:r>
    </w:p>
    <w:p>
      <w:pPr>
        <w:spacing w:after="60" w:before="60" w:line="360"/>
      </w:pPr>
      <w:r>
        <w:t xml:space="preserve"/>
      </w:r>
    </w:p>
    <w:p>
      <w:pPr>
        <w:pStyle w:val="Heading1"/>
        <w:pageBreakBefore/>
        <w:shd w:fill="005F5F" w:val="clear"/>
        <w:spacing w:after="240" w:before="0" w:line="360"/>
      </w:pPr>
      <w:r>
        <w:rPr>
          <w:rFonts w:ascii="Arial" w:cs="Arial" w:eastAsia="Arial" w:hAnsi="Arial"/>
          <w:b/>
          <w:bCs/>
          <w:color w:val="FFFFFF"/>
          <w:sz w:val="32"/>
          <w:szCs w:val="32"/>
        </w:rPr>
        <w:t xml:space="preserve">Appendices</w:t>
      </w:r>
    </w:p>
    <w:p>
      <w:pPr>
        <w:pStyle w:val="Heading2"/>
        <w:pBdr>
          <w:bottom w:val="single" w:color="009999" w:sz="4" w:space="2"/>
        </w:pBdr>
        <w:spacing w:after="120" w:before="320" w:line="360"/>
      </w:pPr>
      <w:r>
        <w:rPr>
          <w:rFonts w:ascii="Arial" w:cs="Arial" w:eastAsia="Arial" w:hAnsi="Arial"/>
          <w:b/>
          <w:bCs/>
          <w:color w:val="005F5F"/>
          <w:sz w:val="26"/>
          <w:szCs w:val="26"/>
        </w:rPr>
        <w:t xml:space="preserve">Appendix A: CrustLoop Circular Economy Pathway Mapping</w:t>
      </w:r>
    </w:p>
    <w:p>
      <w:pPr>
        <w:spacing w:after="140" w:before="80" w:line="360"/>
        <w:jc w:val="both"/>
      </w:pPr>
      <w:r>
        <w:rPr>
          <w:rFonts w:ascii="Arial" w:cs="Arial" w:eastAsia="Arial" w:hAnsi="Arial"/>
          <w:color w:val="2E3A3A"/>
          <w:sz w:val="24"/>
          <w:szCs w:val="24"/>
        </w:rPr>
        <w:t xml:space="preserve">CrustLoop's four primary diversion pathways map directly onto the biological cycle of the Ellen MacArthur Foundation's (2021) butterfly diagram: craft brewing (material substitution), animal feed (biological cycle), anaerobic digestion (nutrient and energy recovery), and composting (soil regeneration). This ensures that surplus bread's embedded biological value is captured and returned to productive use rather than dissipated in landfill.</w:t>
      </w:r>
    </w:p>
    <w:p>
      <w:pPr>
        <w:pStyle w:val="Heading2"/>
        <w:pBdr>
          <w:bottom w:val="single" w:color="009999" w:sz="4" w:space="2"/>
        </w:pBdr>
        <w:spacing w:after="120" w:before="320" w:line="360"/>
      </w:pPr>
      <w:r>
        <w:rPr>
          <w:rFonts w:ascii="Arial" w:cs="Arial" w:eastAsia="Arial" w:hAnsi="Arial"/>
          <w:b/>
          <w:bCs/>
          <w:color w:val="005F5F"/>
          <w:sz w:val="26"/>
          <w:szCs w:val="26"/>
        </w:rPr>
        <w:t xml:space="preserve">Appendix B: CrustLoop Indicative Revenue Model (Years 1–3)</w:t>
      </w:r>
    </w:p>
    <w:p>
      <w:pPr>
        <w:spacing w:after="60" w:before="60" w:line="3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000"/>
      </w:tblGrid>
      <w:tr>
        <w:trPr>
          <w:tblHeader/>
        </w:trPr>
        <w:tc>
          <w:tcPr>
            <w:tcW w:type="dxa" w:w="3200"/>
            <w:tcBorders>
              <w:top w:val="single" w:color="005F5F" w:sz="8"/>
              <w:left w:val="single" w:color="005F5F" w:sz="8"/>
              <w:bottom w:val="single" w:color="005F5F" w:sz="8"/>
              <w:right w:val="single" w:color="005F5F" w:sz="8"/>
            </w:tcBorders>
            <w:shd w:fill="005F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Revenue Stream</w:t>
            </w:r>
          </w:p>
        </w:tc>
        <w:tc>
          <w:tcPr>
            <w:tcW w:type="dxa" w:w="2000"/>
            <w:tcBorders>
              <w:top w:val="single" w:color="005F5F" w:sz="8"/>
              <w:left w:val="single" w:color="005F5F" w:sz="8"/>
              <w:bottom w:val="single" w:color="005F5F" w:sz="8"/>
              <w:right w:val="single" w:color="005F5F" w:sz="8"/>
            </w:tcBorders>
            <w:shd w:fill="005F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Year 1 (Pilot)</w:t>
            </w:r>
          </w:p>
        </w:tc>
        <w:tc>
          <w:tcPr>
            <w:tcW w:type="dxa" w:w="2000"/>
            <w:tcBorders>
              <w:top w:val="single" w:color="005F5F" w:sz="8"/>
              <w:left w:val="single" w:color="005F5F" w:sz="8"/>
              <w:bottom w:val="single" w:color="005F5F" w:sz="8"/>
              <w:right w:val="single" w:color="005F5F" w:sz="8"/>
            </w:tcBorders>
            <w:shd w:fill="005F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Year 2 (Growth)</w:t>
            </w:r>
          </w:p>
        </w:tc>
        <w:tc>
          <w:tcPr>
            <w:tcW w:type="dxa" w:w="2000"/>
            <w:tcBorders>
              <w:top w:val="single" w:color="005F5F" w:sz="8"/>
              <w:left w:val="single" w:color="005F5F" w:sz="8"/>
              <w:bottom w:val="single" w:color="005F5F" w:sz="8"/>
              <w:right w:val="single" w:color="005F5F" w:sz="8"/>
            </w:tcBorders>
            <w:shd w:fill="005F5F"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Year 3 (Scale)</w:t>
            </w:r>
          </w:p>
        </w:tc>
      </w:tr>
      <w:tr>
        <w:tc>
          <w:tcPr>
            <w:tcW w:type="dxa" w:w="3200"/>
            <w:tcBorders>
              <w:top w:val="single" w:color="AAAAAA" w:sz="4"/>
              <w:left w:val="single" w:color="AAAAAA" w:sz="4"/>
              <w:bottom w:val="single" w:color="AAAAAA" w:sz="4"/>
              <w:right w:val="single" w:color="AAAAAA" w:sz="4"/>
            </w:tcBorders>
            <w:shd w:fill="F4F9F9" w:val="clear"/>
            <w:tcMar>
              <w:top w:type="dxa" w:w="90"/>
              <w:left w:type="dxa" w:w="160"/>
              <w:bottom w:type="dxa" w:w="90"/>
              <w:right w:type="dxa" w:w="160"/>
            </w:tcMar>
            <w:vAlign w:val="top"/>
          </w:tcPr>
          <w:p>
            <w:r>
              <w:rPr>
                <w:rFonts w:ascii="Arial" w:cs="Arial" w:eastAsia="Arial" w:hAnsi="Arial"/>
                <w:color w:val="2E3A3A"/>
                <w:sz w:val="20"/>
                <w:szCs w:val="20"/>
              </w:rPr>
              <w:t xml:space="preserve">Diagnostic Audits</w:t>
            </w:r>
          </w:p>
        </w:tc>
        <w:tc>
          <w:tcPr>
            <w:tcW w:type="dxa" w:w="2000"/>
            <w:tcBorders>
              <w:top w:val="single" w:color="AAAAAA" w:sz="4"/>
              <w:left w:val="single" w:color="AAAAAA" w:sz="4"/>
              <w:bottom w:val="single" w:color="AAAAAA" w:sz="4"/>
              <w:right w:val="single" w:color="AAAAAA" w:sz="4"/>
            </w:tcBorders>
            <w:shd w:fill="F4F9F9" w:val="clear"/>
            <w:tcMar>
              <w:top w:type="dxa" w:w="90"/>
              <w:left w:type="dxa" w:w="160"/>
              <w:bottom w:type="dxa" w:w="90"/>
              <w:right w:type="dxa" w:w="160"/>
            </w:tcMar>
            <w:vAlign w:val="top"/>
          </w:tcPr>
          <w:p>
            <w:r>
              <w:rPr>
                <w:rFonts w:ascii="Arial" w:cs="Arial" w:eastAsia="Arial" w:hAnsi="Arial"/>
                <w:color w:val="2E3A3A"/>
                <w:sz w:val="20"/>
                <w:szCs w:val="20"/>
              </w:rPr>
              <w:t xml:space="preserve">3 clients</w:t>
            </w:r>
          </w:p>
        </w:tc>
        <w:tc>
          <w:tcPr>
            <w:tcW w:type="dxa" w:w="2000"/>
            <w:tcBorders>
              <w:top w:val="single" w:color="AAAAAA" w:sz="4"/>
              <w:left w:val="single" w:color="AAAAAA" w:sz="4"/>
              <w:bottom w:val="single" w:color="AAAAAA" w:sz="4"/>
              <w:right w:val="single" w:color="AAAAAA" w:sz="4"/>
            </w:tcBorders>
            <w:shd w:fill="F4F9F9" w:val="clear"/>
            <w:tcMar>
              <w:top w:type="dxa" w:w="90"/>
              <w:left w:type="dxa" w:w="160"/>
              <w:bottom w:type="dxa" w:w="90"/>
              <w:right w:type="dxa" w:w="160"/>
            </w:tcMar>
            <w:vAlign w:val="top"/>
          </w:tcPr>
          <w:p>
            <w:r>
              <w:rPr>
                <w:rFonts w:ascii="Arial" w:cs="Arial" w:eastAsia="Arial" w:hAnsi="Arial"/>
                <w:color w:val="2E3A3A"/>
                <w:sz w:val="20"/>
                <w:szCs w:val="20"/>
              </w:rPr>
              <w:t xml:space="preserve">10 clients</w:t>
            </w:r>
          </w:p>
        </w:tc>
        <w:tc>
          <w:tcPr>
            <w:tcW w:type="dxa" w:w="2000"/>
            <w:tcBorders>
              <w:top w:val="single" w:color="AAAAAA" w:sz="4"/>
              <w:left w:val="single" w:color="AAAAAA" w:sz="4"/>
              <w:bottom w:val="single" w:color="AAAAAA" w:sz="4"/>
              <w:right w:val="single" w:color="AAAAAA" w:sz="4"/>
            </w:tcBorders>
            <w:shd w:fill="F4F9F9" w:val="clear"/>
            <w:tcMar>
              <w:top w:type="dxa" w:w="90"/>
              <w:left w:type="dxa" w:w="160"/>
              <w:bottom w:type="dxa" w:w="90"/>
              <w:right w:type="dxa" w:w="160"/>
            </w:tcMar>
            <w:vAlign w:val="top"/>
          </w:tcPr>
          <w:p>
            <w:r>
              <w:rPr>
                <w:rFonts w:ascii="Arial" w:cs="Arial" w:eastAsia="Arial" w:hAnsi="Arial"/>
                <w:color w:val="2E3A3A"/>
                <w:sz w:val="20"/>
                <w:szCs w:val="20"/>
              </w:rPr>
              <w:t xml:space="preserve">20+ clients</w:t>
            </w:r>
          </w:p>
        </w:tc>
      </w:tr>
      <w:tr>
        <w:tc>
          <w:tcPr>
            <w:tcW w:type="dxa" w:w="3200"/>
            <w:tcBorders>
              <w:top w:val="single" w:color="AAAAAA" w:sz="4"/>
              <w:left w:val="single" w:color="AAAAAA" w:sz="4"/>
              <w:bottom w:val="single" w:color="AAAAAA" w:sz="4"/>
              <w:right w:val="single" w:color="AAAAAA" w:sz="4"/>
            </w:tcBorders>
            <w:shd w:fill="FFFFFF" w:val="clear"/>
            <w:tcMar>
              <w:top w:type="dxa" w:w="90"/>
              <w:left w:type="dxa" w:w="160"/>
              <w:bottom w:type="dxa" w:w="90"/>
              <w:right w:type="dxa" w:w="160"/>
            </w:tcMar>
            <w:vAlign w:val="top"/>
          </w:tcPr>
          <w:p>
            <w:r>
              <w:rPr>
                <w:rFonts w:ascii="Arial" w:cs="Arial" w:eastAsia="Arial" w:hAnsi="Arial"/>
                <w:color w:val="2E3A3A"/>
                <w:sz w:val="20"/>
                <w:szCs w:val="20"/>
              </w:rPr>
              <w:t xml:space="preserve">Monthly Advisory Retainers</w:t>
            </w:r>
          </w:p>
        </w:tc>
        <w:tc>
          <w:tcPr>
            <w:tcW w:type="dxa" w:w="2000"/>
            <w:tcBorders>
              <w:top w:val="single" w:color="AAAAAA" w:sz="4"/>
              <w:left w:val="single" w:color="AAAAAA" w:sz="4"/>
              <w:bottom w:val="single" w:color="AAAAAA" w:sz="4"/>
              <w:right w:val="single" w:color="AAAAAA" w:sz="4"/>
            </w:tcBorders>
            <w:shd w:fill="FFFFFF" w:val="clear"/>
            <w:tcMar>
              <w:top w:type="dxa" w:w="90"/>
              <w:left w:type="dxa" w:w="160"/>
              <w:bottom w:type="dxa" w:w="90"/>
              <w:right w:type="dxa" w:w="160"/>
            </w:tcMar>
            <w:vAlign w:val="top"/>
          </w:tcPr>
          <w:p>
            <w:r>
              <w:rPr>
                <w:rFonts w:ascii="Arial" w:cs="Arial" w:eastAsia="Arial" w:hAnsi="Arial"/>
                <w:color w:val="2E3A3A"/>
                <w:sz w:val="20"/>
                <w:szCs w:val="20"/>
              </w:rPr>
              <w:t xml:space="preserve">2 retained</w:t>
            </w:r>
          </w:p>
        </w:tc>
        <w:tc>
          <w:tcPr>
            <w:tcW w:type="dxa" w:w="2000"/>
            <w:tcBorders>
              <w:top w:val="single" w:color="AAAAAA" w:sz="4"/>
              <w:left w:val="single" w:color="AAAAAA" w:sz="4"/>
              <w:bottom w:val="single" w:color="AAAAAA" w:sz="4"/>
              <w:right w:val="single" w:color="AAAAAA" w:sz="4"/>
            </w:tcBorders>
            <w:shd w:fill="FFFFFF" w:val="clear"/>
            <w:tcMar>
              <w:top w:type="dxa" w:w="90"/>
              <w:left w:type="dxa" w:w="160"/>
              <w:bottom w:type="dxa" w:w="90"/>
              <w:right w:type="dxa" w:w="160"/>
            </w:tcMar>
            <w:vAlign w:val="top"/>
          </w:tcPr>
          <w:p>
            <w:r>
              <w:rPr>
                <w:rFonts w:ascii="Arial" w:cs="Arial" w:eastAsia="Arial" w:hAnsi="Arial"/>
                <w:color w:val="2E3A3A"/>
                <w:sz w:val="20"/>
                <w:szCs w:val="20"/>
              </w:rPr>
              <w:t xml:space="preserve">6 retained</w:t>
            </w:r>
          </w:p>
        </w:tc>
        <w:tc>
          <w:tcPr>
            <w:tcW w:type="dxa" w:w="2000"/>
            <w:tcBorders>
              <w:top w:val="single" w:color="AAAAAA" w:sz="4"/>
              <w:left w:val="single" w:color="AAAAAA" w:sz="4"/>
              <w:bottom w:val="single" w:color="AAAAAA" w:sz="4"/>
              <w:right w:val="single" w:color="AAAAAA" w:sz="4"/>
            </w:tcBorders>
            <w:shd w:fill="FFFFFF" w:val="clear"/>
            <w:tcMar>
              <w:top w:type="dxa" w:w="90"/>
              <w:left w:type="dxa" w:w="160"/>
              <w:bottom w:type="dxa" w:w="90"/>
              <w:right w:type="dxa" w:w="160"/>
            </w:tcMar>
            <w:vAlign w:val="top"/>
          </w:tcPr>
          <w:p>
            <w:r>
              <w:rPr>
                <w:rFonts w:ascii="Arial" w:cs="Arial" w:eastAsia="Arial" w:hAnsi="Arial"/>
                <w:color w:val="2E3A3A"/>
                <w:sz w:val="20"/>
                <w:szCs w:val="20"/>
              </w:rPr>
              <w:t xml:space="preserve">15 retained</w:t>
            </w:r>
          </w:p>
        </w:tc>
      </w:tr>
      <w:tr>
        <w:tc>
          <w:tcPr>
            <w:tcW w:type="dxa" w:w="3200"/>
            <w:tcBorders>
              <w:top w:val="single" w:color="AAAAAA" w:sz="4"/>
              <w:left w:val="single" w:color="AAAAAA" w:sz="4"/>
              <w:bottom w:val="single" w:color="AAAAAA" w:sz="4"/>
              <w:right w:val="single" w:color="AAAAAA" w:sz="4"/>
            </w:tcBorders>
            <w:shd w:fill="F4F9F9" w:val="clear"/>
            <w:tcMar>
              <w:top w:type="dxa" w:w="90"/>
              <w:left w:type="dxa" w:w="160"/>
              <w:bottom w:type="dxa" w:w="90"/>
              <w:right w:type="dxa" w:w="160"/>
            </w:tcMar>
            <w:vAlign w:val="top"/>
          </w:tcPr>
          <w:p>
            <w:r>
              <w:rPr>
                <w:rFonts w:ascii="Arial" w:cs="Arial" w:eastAsia="Arial" w:hAnsi="Arial"/>
                <w:color w:val="2E3A3A"/>
                <w:sz w:val="20"/>
                <w:szCs w:val="20"/>
              </w:rPr>
              <w:t xml:space="preserve">Performance-Share Revenue</w:t>
            </w:r>
          </w:p>
        </w:tc>
        <w:tc>
          <w:tcPr>
            <w:tcW w:type="dxa" w:w="2000"/>
            <w:tcBorders>
              <w:top w:val="single" w:color="AAAAAA" w:sz="4"/>
              <w:left w:val="single" w:color="AAAAAA" w:sz="4"/>
              <w:bottom w:val="single" w:color="AAAAAA" w:sz="4"/>
              <w:right w:val="single" w:color="AAAAAA" w:sz="4"/>
            </w:tcBorders>
            <w:shd w:fill="F4F9F9" w:val="clear"/>
            <w:tcMar>
              <w:top w:type="dxa" w:w="90"/>
              <w:left w:type="dxa" w:w="160"/>
              <w:bottom w:type="dxa" w:w="90"/>
              <w:right w:type="dxa" w:w="160"/>
            </w:tcMar>
            <w:vAlign w:val="top"/>
          </w:tcPr>
          <w:p>
            <w:r>
              <w:rPr>
                <w:rFonts w:ascii="Arial" w:cs="Arial" w:eastAsia="Arial" w:hAnsi="Arial"/>
                <w:color w:val="2E3A3A"/>
                <w:sz w:val="20"/>
                <w:szCs w:val="20"/>
              </w:rPr>
              <w:t xml:space="preserve">Nominal</w:t>
            </w:r>
          </w:p>
        </w:tc>
        <w:tc>
          <w:tcPr>
            <w:tcW w:type="dxa" w:w="2000"/>
            <w:tcBorders>
              <w:top w:val="single" w:color="AAAAAA" w:sz="4"/>
              <w:left w:val="single" w:color="AAAAAA" w:sz="4"/>
              <w:bottom w:val="single" w:color="AAAAAA" w:sz="4"/>
              <w:right w:val="single" w:color="AAAAAA" w:sz="4"/>
            </w:tcBorders>
            <w:shd w:fill="F4F9F9" w:val="clear"/>
            <w:tcMar>
              <w:top w:type="dxa" w:w="90"/>
              <w:left w:type="dxa" w:w="160"/>
              <w:bottom w:type="dxa" w:w="90"/>
              <w:right w:type="dxa" w:w="160"/>
            </w:tcMar>
            <w:vAlign w:val="top"/>
          </w:tcPr>
          <w:p>
            <w:r>
              <w:rPr>
                <w:rFonts w:ascii="Arial" w:cs="Arial" w:eastAsia="Arial" w:hAnsi="Arial"/>
                <w:color w:val="2E3A3A"/>
                <w:sz w:val="20"/>
                <w:szCs w:val="20"/>
              </w:rPr>
              <w:t xml:space="preserve">Growing</w:t>
            </w:r>
          </w:p>
        </w:tc>
        <w:tc>
          <w:tcPr>
            <w:tcW w:type="dxa" w:w="2000"/>
            <w:tcBorders>
              <w:top w:val="single" w:color="AAAAAA" w:sz="4"/>
              <w:left w:val="single" w:color="AAAAAA" w:sz="4"/>
              <w:bottom w:val="single" w:color="AAAAAA" w:sz="4"/>
              <w:right w:val="single" w:color="AAAAAA" w:sz="4"/>
            </w:tcBorders>
            <w:shd w:fill="F4F9F9" w:val="clear"/>
            <w:tcMar>
              <w:top w:type="dxa" w:w="90"/>
              <w:left w:type="dxa" w:w="160"/>
              <w:bottom w:type="dxa" w:w="90"/>
              <w:right w:type="dxa" w:w="160"/>
            </w:tcMar>
            <w:vAlign w:val="top"/>
          </w:tcPr>
          <w:p>
            <w:r>
              <w:rPr>
                <w:rFonts w:ascii="Arial" w:cs="Arial" w:eastAsia="Arial" w:hAnsi="Arial"/>
                <w:color w:val="2E3A3A"/>
                <w:sz w:val="20"/>
                <w:szCs w:val="20"/>
              </w:rPr>
              <w:t xml:space="preserve">Significant</w:t>
            </w:r>
          </w:p>
        </w:tc>
      </w:tr>
      <w:tr>
        <w:tc>
          <w:tcPr>
            <w:tcW w:type="dxa" w:w="3200"/>
            <w:tcBorders>
              <w:top w:val="single" w:color="AAAAAA" w:sz="4"/>
              <w:left w:val="single" w:color="AAAAAA" w:sz="4"/>
              <w:bottom w:val="single" w:color="AAAAAA" w:sz="4"/>
              <w:right w:val="single" w:color="AAAAAA" w:sz="4"/>
            </w:tcBorders>
            <w:shd w:fill="FFFFFF" w:val="clear"/>
            <w:tcMar>
              <w:top w:type="dxa" w:w="90"/>
              <w:left w:type="dxa" w:w="160"/>
              <w:bottom w:type="dxa" w:w="90"/>
              <w:right w:type="dxa" w:w="160"/>
            </w:tcMar>
            <w:vAlign w:val="top"/>
          </w:tcPr>
          <w:p>
            <w:r>
              <w:rPr>
                <w:rFonts w:ascii="Arial" w:cs="Arial" w:eastAsia="Arial" w:hAnsi="Arial"/>
                <w:color w:val="2E3A3A"/>
                <w:sz w:val="20"/>
                <w:szCs w:val="20"/>
              </w:rPr>
              <w:t xml:space="preserve">Training Workshop Delivery</w:t>
            </w:r>
          </w:p>
        </w:tc>
        <w:tc>
          <w:tcPr>
            <w:tcW w:type="dxa" w:w="2000"/>
            <w:tcBorders>
              <w:top w:val="single" w:color="AAAAAA" w:sz="4"/>
              <w:left w:val="single" w:color="AAAAAA" w:sz="4"/>
              <w:bottom w:val="single" w:color="AAAAAA" w:sz="4"/>
              <w:right w:val="single" w:color="AAAAAA" w:sz="4"/>
            </w:tcBorders>
            <w:shd w:fill="FFFFFF" w:val="clear"/>
            <w:tcMar>
              <w:top w:type="dxa" w:w="90"/>
              <w:left w:type="dxa" w:w="160"/>
              <w:bottom w:type="dxa" w:w="90"/>
              <w:right w:type="dxa" w:w="160"/>
            </w:tcMar>
            <w:vAlign w:val="top"/>
          </w:tcPr>
          <w:p>
            <w:r>
              <w:rPr>
                <w:rFonts w:ascii="Arial" w:cs="Arial" w:eastAsia="Arial" w:hAnsi="Arial"/>
                <w:color w:val="2E3A3A"/>
                <w:sz w:val="20"/>
                <w:szCs w:val="20"/>
              </w:rPr>
              <w:t xml:space="preserve">0</w:t>
            </w:r>
          </w:p>
        </w:tc>
        <w:tc>
          <w:tcPr>
            <w:tcW w:type="dxa" w:w="2000"/>
            <w:tcBorders>
              <w:top w:val="single" w:color="AAAAAA" w:sz="4"/>
              <w:left w:val="single" w:color="AAAAAA" w:sz="4"/>
              <w:bottom w:val="single" w:color="AAAAAA" w:sz="4"/>
              <w:right w:val="single" w:color="AAAAAA" w:sz="4"/>
            </w:tcBorders>
            <w:shd w:fill="FFFFFF" w:val="clear"/>
            <w:tcMar>
              <w:top w:type="dxa" w:w="90"/>
              <w:left w:type="dxa" w:w="160"/>
              <w:bottom w:type="dxa" w:w="90"/>
              <w:right w:type="dxa" w:w="160"/>
            </w:tcMar>
            <w:vAlign w:val="top"/>
          </w:tcPr>
          <w:p>
            <w:r>
              <w:rPr>
                <w:rFonts w:ascii="Arial" w:cs="Arial" w:eastAsia="Arial" w:hAnsi="Arial"/>
                <w:color w:val="2E3A3A"/>
                <w:sz w:val="20"/>
                <w:szCs w:val="20"/>
              </w:rPr>
              <w:t xml:space="preserve">2 workshops</w:t>
            </w:r>
          </w:p>
        </w:tc>
        <w:tc>
          <w:tcPr>
            <w:tcW w:type="dxa" w:w="2000"/>
            <w:tcBorders>
              <w:top w:val="single" w:color="AAAAAA" w:sz="4"/>
              <w:left w:val="single" w:color="AAAAAA" w:sz="4"/>
              <w:bottom w:val="single" w:color="AAAAAA" w:sz="4"/>
              <w:right w:val="single" w:color="AAAAAA" w:sz="4"/>
            </w:tcBorders>
            <w:shd w:fill="FFFFFF" w:val="clear"/>
            <w:tcMar>
              <w:top w:type="dxa" w:w="90"/>
              <w:left w:type="dxa" w:w="160"/>
              <w:bottom w:type="dxa" w:w="90"/>
              <w:right w:type="dxa" w:w="160"/>
            </w:tcMar>
            <w:vAlign w:val="top"/>
          </w:tcPr>
          <w:p>
            <w:r>
              <w:rPr>
                <w:rFonts w:ascii="Arial" w:cs="Arial" w:eastAsia="Arial" w:hAnsi="Arial"/>
                <w:color w:val="2E3A3A"/>
                <w:sz w:val="20"/>
                <w:szCs w:val="20"/>
              </w:rPr>
              <w:t xml:space="preserve">6 workshops</w:t>
            </w:r>
          </w:p>
        </w:tc>
      </w:tr>
      <w:tr>
        <w:tc>
          <w:tcPr>
            <w:tcW w:type="dxa" w:w="3200"/>
            <w:tcBorders>
              <w:top w:val="single" w:color="AAAAAA" w:sz="4"/>
              <w:left w:val="single" w:color="AAAAAA" w:sz="4"/>
              <w:bottom w:val="single" w:color="AAAAAA" w:sz="4"/>
              <w:right w:val="single" w:color="AAAAAA" w:sz="4"/>
            </w:tcBorders>
            <w:shd w:fill="F4F9F9" w:val="clear"/>
            <w:tcMar>
              <w:top w:type="dxa" w:w="90"/>
              <w:left w:type="dxa" w:w="160"/>
              <w:bottom w:type="dxa" w:w="90"/>
              <w:right w:type="dxa" w:w="160"/>
            </w:tcMar>
            <w:vAlign w:val="top"/>
          </w:tcPr>
          <w:p>
            <w:r>
              <w:rPr>
                <w:rFonts w:ascii="Arial" w:cs="Arial" w:eastAsia="Arial" w:hAnsi="Arial"/>
                <w:color w:val="2E3A3A"/>
                <w:sz w:val="20"/>
                <w:szCs w:val="20"/>
              </w:rPr>
              <w:t xml:space="preserve">Indicative Total Revenue</w:t>
            </w:r>
          </w:p>
        </w:tc>
        <w:tc>
          <w:tcPr>
            <w:tcW w:type="dxa" w:w="2000"/>
            <w:tcBorders>
              <w:top w:val="single" w:color="AAAAAA" w:sz="4"/>
              <w:left w:val="single" w:color="AAAAAA" w:sz="4"/>
              <w:bottom w:val="single" w:color="AAAAAA" w:sz="4"/>
              <w:right w:val="single" w:color="AAAAAA" w:sz="4"/>
            </w:tcBorders>
            <w:shd w:fill="F4F9F9" w:val="clear"/>
            <w:tcMar>
              <w:top w:type="dxa" w:w="90"/>
              <w:left w:type="dxa" w:w="160"/>
              <w:bottom w:type="dxa" w:w="90"/>
              <w:right w:type="dxa" w:w="160"/>
            </w:tcMar>
            <w:vAlign w:val="top"/>
          </w:tcPr>
          <w:p>
            <w:r>
              <w:rPr>
                <w:rFonts w:ascii="Arial" w:cs="Arial" w:eastAsia="Arial" w:hAnsi="Arial"/>
                <w:color w:val="2E3A3A"/>
                <w:sz w:val="20"/>
                <w:szCs w:val="20"/>
              </w:rPr>
              <w:t xml:space="preserve">£45,000–£60,000</w:t>
            </w:r>
          </w:p>
        </w:tc>
        <w:tc>
          <w:tcPr>
            <w:tcW w:type="dxa" w:w="2000"/>
            <w:tcBorders>
              <w:top w:val="single" w:color="AAAAAA" w:sz="4"/>
              <w:left w:val="single" w:color="AAAAAA" w:sz="4"/>
              <w:bottom w:val="single" w:color="AAAAAA" w:sz="4"/>
              <w:right w:val="single" w:color="AAAAAA" w:sz="4"/>
            </w:tcBorders>
            <w:shd w:fill="F4F9F9" w:val="clear"/>
            <w:tcMar>
              <w:top w:type="dxa" w:w="90"/>
              <w:left w:type="dxa" w:w="160"/>
              <w:bottom w:type="dxa" w:w="90"/>
              <w:right w:type="dxa" w:w="160"/>
            </w:tcMar>
            <w:vAlign w:val="top"/>
          </w:tcPr>
          <w:p>
            <w:r>
              <w:rPr>
                <w:rFonts w:ascii="Arial" w:cs="Arial" w:eastAsia="Arial" w:hAnsi="Arial"/>
                <w:color w:val="2E3A3A"/>
                <w:sz w:val="20"/>
                <w:szCs w:val="20"/>
              </w:rPr>
              <w:t xml:space="preserve">£150,000–£200,000</w:t>
            </w:r>
          </w:p>
        </w:tc>
        <w:tc>
          <w:tcPr>
            <w:tcW w:type="dxa" w:w="2000"/>
            <w:tcBorders>
              <w:top w:val="single" w:color="AAAAAA" w:sz="4"/>
              <w:left w:val="single" w:color="AAAAAA" w:sz="4"/>
              <w:bottom w:val="single" w:color="AAAAAA" w:sz="4"/>
              <w:right w:val="single" w:color="AAAAAA" w:sz="4"/>
            </w:tcBorders>
            <w:shd w:fill="F4F9F9" w:val="clear"/>
            <w:tcMar>
              <w:top w:type="dxa" w:w="90"/>
              <w:left w:type="dxa" w:w="160"/>
              <w:bottom w:type="dxa" w:w="90"/>
              <w:right w:type="dxa" w:w="160"/>
            </w:tcMar>
            <w:vAlign w:val="top"/>
          </w:tcPr>
          <w:p>
            <w:r>
              <w:rPr>
                <w:rFonts w:ascii="Arial" w:cs="Arial" w:eastAsia="Arial" w:hAnsi="Arial"/>
                <w:color w:val="2E3A3A"/>
                <w:sz w:val="20"/>
                <w:szCs w:val="20"/>
              </w:rPr>
              <w:t xml:space="preserve">£350,000+</w:t>
            </w:r>
          </w:p>
        </w:tc>
      </w:tr>
    </w:tbl>
    <w:p>
      <w:pPr>
        <w:spacing w:after="200" w:before="60" w:line="360"/>
        <w:jc w:val="center"/>
      </w:pPr>
      <w:r>
        <w:rPr>
          <w:rFonts w:ascii="Arial" w:cs="Arial" w:eastAsia="Arial" w:hAnsi="Arial"/>
          <w:i/>
          <w:iCs/>
          <w:color w:val="555555"/>
          <w:sz w:val="19"/>
          <w:szCs w:val="19"/>
        </w:rPr>
        <w:t xml:space="preserve">Table A1: Indicative CrustLoop Revenue Projections (Years 1–3). Source: Author's own estimates.</w:t>
      </w:r>
    </w:p>
    <w:p>
      <w:pPr>
        <w:spacing w:after="60" w:before="60" w:line="360"/>
      </w:pPr>
      <w:r>
        <w:t xml:space="preserve"/>
      </w:r>
    </w:p>
    <w:p>
      <w:pPr>
        <w:spacing w:after="140" w:before="80" w:line="360"/>
        <w:jc w:val="both"/>
      </w:pPr>
      <w:r>
        <w:rPr>
          <w:rFonts w:ascii="Arial" w:cs="Arial" w:eastAsia="Arial" w:hAnsi="Arial"/>
          <w:color w:val="2E3A3A"/>
          <w:sz w:val="24"/>
          <w:szCs w:val="24"/>
        </w:rPr>
        <w:t xml:space="preserve">Note: Financial projections are indicative only, developed on the basis of comparable sustainability consultancy market entry data and provided for illustrative purposes.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5F5F" w:sz="6" w:space="2"/>
      </w:pBdr>
      <w:spacing w:after="0" w:before="120" w:line="360"/>
      <w:jc w:val="right"/>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5F5F" w:sz="6" w:space="2"/>
      </w:pBdr>
      <w:spacing w:after="120" w:before="0" w:line="360"/>
    </w:pPr>
    <w:r>
      <w:rPr>
        <w:rFonts w:ascii="Arial" w:cs="Arial" w:eastAsia="Arial" w:hAnsi="Arial"/>
        <w:color w:val="555555"/>
        <w:sz w:val="18"/>
        <w:szCs w:val="18"/>
      </w:rPr>
      <w:t xml:space="preserve">CrustLoop Consultancy  |  CA70022E  |  Surendra (34143280)  |  University of West London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E3A3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005F5F" w:val="clear"/>
      <w:spacing w:after="240" w:before="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005F5F"/>
      <w:sz w:val="26"/>
      <w:szCs w:val="26"/>
    </w:rPr>
  </w:style>
  <w:style w:type="paragraph" w:styleId="Heading3">
    <w:name w:val="Heading 3"/>
    <w:basedOn w:val="Normal"/>
    <w:next w:val="Normal"/>
    <w:qFormat/>
    <w:pPr>
      <w:spacing w:after="80" w:before="220"/>
      <w:outlineLvl w:val="2"/>
    </w:pPr>
    <w:rPr>
      <w:rFonts w:ascii="Arial" w:cs="Arial" w:eastAsia="Arial" w:hAnsi="Arial"/>
      <w:b/>
      <w:bCs/>
      <w:color w:val="2E3A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5dca8b3ba4f9474bdc85c3cda7cafbf834a5f6b.png"/><Relationship Id="rId10" Type="http://schemas.openxmlformats.org/officeDocument/2006/relationships/image" Target="media/778d625d65cf395071fc9df975518d6509679dc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2026-05-21T09:40:41.287Z</dcterms:created>
  <dcterms:modified xsi:type="dcterms:W3CDTF">2026-05-21T09:40:41.299Z</dcterms:modified>
</cp:coreProperties>
</file>

<file path=docProps/custom.xml><?xml version="1.0" encoding="utf-8"?>
<Properties xmlns="http://schemas.openxmlformats.org/officeDocument/2006/custom-properties" xmlns:vt="http://schemas.openxmlformats.org/officeDocument/2006/docPropsVTypes"/>
</file>