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768C" w:rsidRDefault="00330488">
      <w:pPr>
        <w:spacing w:before="2400"/>
        <w:jc w:val="center"/>
      </w:pPr>
      <w:proofErr w:type="spellStart"/>
      <w:r>
        <w:rPr>
          <w:b/>
          <w:bCs/>
          <w:sz w:val="32"/>
          <w:szCs w:val="32"/>
        </w:rPr>
        <w:t>SmartCentres</w:t>
      </w:r>
      <w:proofErr w:type="spellEnd"/>
      <w:r>
        <w:rPr>
          <w:b/>
          <w:bCs/>
          <w:sz w:val="32"/>
          <w:szCs w:val="32"/>
        </w:rPr>
        <w:t xml:space="preserve"> REIT Investment Analysis:</w:t>
      </w:r>
    </w:p>
    <w:p w:rsidR="0052768C" w:rsidRDefault="00330488">
      <w:pPr>
        <w:spacing w:before="120" w:after="600"/>
        <w:jc w:val="center"/>
        <w:rPr>
          <w:b/>
          <w:bCs/>
          <w:sz w:val="32"/>
          <w:szCs w:val="32"/>
        </w:rPr>
      </w:pPr>
      <w:r>
        <w:rPr>
          <w:b/>
          <w:bCs/>
          <w:sz w:val="32"/>
          <w:szCs w:val="32"/>
        </w:rPr>
        <w:t>A Data-Driven Investment Recommendation</w:t>
      </w:r>
    </w:p>
    <w:p w:rsidR="001B00E4" w:rsidRDefault="001B00E4">
      <w:pPr>
        <w:spacing w:before="120" w:after="600"/>
        <w:jc w:val="center"/>
      </w:pPr>
      <w:r>
        <w:rPr>
          <w:b/>
          <w:bCs/>
          <w:sz w:val="32"/>
          <w:szCs w:val="32"/>
        </w:rPr>
        <w:t>Technical Report</w:t>
      </w:r>
    </w:p>
    <w:p w:rsidR="0052768C" w:rsidRDefault="00330488">
      <w:pPr>
        <w:spacing w:before="1600"/>
        <w:jc w:val="center"/>
      </w:pPr>
      <w:proofErr w:type="spellStart"/>
      <w:r>
        <w:rPr>
          <w:sz w:val="24"/>
          <w:szCs w:val="24"/>
        </w:rPr>
        <w:t>Pradeepta</w:t>
      </w:r>
      <w:proofErr w:type="spellEnd"/>
      <w:r>
        <w:rPr>
          <w:sz w:val="24"/>
          <w:szCs w:val="24"/>
        </w:rPr>
        <w:t xml:space="preserve"> Kumar </w:t>
      </w:r>
      <w:proofErr w:type="spellStart"/>
      <w:r>
        <w:rPr>
          <w:sz w:val="24"/>
          <w:szCs w:val="24"/>
        </w:rPr>
        <w:t>Saha</w:t>
      </w:r>
      <w:proofErr w:type="spellEnd"/>
    </w:p>
    <w:p w:rsidR="0052768C" w:rsidRDefault="001567B1" w:rsidP="001567B1">
      <w:pPr>
        <w:jc w:val="center"/>
      </w:pPr>
      <w:r>
        <w:rPr>
          <w:i/>
          <w:iCs/>
          <w:sz w:val="24"/>
          <w:szCs w:val="24"/>
        </w:rPr>
        <w:t>ID:</w:t>
      </w:r>
      <w:r w:rsidR="001B00E4" w:rsidRPr="001B00E4">
        <w:rPr>
          <w:i/>
          <w:iCs/>
          <w:sz w:val="24"/>
          <w:szCs w:val="24"/>
        </w:rPr>
        <w:t xml:space="preserve">  110194567</w:t>
      </w:r>
    </w:p>
    <w:p w:rsidR="0052768C" w:rsidRDefault="00330488">
      <w:pPr>
        <w:spacing w:before="400"/>
        <w:jc w:val="center"/>
      </w:pPr>
      <w:r>
        <w:rPr>
          <w:sz w:val="24"/>
          <w:szCs w:val="24"/>
        </w:rPr>
        <w:t>BSMM-8730: Data Acquisition and Management</w:t>
      </w:r>
    </w:p>
    <w:p w:rsidR="0052768C" w:rsidRDefault="00330488">
      <w:pPr>
        <w:jc w:val="center"/>
      </w:pPr>
      <w:r>
        <w:rPr>
          <w:sz w:val="24"/>
          <w:szCs w:val="24"/>
        </w:rPr>
        <w:t>Odette School of Business, University of Windsor</w:t>
      </w:r>
    </w:p>
    <w:p w:rsidR="0052768C" w:rsidRDefault="00330488">
      <w:pPr>
        <w:spacing w:before="400"/>
        <w:jc w:val="center"/>
      </w:pPr>
      <w:r>
        <w:rPr>
          <w:sz w:val="24"/>
          <w:szCs w:val="24"/>
        </w:rPr>
        <w:t xml:space="preserve">Instructor: </w:t>
      </w:r>
      <w:r w:rsidR="001B00E4">
        <w:rPr>
          <w:rFonts w:ascii="Arial" w:hAnsi="Arial" w:cs="Arial"/>
          <w:sz w:val="22"/>
          <w:szCs w:val="22"/>
          <w:shd w:val="clear" w:color="auto" w:fill="FFFFFF"/>
        </w:rPr>
        <w:t>Dr. Ali El-Sharif</w:t>
      </w:r>
    </w:p>
    <w:p w:rsidR="0052768C" w:rsidRDefault="00330488">
      <w:pPr>
        <w:jc w:val="center"/>
      </w:pPr>
      <w:r>
        <w:rPr>
          <w:sz w:val="24"/>
          <w:szCs w:val="24"/>
        </w:rPr>
        <w:t>July 2026</w:t>
      </w:r>
    </w:p>
    <w:p w:rsidR="0052768C" w:rsidRDefault="00330488">
      <w:r>
        <w:br w:type="page"/>
      </w:r>
    </w:p>
    <w:p w:rsidR="0052768C" w:rsidRDefault="00330488">
      <w:pPr>
        <w:pStyle w:val="Heading1"/>
        <w:spacing w:before="360" w:after="200" w:line="480" w:lineRule="auto"/>
      </w:pPr>
      <w:r>
        <w:rPr>
          <w:b/>
          <w:bCs/>
          <w:sz w:val="28"/>
          <w:szCs w:val="28"/>
        </w:rPr>
        <w:lastRenderedPageBreak/>
        <w:t>A. Background and Motivation</w:t>
      </w:r>
    </w:p>
    <w:p w:rsidR="0052768C" w:rsidRDefault="00330488">
      <w:pPr>
        <w:spacing w:line="480" w:lineRule="auto"/>
        <w:ind w:firstLine="720"/>
        <w:jc w:val="both"/>
      </w:pPr>
      <w:r>
        <w:rPr>
          <w:sz w:val="24"/>
          <w:szCs w:val="24"/>
        </w:rPr>
        <w:t xml:space="preserve">Real Estate Investment Trusts (REITs) allow investors to gain exposure to income-producing real estate without directly owning or managing property. A REIT pools capital from </w:t>
      </w:r>
      <w:proofErr w:type="spellStart"/>
      <w:r>
        <w:rPr>
          <w:sz w:val="24"/>
          <w:szCs w:val="24"/>
        </w:rPr>
        <w:t>unitholder</w:t>
      </w:r>
      <w:r>
        <w:rPr>
          <w:sz w:val="24"/>
          <w:szCs w:val="24"/>
        </w:rPr>
        <w:t>s</w:t>
      </w:r>
      <w:proofErr w:type="spellEnd"/>
      <w:r>
        <w:rPr>
          <w:sz w:val="24"/>
          <w:szCs w:val="24"/>
        </w:rPr>
        <w:t xml:space="preserve"> to acquire, develop, and lease real estate assets, and is required to distribute the majority of its taxable income to </w:t>
      </w:r>
      <w:proofErr w:type="spellStart"/>
      <w:r>
        <w:rPr>
          <w:sz w:val="24"/>
          <w:szCs w:val="24"/>
        </w:rPr>
        <w:t>unitholders</w:t>
      </w:r>
      <w:proofErr w:type="spellEnd"/>
      <w:r>
        <w:rPr>
          <w:sz w:val="24"/>
          <w:szCs w:val="24"/>
        </w:rPr>
        <w:t xml:space="preserve"> as regular distributions. For income-focused investors, REITs are attractive because they combine a relatively predictable </w:t>
      </w:r>
      <w:r>
        <w:rPr>
          <w:sz w:val="24"/>
          <w:szCs w:val="24"/>
        </w:rPr>
        <w:t>cash distribution with the potential for capital appreciation as the underlying property portfolio grows in value.</w:t>
      </w:r>
    </w:p>
    <w:p w:rsidR="0052768C" w:rsidRDefault="00330488">
      <w:pPr>
        <w:spacing w:line="480" w:lineRule="auto"/>
        <w:ind w:firstLine="720"/>
        <w:jc w:val="both"/>
      </w:pPr>
      <w:proofErr w:type="spellStart"/>
      <w:r>
        <w:rPr>
          <w:sz w:val="24"/>
          <w:szCs w:val="24"/>
        </w:rPr>
        <w:t>SmartCentres</w:t>
      </w:r>
      <w:proofErr w:type="spellEnd"/>
      <w:r>
        <w:rPr>
          <w:sz w:val="24"/>
          <w:szCs w:val="24"/>
        </w:rPr>
        <w:t xml:space="preserve"> Real Estate Investment Trust (TSX: SRU.UN) is one of Canada's largest fully integrated REITs. Established in 1993, </w:t>
      </w:r>
      <w:proofErr w:type="spellStart"/>
      <w:r>
        <w:rPr>
          <w:sz w:val="24"/>
          <w:szCs w:val="24"/>
        </w:rPr>
        <w:t>SmartCentres</w:t>
      </w:r>
      <w:proofErr w:type="spellEnd"/>
      <w:r>
        <w:rPr>
          <w:sz w:val="24"/>
          <w:szCs w:val="24"/>
        </w:rPr>
        <w:t xml:space="preserve"> </w:t>
      </w:r>
      <w:r>
        <w:rPr>
          <w:sz w:val="24"/>
          <w:szCs w:val="24"/>
        </w:rPr>
        <w:t xml:space="preserve">owns an ownership interest in retail shopping </w:t>
      </w:r>
      <w:proofErr w:type="spellStart"/>
      <w:r>
        <w:rPr>
          <w:sz w:val="24"/>
          <w:szCs w:val="24"/>
        </w:rPr>
        <w:t>centres</w:t>
      </w:r>
      <w:proofErr w:type="spellEnd"/>
      <w:r>
        <w:rPr>
          <w:sz w:val="24"/>
          <w:szCs w:val="24"/>
        </w:rPr>
        <w:t xml:space="preserve">, mixed-use developments, and residential and industrial development lands, with properties located within 10 </w:t>
      </w:r>
      <w:proofErr w:type="spellStart"/>
      <w:r>
        <w:rPr>
          <w:sz w:val="24"/>
          <w:szCs w:val="24"/>
        </w:rPr>
        <w:t>kilometres</w:t>
      </w:r>
      <w:proofErr w:type="spellEnd"/>
      <w:r>
        <w:rPr>
          <w:sz w:val="24"/>
          <w:szCs w:val="24"/>
        </w:rPr>
        <w:t xml:space="preserve"> of roughly 90% of the Canadian population. The trust's scale and its ongoing pivot</w:t>
      </w:r>
      <w:r>
        <w:rPr>
          <w:sz w:val="24"/>
          <w:szCs w:val="24"/>
        </w:rPr>
        <w:t xml:space="preserve"> toward mixed-use, residential-anchored development make it a useful case study for evaluating how a mature retail-focused REIT is adapting to a changing retail and interest rate environment.</w:t>
      </w:r>
    </w:p>
    <w:p w:rsidR="0052768C" w:rsidRDefault="00330488">
      <w:pPr>
        <w:spacing w:line="480" w:lineRule="auto"/>
        <w:ind w:firstLine="720"/>
        <w:jc w:val="both"/>
      </w:pPr>
      <w:r>
        <w:rPr>
          <w:sz w:val="24"/>
          <w:szCs w:val="24"/>
        </w:rPr>
        <w:t>This project is motivated by a practical investment question: gi</w:t>
      </w:r>
      <w:r>
        <w:rPr>
          <w:sz w:val="24"/>
          <w:szCs w:val="24"/>
        </w:rPr>
        <w:t xml:space="preserve">ven </w:t>
      </w:r>
      <w:proofErr w:type="spellStart"/>
      <w:r>
        <w:rPr>
          <w:sz w:val="24"/>
          <w:szCs w:val="24"/>
        </w:rPr>
        <w:t>SmartCentres</w:t>
      </w:r>
      <w:proofErr w:type="spellEnd"/>
      <w:r>
        <w:rPr>
          <w:sz w:val="24"/>
          <w:szCs w:val="24"/>
        </w:rPr>
        <w:t>' financial position, its portfolio performance, and the broader macroeconomic and competitive environment it operates in, is SRU.UN a suitable holding for a prospective investor today? Answering this question well requires more than readin</w:t>
      </w:r>
      <w:r>
        <w:rPr>
          <w:sz w:val="24"/>
          <w:szCs w:val="24"/>
        </w:rPr>
        <w:t>g a single financial statement — it requires integrating stock market data, company financial disclosures, sector-wide competitor data, and macroeconomic indicators such as interest rates into a single, coherent analysis.</w:t>
      </w:r>
    </w:p>
    <w:p w:rsidR="0052768C" w:rsidRDefault="00330488">
      <w:pPr>
        <w:pStyle w:val="Heading1"/>
        <w:spacing w:before="360" w:after="200" w:line="480" w:lineRule="auto"/>
      </w:pPr>
      <w:r>
        <w:rPr>
          <w:b/>
          <w:bCs/>
          <w:sz w:val="28"/>
          <w:szCs w:val="28"/>
        </w:rPr>
        <w:t>B. Problem Statement</w:t>
      </w:r>
    </w:p>
    <w:p w:rsidR="0052768C" w:rsidRDefault="00330488">
      <w:pPr>
        <w:spacing w:line="480" w:lineRule="auto"/>
        <w:ind w:firstLine="720"/>
        <w:jc w:val="both"/>
      </w:pPr>
      <w:r>
        <w:rPr>
          <w:sz w:val="24"/>
          <w:szCs w:val="24"/>
        </w:rPr>
        <w:lastRenderedPageBreak/>
        <w:t>The core prob</w:t>
      </w:r>
      <w:r>
        <w:rPr>
          <w:sz w:val="24"/>
          <w:szCs w:val="24"/>
        </w:rPr>
        <w:t xml:space="preserve">lem addressed in this project is: should a potential investor add </w:t>
      </w:r>
      <w:proofErr w:type="spellStart"/>
      <w:r>
        <w:rPr>
          <w:sz w:val="24"/>
          <w:szCs w:val="24"/>
        </w:rPr>
        <w:t>SmartCentres</w:t>
      </w:r>
      <w:proofErr w:type="spellEnd"/>
      <w:r>
        <w:rPr>
          <w:sz w:val="24"/>
          <w:szCs w:val="24"/>
        </w:rPr>
        <w:t xml:space="preserve"> REIT (SRU.UN) to their portfolio, and under what conditions? To answer this, the project evaluates </w:t>
      </w:r>
      <w:proofErr w:type="spellStart"/>
      <w:r>
        <w:rPr>
          <w:sz w:val="24"/>
          <w:szCs w:val="24"/>
        </w:rPr>
        <w:t>SmartCentres</w:t>
      </w:r>
      <w:proofErr w:type="spellEnd"/>
      <w:r>
        <w:rPr>
          <w:sz w:val="24"/>
          <w:szCs w:val="24"/>
        </w:rPr>
        <w:t xml:space="preserve"> from five complementary angles:</w:t>
      </w:r>
    </w:p>
    <w:p w:rsidR="0052768C" w:rsidRDefault="00330488">
      <w:pPr>
        <w:pStyle w:val="ListParagraph"/>
        <w:numPr>
          <w:ilvl w:val="0"/>
          <w:numId w:val="1"/>
        </w:numPr>
        <w:spacing w:line="480" w:lineRule="auto"/>
      </w:pPr>
      <w:r>
        <w:rPr>
          <w:sz w:val="24"/>
          <w:szCs w:val="24"/>
        </w:rPr>
        <w:t>Stock performance — historical pr</w:t>
      </w:r>
      <w:r>
        <w:rPr>
          <w:sz w:val="24"/>
          <w:szCs w:val="24"/>
        </w:rPr>
        <w:t>ice trends, volatility, and risk-adjusted return relative to moving averages.</w:t>
      </w:r>
    </w:p>
    <w:p w:rsidR="0052768C" w:rsidRDefault="00330488">
      <w:pPr>
        <w:pStyle w:val="ListParagraph"/>
        <w:numPr>
          <w:ilvl w:val="0"/>
          <w:numId w:val="1"/>
        </w:numPr>
        <w:spacing w:line="480" w:lineRule="auto"/>
      </w:pPr>
      <w:r>
        <w:rPr>
          <w:sz w:val="24"/>
          <w:szCs w:val="24"/>
        </w:rPr>
        <w:t>Dividend sustainability — the consistency of distributions and how they compare with the trust's operating cash flow.</w:t>
      </w:r>
    </w:p>
    <w:p w:rsidR="0052768C" w:rsidRDefault="00330488">
      <w:pPr>
        <w:pStyle w:val="ListParagraph"/>
        <w:numPr>
          <w:ilvl w:val="0"/>
          <w:numId w:val="1"/>
        </w:numPr>
        <w:spacing w:line="480" w:lineRule="auto"/>
      </w:pPr>
      <w:r>
        <w:rPr>
          <w:sz w:val="24"/>
          <w:szCs w:val="24"/>
        </w:rPr>
        <w:t>Financial health — leverage (debt-to-assets), funds from ope</w:t>
      </w:r>
      <w:r>
        <w:rPr>
          <w:sz w:val="24"/>
          <w:szCs w:val="24"/>
        </w:rPr>
        <w:t>rations (FFO) per unit, and profitability trends.</w:t>
      </w:r>
    </w:p>
    <w:p w:rsidR="0052768C" w:rsidRDefault="00330488">
      <w:pPr>
        <w:pStyle w:val="ListParagraph"/>
        <w:numPr>
          <w:ilvl w:val="0"/>
          <w:numId w:val="1"/>
        </w:numPr>
        <w:spacing w:line="480" w:lineRule="auto"/>
      </w:pPr>
      <w:r>
        <w:rPr>
          <w:sz w:val="24"/>
          <w:szCs w:val="24"/>
        </w:rPr>
        <w:t xml:space="preserve">Competitive position — how </w:t>
      </w:r>
      <w:proofErr w:type="spellStart"/>
      <w:r>
        <w:rPr>
          <w:sz w:val="24"/>
          <w:szCs w:val="24"/>
        </w:rPr>
        <w:t>SmartCentres</w:t>
      </w:r>
      <w:proofErr w:type="spellEnd"/>
      <w:r>
        <w:rPr>
          <w:sz w:val="24"/>
          <w:szCs w:val="24"/>
        </w:rPr>
        <w:t xml:space="preserve">' distribution yield and scale compare against Choice Properties REIT, </w:t>
      </w:r>
      <w:proofErr w:type="spellStart"/>
      <w:r>
        <w:rPr>
          <w:sz w:val="24"/>
          <w:szCs w:val="24"/>
        </w:rPr>
        <w:t>RioCan</w:t>
      </w:r>
      <w:proofErr w:type="spellEnd"/>
      <w:r>
        <w:rPr>
          <w:sz w:val="24"/>
          <w:szCs w:val="24"/>
        </w:rPr>
        <w:t xml:space="preserve"> REIT, Allied Properties REIT, and First Capital REIT.</w:t>
      </w:r>
    </w:p>
    <w:p w:rsidR="0052768C" w:rsidRDefault="00330488">
      <w:pPr>
        <w:pStyle w:val="ListParagraph"/>
        <w:numPr>
          <w:ilvl w:val="0"/>
          <w:numId w:val="1"/>
        </w:numPr>
        <w:spacing w:line="480" w:lineRule="auto"/>
      </w:pPr>
      <w:r>
        <w:rPr>
          <w:sz w:val="24"/>
          <w:szCs w:val="24"/>
        </w:rPr>
        <w:t xml:space="preserve">Macroeconomic sensitivity — how </w:t>
      </w:r>
      <w:proofErr w:type="spellStart"/>
      <w:r>
        <w:rPr>
          <w:sz w:val="24"/>
          <w:szCs w:val="24"/>
        </w:rPr>
        <w:t>Sma</w:t>
      </w:r>
      <w:r>
        <w:rPr>
          <w:sz w:val="24"/>
          <w:szCs w:val="24"/>
        </w:rPr>
        <w:t>rtCentres</w:t>
      </w:r>
      <w:proofErr w:type="spellEnd"/>
      <w:r>
        <w:rPr>
          <w:sz w:val="24"/>
          <w:szCs w:val="24"/>
        </w:rPr>
        <w:t>' price and yield respond to Bank of Canada interest rate policy and government bond yields, since REITs are typically rate-sensitive investments.</w:t>
      </w:r>
    </w:p>
    <w:p w:rsidR="0052768C" w:rsidRDefault="00330488">
      <w:pPr>
        <w:spacing w:line="480" w:lineRule="auto"/>
        <w:ind w:firstLine="720"/>
        <w:jc w:val="both"/>
      </w:pPr>
      <w:r>
        <w:rPr>
          <w:sz w:val="24"/>
          <w:szCs w:val="24"/>
        </w:rPr>
        <w:t>The output of this analysis is a single, evidence-based investment recommendation (buy, hold, or sel</w:t>
      </w:r>
      <w:r>
        <w:rPr>
          <w:sz w:val="24"/>
          <w:szCs w:val="24"/>
        </w:rPr>
        <w:t>l), along with an explicit discussion of the risks that could change that recommendation.</w:t>
      </w:r>
    </w:p>
    <w:p w:rsidR="0052768C" w:rsidRDefault="00330488">
      <w:pPr>
        <w:pStyle w:val="Heading1"/>
        <w:spacing w:before="360" w:after="200" w:line="480" w:lineRule="auto"/>
      </w:pPr>
      <w:r>
        <w:rPr>
          <w:b/>
          <w:bCs/>
          <w:sz w:val="28"/>
          <w:szCs w:val="28"/>
        </w:rPr>
        <w:t>C. Dataset Description and Validation</w:t>
      </w:r>
    </w:p>
    <w:p w:rsidR="0052768C" w:rsidRDefault="00330488">
      <w:pPr>
        <w:pStyle w:val="Heading2"/>
        <w:spacing w:before="260" w:after="160" w:line="480" w:lineRule="auto"/>
      </w:pPr>
      <w:r>
        <w:rPr>
          <w:b/>
          <w:bCs/>
        </w:rPr>
        <w:t>Data Sources</w:t>
      </w:r>
    </w:p>
    <w:p w:rsidR="0052768C" w:rsidRDefault="00330488">
      <w:pPr>
        <w:spacing w:line="480" w:lineRule="auto"/>
        <w:ind w:firstLine="720"/>
        <w:jc w:val="both"/>
      </w:pPr>
      <w:r>
        <w:rPr>
          <w:sz w:val="24"/>
          <w:szCs w:val="24"/>
        </w:rPr>
        <w:t>Five categories of public data were collected for this analysis:</w:t>
      </w:r>
    </w:p>
    <w:p w:rsidR="0052768C" w:rsidRDefault="00330488">
      <w:pPr>
        <w:pStyle w:val="ListParagraph"/>
        <w:numPr>
          <w:ilvl w:val="0"/>
          <w:numId w:val="1"/>
        </w:numPr>
        <w:spacing w:line="480" w:lineRule="auto"/>
      </w:pPr>
      <w:r>
        <w:rPr>
          <w:sz w:val="24"/>
          <w:szCs w:val="24"/>
        </w:rPr>
        <w:lastRenderedPageBreak/>
        <w:t xml:space="preserve">Stock market data — daily adjusted close prices and historical dividend payments for </w:t>
      </w:r>
      <w:proofErr w:type="spellStart"/>
      <w:r>
        <w:rPr>
          <w:sz w:val="24"/>
          <w:szCs w:val="24"/>
        </w:rPr>
        <w:t>SmartCentres</w:t>
      </w:r>
      <w:proofErr w:type="spellEnd"/>
      <w:r>
        <w:rPr>
          <w:sz w:val="24"/>
          <w:szCs w:val="24"/>
        </w:rPr>
        <w:t xml:space="preserve"> and its competitors, sourced through the </w:t>
      </w:r>
      <w:proofErr w:type="spellStart"/>
      <w:r>
        <w:rPr>
          <w:sz w:val="24"/>
          <w:szCs w:val="24"/>
        </w:rPr>
        <w:t>yfinance</w:t>
      </w:r>
      <w:proofErr w:type="spellEnd"/>
      <w:r>
        <w:rPr>
          <w:sz w:val="24"/>
          <w:szCs w:val="24"/>
        </w:rPr>
        <w:t xml:space="preserve"> Python library (ticker SRU-UN.TO).</w:t>
      </w:r>
    </w:p>
    <w:p w:rsidR="0052768C" w:rsidRDefault="00330488">
      <w:pPr>
        <w:pStyle w:val="ListParagraph"/>
        <w:numPr>
          <w:ilvl w:val="0"/>
          <w:numId w:val="1"/>
        </w:numPr>
        <w:spacing w:line="480" w:lineRule="auto"/>
      </w:pPr>
      <w:r>
        <w:rPr>
          <w:sz w:val="24"/>
          <w:szCs w:val="24"/>
        </w:rPr>
        <w:t xml:space="preserve">Company financial data — rental income, net rental income, total assets, </w:t>
      </w:r>
      <w:r>
        <w:rPr>
          <w:sz w:val="24"/>
          <w:szCs w:val="24"/>
        </w:rPr>
        <w:t xml:space="preserve">debt, operating cash flow, distributions paid, and net income, extracted from </w:t>
      </w:r>
      <w:proofErr w:type="spellStart"/>
      <w:r>
        <w:rPr>
          <w:sz w:val="24"/>
          <w:szCs w:val="24"/>
        </w:rPr>
        <w:t>SmartCentres</w:t>
      </w:r>
      <w:proofErr w:type="spellEnd"/>
      <w:r>
        <w:rPr>
          <w:sz w:val="24"/>
          <w:szCs w:val="24"/>
        </w:rPr>
        <w:t>' publicly filed financial statements (PDF reports).</w:t>
      </w:r>
    </w:p>
    <w:p w:rsidR="0052768C" w:rsidRDefault="00330488">
      <w:pPr>
        <w:pStyle w:val="ListParagraph"/>
        <w:numPr>
          <w:ilvl w:val="0"/>
          <w:numId w:val="1"/>
        </w:numPr>
        <w:spacing w:line="480" w:lineRule="auto"/>
      </w:pPr>
      <w:r>
        <w:rPr>
          <w:sz w:val="24"/>
          <w:szCs w:val="24"/>
        </w:rPr>
        <w:t xml:space="preserve">Property and operating data — total number of properties and in-place/committed occupancy rate, extracted from </w:t>
      </w:r>
      <w:proofErr w:type="spellStart"/>
      <w:r>
        <w:rPr>
          <w:sz w:val="24"/>
          <w:szCs w:val="24"/>
        </w:rPr>
        <w:t>Sm</w:t>
      </w:r>
      <w:r>
        <w:rPr>
          <w:sz w:val="24"/>
          <w:szCs w:val="24"/>
        </w:rPr>
        <w:t>artCentres</w:t>
      </w:r>
      <w:proofErr w:type="spellEnd"/>
      <w:r>
        <w:rPr>
          <w:sz w:val="24"/>
          <w:szCs w:val="24"/>
        </w:rPr>
        <w:t>' public disclosures.</w:t>
      </w:r>
    </w:p>
    <w:p w:rsidR="0052768C" w:rsidRDefault="00330488">
      <w:pPr>
        <w:pStyle w:val="ListParagraph"/>
        <w:numPr>
          <w:ilvl w:val="0"/>
          <w:numId w:val="1"/>
        </w:numPr>
        <w:spacing w:line="480" w:lineRule="auto"/>
      </w:pPr>
      <w:r>
        <w:rPr>
          <w:sz w:val="24"/>
          <w:szCs w:val="24"/>
        </w:rPr>
        <w:t xml:space="preserve">Competitor data — dividend/distribution yield and market capitalization for Choice Properties REIT, </w:t>
      </w:r>
      <w:proofErr w:type="spellStart"/>
      <w:r>
        <w:rPr>
          <w:sz w:val="24"/>
          <w:szCs w:val="24"/>
        </w:rPr>
        <w:t>RioCan</w:t>
      </w:r>
      <w:proofErr w:type="spellEnd"/>
      <w:r>
        <w:rPr>
          <w:sz w:val="24"/>
          <w:szCs w:val="24"/>
        </w:rPr>
        <w:t xml:space="preserve"> REIT, Allied Properties REIT, and First Capital REIT, sourced from WOWA's REIT comparison tables and </w:t>
      </w:r>
      <w:proofErr w:type="spellStart"/>
      <w:r>
        <w:rPr>
          <w:sz w:val="24"/>
          <w:szCs w:val="24"/>
        </w:rPr>
        <w:t>yfinance</w:t>
      </w:r>
      <w:proofErr w:type="spellEnd"/>
      <w:r>
        <w:rPr>
          <w:sz w:val="24"/>
          <w:szCs w:val="24"/>
        </w:rPr>
        <w:t xml:space="preserve"> company</w:t>
      </w:r>
      <w:r>
        <w:rPr>
          <w:sz w:val="24"/>
          <w:szCs w:val="24"/>
        </w:rPr>
        <w:t xml:space="preserve"> profiles.</w:t>
      </w:r>
    </w:p>
    <w:p w:rsidR="0052768C" w:rsidRDefault="00330488">
      <w:pPr>
        <w:pStyle w:val="ListParagraph"/>
        <w:numPr>
          <w:ilvl w:val="0"/>
          <w:numId w:val="1"/>
        </w:numPr>
        <w:spacing w:line="480" w:lineRule="auto"/>
      </w:pPr>
      <w:r>
        <w:rPr>
          <w:sz w:val="24"/>
          <w:szCs w:val="24"/>
        </w:rPr>
        <w:t>Macroeconomic data — the Bank of Canada target overnight rate and the 5-year and 10-year Government of Canada benchmark bond yields, sourced through the Bank of Canada Valet API.</w:t>
      </w:r>
    </w:p>
    <w:p w:rsidR="0052768C" w:rsidRDefault="00330488">
      <w:pPr>
        <w:spacing w:line="480" w:lineRule="auto"/>
        <w:ind w:firstLine="720"/>
        <w:jc w:val="both"/>
      </w:pPr>
      <w:r>
        <w:rPr>
          <w:sz w:val="24"/>
          <w:szCs w:val="24"/>
        </w:rPr>
        <w:t xml:space="preserve">These sources were combined into eight structured datasets: </w:t>
      </w:r>
      <w:proofErr w:type="spellStart"/>
      <w:r>
        <w:rPr>
          <w:sz w:val="24"/>
          <w:szCs w:val="24"/>
        </w:rPr>
        <w:t>yfinan</w:t>
      </w:r>
      <w:r>
        <w:rPr>
          <w:sz w:val="24"/>
          <w:szCs w:val="24"/>
        </w:rPr>
        <w:t>ce_stock_prices</w:t>
      </w:r>
      <w:proofErr w:type="spellEnd"/>
      <w:r>
        <w:rPr>
          <w:sz w:val="24"/>
          <w:szCs w:val="24"/>
        </w:rPr>
        <w:t xml:space="preserve">, </w:t>
      </w:r>
      <w:proofErr w:type="spellStart"/>
      <w:r>
        <w:rPr>
          <w:sz w:val="24"/>
          <w:szCs w:val="24"/>
        </w:rPr>
        <w:t>yfinance_company_profile</w:t>
      </w:r>
      <w:proofErr w:type="spellEnd"/>
      <w:r>
        <w:rPr>
          <w:sz w:val="24"/>
          <w:szCs w:val="24"/>
        </w:rPr>
        <w:t xml:space="preserve">, </w:t>
      </w:r>
      <w:proofErr w:type="spellStart"/>
      <w:r>
        <w:rPr>
          <w:sz w:val="24"/>
          <w:szCs w:val="24"/>
        </w:rPr>
        <w:t>yfinance_dividends</w:t>
      </w:r>
      <w:proofErr w:type="spellEnd"/>
      <w:r>
        <w:rPr>
          <w:sz w:val="24"/>
          <w:szCs w:val="24"/>
        </w:rPr>
        <w:t xml:space="preserve">, </w:t>
      </w:r>
      <w:proofErr w:type="spellStart"/>
      <w:r>
        <w:rPr>
          <w:sz w:val="24"/>
          <w:szCs w:val="24"/>
        </w:rPr>
        <w:t>smartcentres_financials_from_pdfs</w:t>
      </w:r>
      <w:proofErr w:type="spellEnd"/>
      <w:r>
        <w:rPr>
          <w:sz w:val="24"/>
          <w:szCs w:val="24"/>
        </w:rPr>
        <w:t xml:space="preserve">, </w:t>
      </w:r>
      <w:proofErr w:type="spellStart"/>
      <w:r>
        <w:rPr>
          <w:sz w:val="24"/>
          <w:szCs w:val="24"/>
        </w:rPr>
        <w:t>smartcentres_properties</w:t>
      </w:r>
      <w:proofErr w:type="spellEnd"/>
      <w:r>
        <w:rPr>
          <w:sz w:val="24"/>
          <w:szCs w:val="24"/>
        </w:rPr>
        <w:t xml:space="preserve">, </w:t>
      </w:r>
      <w:proofErr w:type="spellStart"/>
      <w:r>
        <w:rPr>
          <w:sz w:val="24"/>
          <w:szCs w:val="24"/>
        </w:rPr>
        <w:t>smartcentres_distributions</w:t>
      </w:r>
      <w:proofErr w:type="spellEnd"/>
      <w:r>
        <w:rPr>
          <w:sz w:val="24"/>
          <w:szCs w:val="24"/>
        </w:rPr>
        <w:t xml:space="preserve">, </w:t>
      </w:r>
      <w:proofErr w:type="spellStart"/>
      <w:r>
        <w:rPr>
          <w:sz w:val="24"/>
          <w:szCs w:val="24"/>
        </w:rPr>
        <w:t>bank_of_canada_macro</w:t>
      </w:r>
      <w:proofErr w:type="spellEnd"/>
      <w:r>
        <w:rPr>
          <w:sz w:val="24"/>
          <w:szCs w:val="24"/>
        </w:rPr>
        <w:t xml:space="preserve">, and </w:t>
      </w:r>
      <w:proofErr w:type="spellStart"/>
      <w:r>
        <w:rPr>
          <w:sz w:val="24"/>
          <w:szCs w:val="24"/>
        </w:rPr>
        <w:t>wowa_competitors</w:t>
      </w:r>
      <w:proofErr w:type="spellEnd"/>
      <w:r>
        <w:rPr>
          <w:sz w:val="24"/>
          <w:szCs w:val="24"/>
        </w:rPr>
        <w:t>.</w:t>
      </w:r>
    </w:p>
    <w:p w:rsidR="0052768C" w:rsidRDefault="00330488">
      <w:pPr>
        <w:pStyle w:val="Heading2"/>
        <w:spacing w:before="260" w:after="160" w:line="480" w:lineRule="auto"/>
      </w:pPr>
      <w:r>
        <w:rPr>
          <w:b/>
          <w:bCs/>
        </w:rPr>
        <w:t>Data Collection Method</w:t>
      </w:r>
    </w:p>
    <w:p w:rsidR="0052768C" w:rsidRDefault="00330488">
      <w:pPr>
        <w:spacing w:line="480" w:lineRule="auto"/>
        <w:ind w:firstLine="720"/>
        <w:jc w:val="both"/>
      </w:pPr>
      <w:r>
        <w:rPr>
          <w:sz w:val="24"/>
          <w:szCs w:val="24"/>
        </w:rPr>
        <w:t>Relevant public data sources were firs</w:t>
      </w:r>
      <w:r>
        <w:rPr>
          <w:sz w:val="24"/>
          <w:szCs w:val="24"/>
        </w:rPr>
        <w:t xml:space="preserve">t identified manually by reviewing </w:t>
      </w:r>
      <w:proofErr w:type="spellStart"/>
      <w:r>
        <w:rPr>
          <w:sz w:val="24"/>
          <w:szCs w:val="24"/>
        </w:rPr>
        <w:t>SmartCentres</w:t>
      </w:r>
      <w:proofErr w:type="spellEnd"/>
      <w:r>
        <w:rPr>
          <w:sz w:val="24"/>
          <w:szCs w:val="24"/>
        </w:rPr>
        <w:t xml:space="preserve">' investor relations pages, the Bank of Canada's data portal, </w:t>
      </w:r>
      <w:proofErr w:type="spellStart"/>
      <w:r>
        <w:rPr>
          <w:sz w:val="24"/>
          <w:szCs w:val="24"/>
        </w:rPr>
        <w:t>yfinance's</w:t>
      </w:r>
      <w:proofErr w:type="spellEnd"/>
      <w:r>
        <w:rPr>
          <w:sz w:val="24"/>
          <w:szCs w:val="24"/>
        </w:rPr>
        <w:t xml:space="preserve"> documentation, and WOWA's REIT comparison page. Once a source was identified, Google Gemini was used within Google </w:t>
      </w:r>
      <w:proofErr w:type="spellStart"/>
      <w:r>
        <w:rPr>
          <w:sz w:val="24"/>
          <w:szCs w:val="24"/>
        </w:rPr>
        <w:t>Colab</w:t>
      </w:r>
      <w:proofErr w:type="spellEnd"/>
      <w:r>
        <w:rPr>
          <w:sz w:val="24"/>
          <w:szCs w:val="24"/>
        </w:rPr>
        <w:t xml:space="preserve"> to generate the</w:t>
      </w:r>
      <w:r>
        <w:rPr>
          <w:sz w:val="24"/>
          <w:szCs w:val="24"/>
        </w:rPr>
        <w:t xml:space="preserve"> Python scraping and API-request code needed to pull that source </w:t>
      </w:r>
      <w:r>
        <w:rPr>
          <w:sz w:val="24"/>
          <w:szCs w:val="24"/>
        </w:rPr>
        <w:lastRenderedPageBreak/>
        <w:t>into a structured CSV file. Each script was executed, and its output was manually inspected before being accepted into the dataset.</w:t>
      </w:r>
    </w:p>
    <w:p w:rsidR="0052768C" w:rsidRDefault="00330488">
      <w:pPr>
        <w:pStyle w:val="Heading2"/>
        <w:spacing w:before="260" w:after="160" w:line="480" w:lineRule="auto"/>
      </w:pPr>
      <w:r>
        <w:rPr>
          <w:b/>
          <w:bCs/>
        </w:rPr>
        <w:t>Data Cleaning and Validation</w:t>
      </w:r>
    </w:p>
    <w:p w:rsidR="0052768C" w:rsidRDefault="00330488">
      <w:pPr>
        <w:spacing w:line="480" w:lineRule="auto"/>
        <w:ind w:firstLine="720"/>
        <w:jc w:val="both"/>
      </w:pPr>
      <w:r>
        <w:rPr>
          <w:sz w:val="24"/>
          <w:szCs w:val="24"/>
        </w:rPr>
        <w:t>Several cleaning steps were re</w:t>
      </w:r>
      <w:r>
        <w:rPr>
          <w:sz w:val="24"/>
          <w:szCs w:val="24"/>
        </w:rPr>
        <w:t>quired before the data could be analyzed reliably:</w:t>
      </w:r>
    </w:p>
    <w:p w:rsidR="0052768C" w:rsidRDefault="00330488">
      <w:pPr>
        <w:pStyle w:val="ListParagraph"/>
        <w:numPr>
          <w:ilvl w:val="0"/>
          <w:numId w:val="1"/>
        </w:numPr>
        <w:spacing w:line="480" w:lineRule="auto"/>
      </w:pPr>
      <w:r>
        <w:rPr>
          <w:sz w:val="24"/>
          <w:szCs w:val="24"/>
        </w:rPr>
        <w:t>Financial statement values were reported in thousands of Canadian dollars and were converted to CAD millions for readability in charts.</w:t>
      </w:r>
    </w:p>
    <w:p w:rsidR="0052768C" w:rsidRDefault="00330488">
      <w:pPr>
        <w:pStyle w:val="ListParagraph"/>
        <w:numPr>
          <w:ilvl w:val="0"/>
          <w:numId w:val="1"/>
        </w:numPr>
        <w:spacing w:line="480" w:lineRule="auto"/>
      </w:pPr>
      <w:r>
        <w:rPr>
          <w:sz w:val="24"/>
          <w:szCs w:val="24"/>
        </w:rPr>
        <w:t xml:space="preserve">Date fields (stock prices, dividends, </w:t>
      </w:r>
      <w:proofErr w:type="gramStart"/>
      <w:r>
        <w:rPr>
          <w:sz w:val="24"/>
          <w:szCs w:val="24"/>
        </w:rPr>
        <w:t>macroeconomic</w:t>
      </w:r>
      <w:proofErr w:type="gramEnd"/>
      <w:r>
        <w:rPr>
          <w:sz w:val="24"/>
          <w:szCs w:val="24"/>
        </w:rPr>
        <w:t xml:space="preserve"> series) were parsed and standardized to a consistent </w:t>
      </w:r>
      <w:proofErr w:type="spellStart"/>
      <w:r>
        <w:rPr>
          <w:sz w:val="24"/>
          <w:szCs w:val="24"/>
        </w:rPr>
        <w:t>datetime</w:t>
      </w:r>
      <w:proofErr w:type="spellEnd"/>
      <w:r>
        <w:rPr>
          <w:sz w:val="24"/>
          <w:szCs w:val="24"/>
        </w:rPr>
        <w:t xml:space="preserve"> format, with </w:t>
      </w:r>
      <w:proofErr w:type="spellStart"/>
      <w:r>
        <w:rPr>
          <w:sz w:val="24"/>
          <w:szCs w:val="24"/>
        </w:rPr>
        <w:t>timezone</w:t>
      </w:r>
      <w:proofErr w:type="spellEnd"/>
      <w:r>
        <w:rPr>
          <w:sz w:val="24"/>
          <w:szCs w:val="24"/>
        </w:rPr>
        <w:t xml:space="preserve"> information normalized.</w:t>
      </w:r>
    </w:p>
    <w:p w:rsidR="0052768C" w:rsidRDefault="00330488">
      <w:pPr>
        <w:pStyle w:val="ListParagraph"/>
        <w:numPr>
          <w:ilvl w:val="0"/>
          <w:numId w:val="1"/>
        </w:numPr>
        <w:spacing w:line="480" w:lineRule="auto"/>
      </w:pPr>
      <w:r>
        <w:rPr>
          <w:sz w:val="24"/>
          <w:szCs w:val="24"/>
        </w:rPr>
        <w:t>Numeric fields extracted from PDF text (financial line items, occupancy rate, property counts) w</w:t>
      </w:r>
      <w:r>
        <w:rPr>
          <w:sz w:val="24"/>
          <w:szCs w:val="24"/>
        </w:rPr>
        <w:t>ere coerced to numeric types, and non-numeric or malformed rows were dropped.</w:t>
      </w:r>
    </w:p>
    <w:p w:rsidR="0052768C" w:rsidRDefault="00330488">
      <w:pPr>
        <w:pStyle w:val="ListParagraph"/>
        <w:numPr>
          <w:ilvl w:val="0"/>
          <w:numId w:val="1"/>
        </w:numPr>
        <w:spacing w:line="480" w:lineRule="auto"/>
      </w:pPr>
      <w:r>
        <w:rPr>
          <w:sz w:val="24"/>
          <w:szCs w:val="24"/>
        </w:rPr>
        <w:t xml:space="preserve">Where </w:t>
      </w:r>
      <w:proofErr w:type="spellStart"/>
      <w:r>
        <w:rPr>
          <w:sz w:val="24"/>
          <w:szCs w:val="24"/>
        </w:rPr>
        <w:t>SmartCentres</w:t>
      </w:r>
      <w:proofErr w:type="spellEnd"/>
      <w:r>
        <w:rPr>
          <w:sz w:val="24"/>
          <w:szCs w:val="24"/>
        </w:rPr>
        <w:t>' financial line items appeared more than once for the same period (e.g., restated figures), the median value was used to reduce the effect of outliers.</w:t>
      </w:r>
    </w:p>
    <w:p w:rsidR="0052768C" w:rsidRDefault="00330488">
      <w:pPr>
        <w:pStyle w:val="ListParagraph"/>
        <w:numPr>
          <w:ilvl w:val="0"/>
          <w:numId w:val="1"/>
        </w:numPr>
        <w:spacing w:line="480" w:lineRule="auto"/>
      </w:pPr>
      <w:r>
        <w:rPr>
          <w:sz w:val="24"/>
          <w:szCs w:val="24"/>
        </w:rPr>
        <w:t>Competi</w:t>
      </w:r>
      <w:r>
        <w:rPr>
          <w:sz w:val="24"/>
          <w:szCs w:val="24"/>
        </w:rPr>
        <w:t xml:space="preserve">tor yield figures were cross-checked between WOWA and </w:t>
      </w:r>
      <w:proofErr w:type="spellStart"/>
      <w:r>
        <w:rPr>
          <w:sz w:val="24"/>
          <w:szCs w:val="24"/>
        </w:rPr>
        <w:t>yfinance</w:t>
      </w:r>
      <w:proofErr w:type="spellEnd"/>
      <w:r>
        <w:rPr>
          <w:sz w:val="24"/>
          <w:szCs w:val="24"/>
        </w:rPr>
        <w:t xml:space="preserve"> company profiles; because these two sources update on different schedules, discrepancies were flagged rather than silently averaged, and the more recent, dated source was preferred (for example</w:t>
      </w:r>
      <w:r>
        <w:rPr>
          <w:sz w:val="24"/>
          <w:szCs w:val="24"/>
        </w:rPr>
        <w:t>, WOWA's yield figures explicitly note Allied Properties REIT's 2026 distribution cut and First Capital REIT's pending privatization).</w:t>
      </w:r>
    </w:p>
    <w:p w:rsidR="0052768C" w:rsidRDefault="00330488">
      <w:pPr>
        <w:spacing w:line="480" w:lineRule="auto"/>
        <w:ind w:firstLine="720"/>
        <w:jc w:val="both"/>
      </w:pPr>
      <w:r>
        <w:rPr>
          <w:sz w:val="24"/>
          <w:szCs w:val="24"/>
        </w:rPr>
        <w:t>This validation step was important because a REIT comparison built on stale competitor data could materially overstate or</w:t>
      </w:r>
      <w:r>
        <w:rPr>
          <w:sz w:val="24"/>
          <w:szCs w:val="24"/>
        </w:rPr>
        <w:t xml:space="preserve"> understate </w:t>
      </w:r>
      <w:proofErr w:type="spellStart"/>
      <w:r>
        <w:rPr>
          <w:sz w:val="24"/>
          <w:szCs w:val="24"/>
        </w:rPr>
        <w:t>SmartCentres</w:t>
      </w:r>
      <w:proofErr w:type="spellEnd"/>
      <w:r>
        <w:rPr>
          <w:sz w:val="24"/>
          <w:szCs w:val="24"/>
        </w:rPr>
        <w:t>' relative attractiveness — both Allied Properties REIT and First Capital REIT underwent significant corporate events in early-to-mid 2026 that changed their yield profile.</w:t>
      </w:r>
    </w:p>
    <w:p w:rsidR="0052768C" w:rsidRDefault="00330488">
      <w:pPr>
        <w:pStyle w:val="Heading1"/>
        <w:spacing w:before="360" w:after="200" w:line="480" w:lineRule="auto"/>
      </w:pPr>
      <w:r>
        <w:rPr>
          <w:b/>
          <w:bCs/>
          <w:sz w:val="28"/>
          <w:szCs w:val="28"/>
        </w:rPr>
        <w:lastRenderedPageBreak/>
        <w:t>D. Solution Design</w:t>
      </w:r>
    </w:p>
    <w:p w:rsidR="0052768C" w:rsidRDefault="00330488">
      <w:pPr>
        <w:spacing w:line="480" w:lineRule="auto"/>
        <w:ind w:firstLine="720"/>
        <w:jc w:val="both"/>
      </w:pPr>
      <w:r>
        <w:rPr>
          <w:sz w:val="24"/>
          <w:szCs w:val="24"/>
        </w:rPr>
        <w:t>The project followed a five-stage pipeli</w:t>
      </w:r>
      <w:r>
        <w:rPr>
          <w:sz w:val="24"/>
          <w:szCs w:val="24"/>
        </w:rPr>
        <w:t>ne, moving from raw public data to a final investment recommendation:</w:t>
      </w:r>
    </w:p>
    <w:p w:rsidR="0052768C" w:rsidRDefault="00330488">
      <w:pPr>
        <w:pStyle w:val="ListParagraph"/>
        <w:numPr>
          <w:ilvl w:val="0"/>
          <w:numId w:val="1"/>
        </w:numPr>
        <w:spacing w:line="480" w:lineRule="auto"/>
      </w:pPr>
      <w:r>
        <w:rPr>
          <w:sz w:val="24"/>
          <w:szCs w:val="24"/>
        </w:rPr>
        <w:t xml:space="preserve">1. Source identification — public websites and APIs relevant to </w:t>
      </w:r>
      <w:proofErr w:type="spellStart"/>
      <w:r>
        <w:rPr>
          <w:sz w:val="24"/>
          <w:szCs w:val="24"/>
        </w:rPr>
        <w:t>SmartCentres</w:t>
      </w:r>
      <w:proofErr w:type="spellEnd"/>
      <w:r>
        <w:rPr>
          <w:sz w:val="24"/>
          <w:szCs w:val="24"/>
        </w:rPr>
        <w:t xml:space="preserve"> and its competitors were identified manually.</w:t>
      </w:r>
    </w:p>
    <w:p w:rsidR="0052768C" w:rsidRDefault="00330488">
      <w:pPr>
        <w:pStyle w:val="ListParagraph"/>
        <w:numPr>
          <w:ilvl w:val="0"/>
          <w:numId w:val="1"/>
        </w:numPr>
        <w:spacing w:line="480" w:lineRule="auto"/>
      </w:pPr>
      <w:r>
        <w:rPr>
          <w:sz w:val="24"/>
          <w:szCs w:val="24"/>
        </w:rPr>
        <w:t>2. Scraping and acquisition — Google Gemini generated Python sc</w:t>
      </w:r>
      <w:r>
        <w:rPr>
          <w:sz w:val="24"/>
          <w:szCs w:val="24"/>
        </w:rPr>
        <w:t xml:space="preserve">raping/API code, executed inside Google </w:t>
      </w:r>
      <w:proofErr w:type="spellStart"/>
      <w:r>
        <w:rPr>
          <w:sz w:val="24"/>
          <w:szCs w:val="24"/>
        </w:rPr>
        <w:t>Colab</w:t>
      </w:r>
      <w:proofErr w:type="spellEnd"/>
      <w:r>
        <w:rPr>
          <w:sz w:val="24"/>
          <w:szCs w:val="24"/>
        </w:rPr>
        <w:t>, to pull each source into a CSV file.</w:t>
      </w:r>
    </w:p>
    <w:p w:rsidR="0052768C" w:rsidRDefault="00330488">
      <w:pPr>
        <w:pStyle w:val="ListParagraph"/>
        <w:numPr>
          <w:ilvl w:val="0"/>
          <w:numId w:val="1"/>
        </w:numPr>
        <w:spacing w:line="480" w:lineRule="auto"/>
      </w:pPr>
      <w:r>
        <w:rPr>
          <w:sz w:val="24"/>
          <w:szCs w:val="24"/>
        </w:rPr>
        <w:t xml:space="preserve">3. Cleaning and structuring — the raw CSVs were loaded into pandas, cleaned (type coercion, </w:t>
      </w:r>
      <w:proofErr w:type="spellStart"/>
      <w:r>
        <w:rPr>
          <w:sz w:val="24"/>
          <w:szCs w:val="24"/>
        </w:rPr>
        <w:t>deduplication</w:t>
      </w:r>
      <w:proofErr w:type="spellEnd"/>
      <w:r>
        <w:rPr>
          <w:sz w:val="24"/>
          <w:szCs w:val="24"/>
        </w:rPr>
        <w:t>, unit conversion, date parsing), and merged where needed (for exam</w:t>
      </w:r>
      <w:r>
        <w:rPr>
          <w:sz w:val="24"/>
          <w:szCs w:val="24"/>
        </w:rPr>
        <w:t>ple, joining monthly stock prices with monthly macroeconomic series).</w:t>
      </w:r>
    </w:p>
    <w:p w:rsidR="0052768C" w:rsidRDefault="00330488">
      <w:pPr>
        <w:pStyle w:val="ListParagraph"/>
        <w:numPr>
          <w:ilvl w:val="0"/>
          <w:numId w:val="1"/>
        </w:numPr>
        <w:spacing w:line="480" w:lineRule="auto"/>
      </w:pPr>
      <w:r>
        <w:rPr>
          <w:sz w:val="24"/>
          <w:szCs w:val="24"/>
        </w:rPr>
        <w:t xml:space="preserve">4. Exploratory data analysis (EDA) — the cleaned data was analyzed in a </w:t>
      </w:r>
      <w:proofErr w:type="spellStart"/>
      <w:r>
        <w:rPr>
          <w:sz w:val="24"/>
          <w:szCs w:val="24"/>
        </w:rPr>
        <w:t>Jupyter</w:t>
      </w:r>
      <w:proofErr w:type="spellEnd"/>
      <w:r>
        <w:rPr>
          <w:sz w:val="24"/>
          <w:szCs w:val="24"/>
        </w:rPr>
        <w:t>/</w:t>
      </w:r>
      <w:proofErr w:type="spellStart"/>
      <w:r>
        <w:rPr>
          <w:sz w:val="24"/>
          <w:szCs w:val="24"/>
        </w:rPr>
        <w:t>Colab</w:t>
      </w:r>
      <w:proofErr w:type="spellEnd"/>
      <w:r>
        <w:rPr>
          <w:sz w:val="24"/>
          <w:szCs w:val="24"/>
        </w:rPr>
        <w:t xml:space="preserve"> notebook (05_eda.ipynb) covering stock performance, dividends, financial ratios, occupancy, competit</w:t>
      </w:r>
      <w:r>
        <w:rPr>
          <w:sz w:val="24"/>
          <w:szCs w:val="24"/>
        </w:rPr>
        <w:t>or comparison, and macroeconomic correlation.</w:t>
      </w:r>
    </w:p>
    <w:p w:rsidR="0052768C" w:rsidRDefault="00330488">
      <w:pPr>
        <w:pStyle w:val="ListParagraph"/>
        <w:numPr>
          <w:ilvl w:val="0"/>
          <w:numId w:val="1"/>
        </w:numPr>
        <w:spacing w:line="480" w:lineRule="auto"/>
      </w:pPr>
      <w:r>
        <w:rPr>
          <w:sz w:val="24"/>
          <w:szCs w:val="24"/>
        </w:rPr>
        <w:t>5. Synthesis and recommendation — the resulting charts and summary statistics were interpreted manually to form the final buy/hold/sell recommendation and supporting narrative presented in this report.</w:t>
      </w:r>
    </w:p>
    <w:p w:rsidR="0052768C" w:rsidRDefault="00330488">
      <w:pPr>
        <w:spacing w:line="480" w:lineRule="auto"/>
        <w:ind w:firstLine="720"/>
        <w:jc w:val="both"/>
      </w:pPr>
      <w:r>
        <w:rPr>
          <w:sz w:val="24"/>
          <w:szCs w:val="24"/>
        </w:rPr>
        <w:t xml:space="preserve">This pipeline was chosen because </w:t>
      </w:r>
      <w:proofErr w:type="spellStart"/>
      <w:r>
        <w:rPr>
          <w:sz w:val="24"/>
          <w:szCs w:val="24"/>
        </w:rPr>
        <w:t>SmartCentres</w:t>
      </w:r>
      <w:proofErr w:type="spellEnd"/>
      <w:r>
        <w:rPr>
          <w:sz w:val="24"/>
          <w:szCs w:val="24"/>
        </w:rPr>
        <w:t>' investment case cannot be answered from any single data source: stock price alone does not reveal balance-sheet health, and financial statements alone do not reveal how the market or competitors are pricing th</w:t>
      </w:r>
      <w:r>
        <w:rPr>
          <w:sz w:val="24"/>
          <w:szCs w:val="24"/>
        </w:rPr>
        <w:t xml:space="preserve">at health. Combining all five data categories into one notebook allowed cross-referencing — for example, comparing </w:t>
      </w:r>
      <w:proofErr w:type="spellStart"/>
      <w:r>
        <w:rPr>
          <w:sz w:val="24"/>
          <w:szCs w:val="24"/>
        </w:rPr>
        <w:t>SmartCentres</w:t>
      </w:r>
      <w:proofErr w:type="spellEnd"/>
      <w:r>
        <w:rPr>
          <w:sz w:val="24"/>
          <w:szCs w:val="24"/>
        </w:rPr>
        <w:t>' dividend yield trend against the 5-year Government of Canada bond yield to see whether the REIT's yield premium over a risk-fre</w:t>
      </w:r>
      <w:r>
        <w:rPr>
          <w:sz w:val="24"/>
          <w:szCs w:val="24"/>
        </w:rPr>
        <w:t>e benchmark was widening or narrowing over time.</w:t>
      </w:r>
    </w:p>
    <w:p w:rsidR="0052768C" w:rsidRDefault="00330488">
      <w:pPr>
        <w:pStyle w:val="Heading1"/>
        <w:spacing w:before="360" w:after="200" w:line="480" w:lineRule="auto"/>
      </w:pPr>
      <w:r>
        <w:rPr>
          <w:b/>
          <w:bCs/>
          <w:sz w:val="28"/>
          <w:szCs w:val="28"/>
        </w:rPr>
        <w:lastRenderedPageBreak/>
        <w:t>E. Results and Key Findings</w:t>
      </w:r>
    </w:p>
    <w:p w:rsidR="0052768C" w:rsidRDefault="00330488">
      <w:pPr>
        <w:pStyle w:val="Heading2"/>
        <w:spacing w:before="260" w:after="160" w:line="480" w:lineRule="auto"/>
      </w:pPr>
      <w:r>
        <w:rPr>
          <w:b/>
          <w:bCs/>
        </w:rPr>
        <w:t>E.1 Company Overview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000"/>
        <w:gridCol w:w="4000"/>
      </w:tblGrid>
      <w:tr w:rsidR="0052768C">
        <w:tblPrEx>
          <w:tblCellMar>
            <w:top w:w="0" w:type="dxa"/>
            <w:bottom w:w="0" w:type="dxa"/>
          </w:tblCellMar>
        </w:tblPrEx>
        <w:tc>
          <w:tcPr>
            <w:tcW w:w="5000" w:type="dxa"/>
            <w:shd w:val="clear" w:color="auto" w:fill="D9D9D9"/>
          </w:tcPr>
          <w:p w:rsidR="0052768C" w:rsidRDefault="00330488">
            <w:pPr>
              <w:spacing w:line="276" w:lineRule="auto"/>
            </w:pPr>
            <w:r>
              <w:rPr>
                <w:b/>
                <w:bCs/>
                <w:sz w:val="24"/>
                <w:szCs w:val="24"/>
              </w:rPr>
              <w:t>Metric</w:t>
            </w:r>
          </w:p>
        </w:tc>
        <w:tc>
          <w:tcPr>
            <w:tcW w:w="4000" w:type="dxa"/>
            <w:shd w:val="clear" w:color="auto" w:fill="D9D9D9"/>
          </w:tcPr>
          <w:p w:rsidR="0052768C" w:rsidRDefault="00330488">
            <w:pPr>
              <w:spacing w:line="276" w:lineRule="auto"/>
            </w:pPr>
            <w:r>
              <w:rPr>
                <w:b/>
                <w:bCs/>
                <w:sz w:val="24"/>
                <w:szCs w:val="24"/>
              </w:rPr>
              <w:t>Value</w:t>
            </w:r>
          </w:p>
        </w:tc>
      </w:tr>
      <w:tr w:rsidR="0052768C">
        <w:tblPrEx>
          <w:tblCellMar>
            <w:top w:w="0" w:type="dxa"/>
            <w:bottom w:w="0" w:type="dxa"/>
          </w:tblCellMar>
        </w:tblPrEx>
        <w:tc>
          <w:tcPr>
            <w:tcW w:w="5000" w:type="dxa"/>
          </w:tcPr>
          <w:p w:rsidR="0052768C" w:rsidRDefault="00330488">
            <w:pPr>
              <w:spacing w:line="276" w:lineRule="auto"/>
            </w:pPr>
            <w:r>
              <w:rPr>
                <w:sz w:val="24"/>
                <w:szCs w:val="24"/>
              </w:rPr>
              <w:t>Properties (ownership interest)</w:t>
            </w:r>
          </w:p>
        </w:tc>
        <w:tc>
          <w:tcPr>
            <w:tcW w:w="4000" w:type="dxa"/>
          </w:tcPr>
          <w:p w:rsidR="0052768C" w:rsidRDefault="00330488">
            <w:pPr>
              <w:spacing w:line="276" w:lineRule="auto"/>
            </w:pPr>
            <w:r>
              <w:rPr>
                <w:sz w:val="24"/>
                <w:szCs w:val="24"/>
              </w:rPr>
              <w:t>~200</w:t>
            </w:r>
          </w:p>
        </w:tc>
      </w:tr>
      <w:tr w:rsidR="0052768C">
        <w:tblPrEx>
          <w:tblCellMar>
            <w:top w:w="0" w:type="dxa"/>
            <w:bottom w:w="0" w:type="dxa"/>
          </w:tblCellMar>
        </w:tblPrEx>
        <w:tc>
          <w:tcPr>
            <w:tcW w:w="5000" w:type="dxa"/>
          </w:tcPr>
          <w:p w:rsidR="0052768C" w:rsidRDefault="00330488">
            <w:pPr>
              <w:spacing w:line="276" w:lineRule="auto"/>
            </w:pPr>
            <w:r>
              <w:rPr>
                <w:sz w:val="24"/>
                <w:szCs w:val="24"/>
              </w:rPr>
              <w:t>Income-producing area</w:t>
            </w:r>
          </w:p>
        </w:tc>
        <w:tc>
          <w:tcPr>
            <w:tcW w:w="4000" w:type="dxa"/>
          </w:tcPr>
          <w:p w:rsidR="0052768C" w:rsidRDefault="00330488">
            <w:pPr>
              <w:spacing w:line="276" w:lineRule="auto"/>
            </w:pPr>
            <w:r>
              <w:rPr>
                <w:sz w:val="24"/>
                <w:szCs w:val="24"/>
              </w:rPr>
              <w:t>36 million sq. ft.</w:t>
            </w:r>
          </w:p>
        </w:tc>
      </w:tr>
      <w:tr w:rsidR="0052768C">
        <w:tblPrEx>
          <w:tblCellMar>
            <w:top w:w="0" w:type="dxa"/>
            <w:bottom w:w="0" w:type="dxa"/>
          </w:tblCellMar>
        </w:tblPrEx>
        <w:tc>
          <w:tcPr>
            <w:tcW w:w="5000" w:type="dxa"/>
          </w:tcPr>
          <w:p w:rsidR="0052768C" w:rsidRDefault="00330488">
            <w:pPr>
              <w:spacing w:line="276" w:lineRule="auto"/>
            </w:pPr>
            <w:r>
              <w:rPr>
                <w:sz w:val="24"/>
                <w:szCs w:val="24"/>
              </w:rPr>
              <w:t>Total assets</w:t>
            </w:r>
          </w:p>
        </w:tc>
        <w:tc>
          <w:tcPr>
            <w:tcW w:w="4000" w:type="dxa"/>
          </w:tcPr>
          <w:p w:rsidR="0052768C" w:rsidRDefault="00330488">
            <w:pPr>
              <w:spacing w:line="276" w:lineRule="auto"/>
            </w:pPr>
            <w:r>
              <w:rPr>
                <w:sz w:val="24"/>
                <w:szCs w:val="24"/>
              </w:rPr>
              <w:t>CAD 12.3 billion</w:t>
            </w:r>
          </w:p>
        </w:tc>
      </w:tr>
      <w:tr w:rsidR="0052768C">
        <w:tblPrEx>
          <w:tblCellMar>
            <w:top w:w="0" w:type="dxa"/>
            <w:bottom w:w="0" w:type="dxa"/>
          </w:tblCellMar>
        </w:tblPrEx>
        <w:tc>
          <w:tcPr>
            <w:tcW w:w="5000" w:type="dxa"/>
          </w:tcPr>
          <w:p w:rsidR="0052768C" w:rsidRDefault="00330488">
            <w:pPr>
              <w:spacing w:line="276" w:lineRule="auto"/>
            </w:pPr>
            <w:r>
              <w:rPr>
                <w:sz w:val="24"/>
                <w:szCs w:val="24"/>
              </w:rPr>
              <w:t>Occupancy rate (in-place and committed)</w:t>
            </w:r>
          </w:p>
        </w:tc>
        <w:tc>
          <w:tcPr>
            <w:tcW w:w="4000" w:type="dxa"/>
          </w:tcPr>
          <w:p w:rsidR="0052768C" w:rsidRDefault="00330488">
            <w:pPr>
              <w:spacing w:line="276" w:lineRule="auto"/>
            </w:pPr>
            <w:r>
              <w:rPr>
                <w:sz w:val="24"/>
                <w:szCs w:val="24"/>
              </w:rPr>
              <w:t>98.6%–98.7%</w:t>
            </w:r>
          </w:p>
        </w:tc>
      </w:tr>
      <w:tr w:rsidR="0052768C">
        <w:tblPrEx>
          <w:tblCellMar>
            <w:top w:w="0" w:type="dxa"/>
            <w:bottom w:w="0" w:type="dxa"/>
          </w:tblCellMar>
        </w:tblPrEx>
        <w:tc>
          <w:tcPr>
            <w:tcW w:w="5000" w:type="dxa"/>
          </w:tcPr>
          <w:p w:rsidR="0052768C" w:rsidRDefault="00330488">
            <w:pPr>
              <w:spacing w:line="276" w:lineRule="auto"/>
            </w:pPr>
            <w:r>
              <w:rPr>
                <w:sz w:val="24"/>
                <w:szCs w:val="24"/>
              </w:rPr>
              <w:t>Debt-to-aggregate assets</w:t>
            </w:r>
          </w:p>
        </w:tc>
        <w:tc>
          <w:tcPr>
            <w:tcW w:w="4000" w:type="dxa"/>
          </w:tcPr>
          <w:p w:rsidR="0052768C" w:rsidRDefault="00330488">
            <w:pPr>
              <w:spacing w:line="276" w:lineRule="auto"/>
            </w:pPr>
            <w:r>
              <w:rPr>
                <w:sz w:val="24"/>
                <w:szCs w:val="24"/>
              </w:rPr>
              <w:t>43.7%</w:t>
            </w:r>
          </w:p>
        </w:tc>
      </w:tr>
      <w:tr w:rsidR="0052768C">
        <w:tblPrEx>
          <w:tblCellMar>
            <w:top w:w="0" w:type="dxa"/>
            <w:bottom w:w="0" w:type="dxa"/>
          </w:tblCellMar>
        </w:tblPrEx>
        <w:tc>
          <w:tcPr>
            <w:tcW w:w="5000" w:type="dxa"/>
          </w:tcPr>
          <w:p w:rsidR="0052768C" w:rsidRDefault="00330488">
            <w:pPr>
              <w:spacing w:line="276" w:lineRule="auto"/>
            </w:pPr>
            <w:r>
              <w:rPr>
                <w:sz w:val="24"/>
                <w:szCs w:val="24"/>
              </w:rPr>
              <w:t>FFO per unit</w:t>
            </w:r>
          </w:p>
        </w:tc>
        <w:tc>
          <w:tcPr>
            <w:tcW w:w="4000" w:type="dxa"/>
          </w:tcPr>
          <w:p w:rsidR="0052768C" w:rsidRDefault="00330488">
            <w:pPr>
              <w:spacing w:line="276" w:lineRule="auto"/>
            </w:pPr>
            <w:r>
              <w:rPr>
                <w:sz w:val="24"/>
                <w:szCs w:val="24"/>
              </w:rPr>
              <w:t>CAD 2.26</w:t>
            </w:r>
          </w:p>
        </w:tc>
      </w:tr>
    </w:tbl>
    <w:p w:rsidR="0052768C" w:rsidRDefault="00330488">
      <w:pPr>
        <w:spacing w:line="480" w:lineRule="auto"/>
        <w:ind w:firstLine="720"/>
        <w:jc w:val="both"/>
      </w:pPr>
      <w:proofErr w:type="spellStart"/>
      <w:r>
        <w:rPr>
          <w:sz w:val="24"/>
          <w:szCs w:val="24"/>
        </w:rPr>
        <w:t>SmartCentres</w:t>
      </w:r>
      <w:proofErr w:type="spellEnd"/>
      <w:r>
        <w:rPr>
          <w:sz w:val="24"/>
          <w:szCs w:val="24"/>
        </w:rPr>
        <w:t>'</w:t>
      </w:r>
      <w:r>
        <w:rPr>
          <w:sz w:val="24"/>
          <w:szCs w:val="24"/>
        </w:rPr>
        <w:t xml:space="preserve"> scale and near-full occupancy indicate a stable, well-leased retail and mixed-use portfolio. A debt-to-aggregate-assets ratio of 43.7% is within a generally accepted healthy range for a REIT of this size, indicating the trust is not carrying an unusually </w:t>
      </w:r>
      <w:r>
        <w:rPr>
          <w:sz w:val="24"/>
          <w:szCs w:val="24"/>
        </w:rPr>
        <w:t>aggressive amount of leverage relative to its asset base.</w:t>
      </w:r>
    </w:p>
    <w:p w:rsidR="0052768C" w:rsidRDefault="00330488">
      <w:pPr>
        <w:pStyle w:val="Heading2"/>
        <w:spacing w:before="260" w:after="160" w:line="480" w:lineRule="auto"/>
      </w:pPr>
      <w:r>
        <w:rPr>
          <w:b/>
          <w:bCs/>
        </w:rPr>
        <w:t>E.2 Stock Performance</w:t>
      </w:r>
    </w:p>
    <w:p w:rsidR="0052768C" w:rsidRDefault="00330488">
      <w:pPr>
        <w:spacing w:line="480" w:lineRule="auto"/>
        <w:ind w:firstLine="720"/>
        <w:jc w:val="both"/>
      </w:pPr>
      <w:r>
        <w:rPr>
          <w:sz w:val="24"/>
          <w:szCs w:val="24"/>
        </w:rPr>
        <w:t>Adjusted closing price, the 50-day moving average, and the 200-day moving average were plotted over the available history. Short-term price movements showed periods of volatili</w:t>
      </w:r>
      <w:r>
        <w:rPr>
          <w:sz w:val="24"/>
          <w:szCs w:val="24"/>
        </w:rPr>
        <w:t>ty, but the longer-run trend in adjusted close and its moving averages pointed upward, consistent with a REIT that has delivered positive long-term total return despite short-term fluctuation. Monthly returns were noticeably more volatile than the underlyi</w:t>
      </w:r>
      <w:r>
        <w:rPr>
          <w:sz w:val="24"/>
          <w:szCs w:val="24"/>
        </w:rPr>
        <w:t>ng distribution trend, which is typical of equity-traded REITs whose unit price responds to interest rate expectations and broader market sentiment in addition to the underlying property fundamentals.</w:t>
      </w:r>
    </w:p>
    <w:p w:rsidR="0052768C" w:rsidRDefault="00330488">
      <w:pPr>
        <w:pStyle w:val="Heading2"/>
        <w:spacing w:before="260" w:after="160" w:line="480" w:lineRule="auto"/>
      </w:pPr>
      <w:r>
        <w:rPr>
          <w:b/>
          <w:bCs/>
        </w:rPr>
        <w:t>E.3 Dividend and Distribution Trends</w:t>
      </w:r>
    </w:p>
    <w:p w:rsidR="0052768C" w:rsidRDefault="00330488">
      <w:pPr>
        <w:spacing w:line="480" w:lineRule="auto"/>
        <w:ind w:firstLine="720"/>
        <w:jc w:val="both"/>
      </w:pPr>
      <w:r>
        <w:rPr>
          <w:sz w:val="24"/>
          <w:szCs w:val="24"/>
        </w:rPr>
        <w:t xml:space="preserve">Annual distribution per unit was calculated from monthly dividend payment history. The annual distribution has remained consistent year over year, which supports the view that </w:t>
      </w:r>
      <w:proofErr w:type="spellStart"/>
      <w:r>
        <w:rPr>
          <w:sz w:val="24"/>
          <w:szCs w:val="24"/>
        </w:rPr>
        <w:lastRenderedPageBreak/>
        <w:t>SmartCentres</w:t>
      </w:r>
      <w:proofErr w:type="spellEnd"/>
      <w:r>
        <w:rPr>
          <w:sz w:val="24"/>
          <w:szCs w:val="24"/>
        </w:rPr>
        <w:t xml:space="preserve"> has prioritized distribution stability for </w:t>
      </w:r>
      <w:proofErr w:type="spellStart"/>
      <w:r>
        <w:rPr>
          <w:sz w:val="24"/>
          <w:szCs w:val="24"/>
        </w:rPr>
        <w:t>unitholders</w:t>
      </w:r>
      <w:proofErr w:type="spellEnd"/>
      <w:r>
        <w:rPr>
          <w:sz w:val="24"/>
          <w:szCs w:val="24"/>
        </w:rPr>
        <w:t xml:space="preserve"> even through</w:t>
      </w:r>
      <w:r>
        <w:rPr>
          <w:sz w:val="24"/>
          <w:szCs w:val="24"/>
        </w:rPr>
        <w:t xml:space="preserve"> periods where net income and cash flow showed more variability.</w:t>
      </w:r>
    </w:p>
    <w:p w:rsidR="0052768C" w:rsidRDefault="00330488">
      <w:pPr>
        <w:pStyle w:val="Heading2"/>
        <w:spacing w:before="260" w:after="160" w:line="480" w:lineRule="auto"/>
      </w:pPr>
      <w:r>
        <w:rPr>
          <w:b/>
          <w:bCs/>
        </w:rPr>
        <w:t>E.4 Financial Health and Cash Flow</w:t>
      </w:r>
    </w:p>
    <w:p w:rsidR="0052768C" w:rsidRDefault="00330488">
      <w:pPr>
        <w:spacing w:line="480" w:lineRule="auto"/>
        <w:ind w:firstLine="720"/>
        <w:jc w:val="both"/>
      </w:pPr>
      <w:r>
        <w:rPr>
          <w:sz w:val="24"/>
          <w:szCs w:val="24"/>
        </w:rPr>
        <w:t>Net income showed a declining trend over the period analyzed, while operating cash flow dropped in 2023 before recovering by 2025. This divergence between n</w:t>
      </w:r>
      <w:r>
        <w:rPr>
          <w:sz w:val="24"/>
          <w:szCs w:val="24"/>
        </w:rPr>
        <w:t>et income and cash flow is common for REITs, where non-cash items such as fair value adjustments to investment properties can weigh on reported net income without affecting the trust's actual cash-generating ability. Because distributions are funded from c</w:t>
      </w:r>
      <w:r>
        <w:rPr>
          <w:sz w:val="24"/>
          <w:szCs w:val="24"/>
        </w:rPr>
        <w:t>ash flow rather than accounting net income, the 2025 cash flow recovery is a more directly relevant signal for distribution sustainability than the net income trend on its own.</w:t>
      </w:r>
    </w:p>
    <w:p w:rsidR="0052768C" w:rsidRDefault="00330488">
      <w:pPr>
        <w:pStyle w:val="Heading2"/>
        <w:spacing w:before="260" w:after="160" w:line="480" w:lineRule="auto"/>
      </w:pPr>
      <w:r>
        <w:rPr>
          <w:b/>
          <w:bCs/>
        </w:rPr>
        <w:t>E.5 Competitor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000"/>
        <w:gridCol w:w="4000"/>
      </w:tblGrid>
      <w:tr w:rsidR="0052768C">
        <w:tblPrEx>
          <w:tblCellMar>
            <w:top w:w="0" w:type="dxa"/>
            <w:bottom w:w="0" w:type="dxa"/>
          </w:tblCellMar>
        </w:tblPrEx>
        <w:tc>
          <w:tcPr>
            <w:tcW w:w="5000" w:type="dxa"/>
            <w:shd w:val="clear" w:color="auto" w:fill="D9D9D9"/>
          </w:tcPr>
          <w:p w:rsidR="0052768C" w:rsidRDefault="00330488">
            <w:pPr>
              <w:spacing w:line="276" w:lineRule="auto"/>
            </w:pPr>
            <w:r>
              <w:rPr>
                <w:b/>
                <w:bCs/>
                <w:sz w:val="24"/>
                <w:szCs w:val="24"/>
              </w:rPr>
              <w:t>REIT</w:t>
            </w:r>
          </w:p>
        </w:tc>
        <w:tc>
          <w:tcPr>
            <w:tcW w:w="4000" w:type="dxa"/>
            <w:shd w:val="clear" w:color="auto" w:fill="D9D9D9"/>
          </w:tcPr>
          <w:p w:rsidR="0052768C" w:rsidRDefault="00330488">
            <w:pPr>
              <w:spacing w:line="276" w:lineRule="auto"/>
            </w:pPr>
            <w:r>
              <w:rPr>
                <w:b/>
                <w:bCs/>
                <w:sz w:val="24"/>
                <w:szCs w:val="24"/>
              </w:rPr>
              <w:t>Dividend/Distribution Yield</w:t>
            </w:r>
          </w:p>
        </w:tc>
      </w:tr>
      <w:tr w:rsidR="0052768C">
        <w:tblPrEx>
          <w:tblCellMar>
            <w:top w:w="0" w:type="dxa"/>
            <w:bottom w:w="0" w:type="dxa"/>
          </w:tblCellMar>
        </w:tblPrEx>
        <w:tc>
          <w:tcPr>
            <w:tcW w:w="5000" w:type="dxa"/>
          </w:tcPr>
          <w:p w:rsidR="0052768C" w:rsidRDefault="00330488">
            <w:pPr>
              <w:spacing w:line="276" w:lineRule="auto"/>
            </w:pPr>
            <w:proofErr w:type="spellStart"/>
            <w:r>
              <w:rPr>
                <w:sz w:val="24"/>
                <w:szCs w:val="24"/>
              </w:rPr>
              <w:t>SmartCentres</w:t>
            </w:r>
            <w:proofErr w:type="spellEnd"/>
            <w:r>
              <w:rPr>
                <w:sz w:val="24"/>
                <w:szCs w:val="24"/>
              </w:rPr>
              <w:t xml:space="preserve"> REIT</w:t>
            </w:r>
          </w:p>
        </w:tc>
        <w:tc>
          <w:tcPr>
            <w:tcW w:w="4000" w:type="dxa"/>
          </w:tcPr>
          <w:p w:rsidR="0052768C" w:rsidRDefault="00330488">
            <w:pPr>
              <w:spacing w:line="276" w:lineRule="auto"/>
            </w:pPr>
            <w:r>
              <w:rPr>
                <w:sz w:val="24"/>
                <w:szCs w:val="24"/>
              </w:rPr>
              <w:t>6</w:t>
            </w:r>
            <w:r>
              <w:rPr>
                <w:sz w:val="24"/>
                <w:szCs w:val="24"/>
              </w:rPr>
              <w:t>.15%</w:t>
            </w:r>
          </w:p>
        </w:tc>
      </w:tr>
      <w:tr w:rsidR="0052768C">
        <w:tblPrEx>
          <w:tblCellMar>
            <w:top w:w="0" w:type="dxa"/>
            <w:bottom w:w="0" w:type="dxa"/>
          </w:tblCellMar>
        </w:tblPrEx>
        <w:tc>
          <w:tcPr>
            <w:tcW w:w="5000" w:type="dxa"/>
          </w:tcPr>
          <w:p w:rsidR="0052768C" w:rsidRDefault="00330488">
            <w:pPr>
              <w:spacing w:line="276" w:lineRule="auto"/>
            </w:pPr>
            <w:r>
              <w:rPr>
                <w:sz w:val="24"/>
                <w:szCs w:val="24"/>
              </w:rPr>
              <w:t>Choice Properties REIT</w:t>
            </w:r>
          </w:p>
        </w:tc>
        <w:tc>
          <w:tcPr>
            <w:tcW w:w="4000" w:type="dxa"/>
          </w:tcPr>
          <w:p w:rsidR="0052768C" w:rsidRDefault="00330488">
            <w:pPr>
              <w:spacing w:line="276" w:lineRule="auto"/>
            </w:pPr>
            <w:r>
              <w:rPr>
                <w:sz w:val="24"/>
                <w:szCs w:val="24"/>
              </w:rPr>
              <w:t>4.97%</w:t>
            </w:r>
          </w:p>
        </w:tc>
      </w:tr>
      <w:tr w:rsidR="0052768C">
        <w:tblPrEx>
          <w:tblCellMar>
            <w:top w:w="0" w:type="dxa"/>
            <w:bottom w:w="0" w:type="dxa"/>
          </w:tblCellMar>
        </w:tblPrEx>
        <w:tc>
          <w:tcPr>
            <w:tcW w:w="5000" w:type="dxa"/>
          </w:tcPr>
          <w:p w:rsidR="0052768C" w:rsidRDefault="00330488">
            <w:pPr>
              <w:spacing w:line="276" w:lineRule="auto"/>
            </w:pPr>
            <w:proofErr w:type="spellStart"/>
            <w:r>
              <w:rPr>
                <w:sz w:val="24"/>
                <w:szCs w:val="24"/>
              </w:rPr>
              <w:t>RioCan</w:t>
            </w:r>
            <w:proofErr w:type="spellEnd"/>
            <w:r>
              <w:rPr>
                <w:sz w:val="24"/>
                <w:szCs w:val="24"/>
              </w:rPr>
              <w:t xml:space="preserve"> REIT</w:t>
            </w:r>
          </w:p>
        </w:tc>
        <w:tc>
          <w:tcPr>
            <w:tcW w:w="4000" w:type="dxa"/>
          </w:tcPr>
          <w:p w:rsidR="0052768C" w:rsidRDefault="00330488">
            <w:pPr>
              <w:spacing w:line="276" w:lineRule="auto"/>
            </w:pPr>
            <w:r>
              <w:rPr>
                <w:sz w:val="24"/>
                <w:szCs w:val="24"/>
              </w:rPr>
              <w:t>5.20%</w:t>
            </w:r>
          </w:p>
        </w:tc>
      </w:tr>
      <w:tr w:rsidR="0052768C">
        <w:tblPrEx>
          <w:tblCellMar>
            <w:top w:w="0" w:type="dxa"/>
            <w:bottom w:w="0" w:type="dxa"/>
          </w:tblCellMar>
        </w:tblPrEx>
        <w:tc>
          <w:tcPr>
            <w:tcW w:w="5000" w:type="dxa"/>
          </w:tcPr>
          <w:p w:rsidR="0052768C" w:rsidRDefault="00330488">
            <w:pPr>
              <w:spacing w:line="276" w:lineRule="auto"/>
            </w:pPr>
            <w:r>
              <w:rPr>
                <w:sz w:val="24"/>
                <w:szCs w:val="24"/>
              </w:rPr>
              <w:t>Allied Properties REIT</w:t>
            </w:r>
          </w:p>
        </w:tc>
        <w:tc>
          <w:tcPr>
            <w:tcW w:w="4000" w:type="dxa"/>
          </w:tcPr>
          <w:p w:rsidR="0052768C" w:rsidRDefault="00330488">
            <w:pPr>
              <w:spacing w:line="276" w:lineRule="auto"/>
            </w:pPr>
            <w:r>
              <w:rPr>
                <w:sz w:val="24"/>
                <w:szCs w:val="24"/>
              </w:rPr>
              <w:t>7.00%*</w:t>
            </w:r>
          </w:p>
        </w:tc>
      </w:tr>
      <w:tr w:rsidR="0052768C">
        <w:tblPrEx>
          <w:tblCellMar>
            <w:top w:w="0" w:type="dxa"/>
            <w:bottom w:w="0" w:type="dxa"/>
          </w:tblCellMar>
        </w:tblPrEx>
        <w:tc>
          <w:tcPr>
            <w:tcW w:w="5000" w:type="dxa"/>
          </w:tcPr>
          <w:p w:rsidR="0052768C" w:rsidRDefault="00330488">
            <w:pPr>
              <w:spacing w:line="276" w:lineRule="auto"/>
            </w:pPr>
            <w:r>
              <w:rPr>
                <w:sz w:val="24"/>
                <w:szCs w:val="24"/>
              </w:rPr>
              <w:t>First Capital REIT</w:t>
            </w:r>
          </w:p>
        </w:tc>
        <w:tc>
          <w:tcPr>
            <w:tcW w:w="4000" w:type="dxa"/>
          </w:tcPr>
          <w:p w:rsidR="0052768C" w:rsidRDefault="00330488">
            <w:pPr>
              <w:spacing w:line="276" w:lineRule="auto"/>
            </w:pPr>
            <w:r>
              <w:rPr>
                <w:sz w:val="24"/>
                <w:szCs w:val="24"/>
              </w:rPr>
              <w:t>3.90%**</w:t>
            </w:r>
          </w:p>
        </w:tc>
      </w:tr>
    </w:tbl>
    <w:p w:rsidR="0052768C" w:rsidRDefault="00330488">
      <w:pPr>
        <w:spacing w:line="480" w:lineRule="auto"/>
        <w:ind w:firstLine="720"/>
        <w:jc w:val="both"/>
      </w:pPr>
      <w:r>
        <w:rPr>
          <w:sz w:val="24"/>
          <w:szCs w:val="24"/>
        </w:rPr>
        <w:t>* Allied Properties REIT cut its monthly distribution by approximately 60% in early 2026; the yield shown reflects the post-cut forward rate, and the high headline yield should not be read as a sign of relative strength.</w:t>
      </w:r>
    </w:p>
    <w:p w:rsidR="0052768C" w:rsidRDefault="00330488">
      <w:pPr>
        <w:spacing w:line="480" w:lineRule="auto"/>
        <w:ind w:firstLine="720"/>
        <w:jc w:val="both"/>
      </w:pPr>
      <w:r>
        <w:rPr>
          <w:sz w:val="24"/>
          <w:szCs w:val="24"/>
        </w:rPr>
        <w:t>** First Capital REIT agreed in Apr</w:t>
      </w:r>
      <w:r>
        <w:rPr>
          <w:sz w:val="24"/>
          <w:szCs w:val="24"/>
        </w:rPr>
        <w:t xml:space="preserve">il 2026 to be acquired by Choice Properties REIT and </w:t>
      </w:r>
      <w:proofErr w:type="spellStart"/>
      <w:r>
        <w:rPr>
          <w:sz w:val="24"/>
          <w:szCs w:val="24"/>
        </w:rPr>
        <w:t>KingSett</w:t>
      </w:r>
      <w:proofErr w:type="spellEnd"/>
      <w:r>
        <w:rPr>
          <w:sz w:val="24"/>
          <w:szCs w:val="24"/>
        </w:rPr>
        <w:t xml:space="preserve"> Capital in a transaction valued at approximately CAD 9.4 billion, with delisting expected in Q4 2026; its yield reflects a REIT in the process of privatization rather than an ongoing public comp</w:t>
      </w:r>
      <w:r>
        <w:rPr>
          <w:sz w:val="24"/>
          <w:szCs w:val="24"/>
        </w:rPr>
        <w:t>arable.</w:t>
      </w:r>
    </w:p>
    <w:p w:rsidR="0052768C" w:rsidRDefault="00330488">
      <w:pPr>
        <w:spacing w:line="480" w:lineRule="auto"/>
        <w:ind w:firstLine="720"/>
        <w:jc w:val="both"/>
      </w:pPr>
      <w:r>
        <w:rPr>
          <w:sz w:val="24"/>
          <w:szCs w:val="24"/>
        </w:rPr>
        <w:lastRenderedPageBreak/>
        <w:t xml:space="preserve">Once these two corporate events are accounted for, </w:t>
      </w:r>
      <w:proofErr w:type="spellStart"/>
      <w:r>
        <w:rPr>
          <w:sz w:val="24"/>
          <w:szCs w:val="24"/>
        </w:rPr>
        <w:t>SmartCentres</w:t>
      </w:r>
      <w:proofErr w:type="spellEnd"/>
      <w:r>
        <w:rPr>
          <w:sz w:val="24"/>
          <w:szCs w:val="24"/>
        </w:rPr>
        <w:t xml:space="preserve"> offers the highest sustainable, ongoing distribution yield among the actively comparable public REITs in this set (Choice Properties and </w:t>
      </w:r>
      <w:proofErr w:type="spellStart"/>
      <w:r>
        <w:rPr>
          <w:sz w:val="24"/>
          <w:szCs w:val="24"/>
        </w:rPr>
        <w:t>RioCan</w:t>
      </w:r>
      <w:proofErr w:type="spellEnd"/>
      <w:r>
        <w:rPr>
          <w:sz w:val="24"/>
          <w:szCs w:val="24"/>
        </w:rPr>
        <w:t xml:space="preserve">), which strengthens the income case for </w:t>
      </w:r>
      <w:proofErr w:type="spellStart"/>
      <w:r>
        <w:rPr>
          <w:sz w:val="24"/>
          <w:szCs w:val="24"/>
        </w:rPr>
        <w:t>SmartCentres</w:t>
      </w:r>
      <w:proofErr w:type="spellEnd"/>
      <w:r>
        <w:rPr>
          <w:sz w:val="24"/>
          <w:szCs w:val="24"/>
        </w:rPr>
        <w:t xml:space="preserve"> relative to its closest peers.</w:t>
      </w:r>
    </w:p>
    <w:p w:rsidR="0052768C" w:rsidRDefault="00330488">
      <w:pPr>
        <w:pStyle w:val="Heading2"/>
        <w:spacing w:before="260" w:after="160" w:line="480" w:lineRule="auto"/>
      </w:pPr>
      <w:r>
        <w:rPr>
          <w:b/>
          <w:bCs/>
        </w:rPr>
        <w:t>E.6 Macroeconomic Sensitivity</w:t>
      </w:r>
    </w:p>
    <w:p w:rsidR="0052768C" w:rsidRDefault="00330488">
      <w:pPr>
        <w:spacing w:line="480" w:lineRule="auto"/>
        <w:ind w:firstLine="720"/>
        <w:jc w:val="both"/>
      </w:pPr>
      <w:proofErr w:type="spellStart"/>
      <w:r>
        <w:rPr>
          <w:sz w:val="24"/>
          <w:szCs w:val="24"/>
        </w:rPr>
        <w:t>SmartCentres</w:t>
      </w:r>
      <w:proofErr w:type="spellEnd"/>
      <w:r>
        <w:rPr>
          <w:sz w:val="24"/>
          <w:szCs w:val="24"/>
        </w:rPr>
        <w:t>' unit price and the Bank of Canada'</w:t>
      </w:r>
      <w:r>
        <w:rPr>
          <w:sz w:val="24"/>
          <w:szCs w:val="24"/>
        </w:rPr>
        <w:t xml:space="preserve">s target overnight rate, along with the 10-year Government of Canada bond yield, were plotted together to examine rate sensitivity. Bond yields rose ahead of </w:t>
      </w:r>
      <w:proofErr w:type="spellStart"/>
      <w:r>
        <w:rPr>
          <w:sz w:val="24"/>
          <w:szCs w:val="24"/>
        </w:rPr>
        <w:t>SmartCentres</w:t>
      </w:r>
      <w:proofErr w:type="spellEnd"/>
      <w:r>
        <w:rPr>
          <w:sz w:val="24"/>
          <w:szCs w:val="24"/>
        </w:rPr>
        <w:t>' stock price, but the stock price subsequently caught up, consistent with markets ini</w:t>
      </w:r>
      <w:r>
        <w:rPr>
          <w:sz w:val="24"/>
          <w:szCs w:val="24"/>
        </w:rPr>
        <w:t xml:space="preserve">tially pricing in higher discount rates before re-rating the trust's cash flows. Because </w:t>
      </w:r>
      <w:proofErr w:type="spellStart"/>
      <w:r>
        <w:rPr>
          <w:sz w:val="24"/>
          <w:szCs w:val="24"/>
        </w:rPr>
        <w:t>SmartCentres</w:t>
      </w:r>
      <w:proofErr w:type="spellEnd"/>
      <w:r>
        <w:rPr>
          <w:sz w:val="24"/>
          <w:szCs w:val="24"/>
        </w:rPr>
        <w:t xml:space="preserve">' distribution has stayed comparatively flat while the overnight policy rate moved, the estimated yield spread between </w:t>
      </w:r>
      <w:proofErr w:type="spellStart"/>
      <w:r>
        <w:rPr>
          <w:sz w:val="24"/>
          <w:szCs w:val="24"/>
        </w:rPr>
        <w:t>SmartCentres</w:t>
      </w:r>
      <w:proofErr w:type="spellEnd"/>
      <w:r>
        <w:rPr>
          <w:sz w:val="24"/>
          <w:szCs w:val="24"/>
        </w:rPr>
        <w:t>' dividend yield and the</w:t>
      </w:r>
      <w:r>
        <w:rPr>
          <w:sz w:val="24"/>
          <w:szCs w:val="24"/>
        </w:rPr>
        <w:t xml:space="preserve"> 5-year Government of Canada bond yield has widened over time — meaning investors are currently being compensated with a larger risk premium over a risk-free government bond than in prior periods.</w:t>
      </w:r>
    </w:p>
    <w:p w:rsidR="0052768C" w:rsidRDefault="00330488">
      <w:pPr>
        <w:pStyle w:val="Heading2"/>
        <w:spacing w:before="260" w:after="160" w:line="480" w:lineRule="auto"/>
      </w:pPr>
      <w:r>
        <w:rPr>
          <w:b/>
          <w:bCs/>
        </w:rPr>
        <w:t>E.7 Risk Assessment</w:t>
      </w:r>
    </w:p>
    <w:p w:rsidR="0052768C" w:rsidRDefault="00330488">
      <w:pPr>
        <w:pStyle w:val="ListParagraph"/>
        <w:numPr>
          <w:ilvl w:val="0"/>
          <w:numId w:val="1"/>
        </w:numPr>
        <w:spacing w:line="480" w:lineRule="auto"/>
      </w:pPr>
      <w:r>
        <w:rPr>
          <w:sz w:val="24"/>
          <w:szCs w:val="24"/>
        </w:rPr>
        <w:t>Rising interest rates, which increase b</w:t>
      </w:r>
      <w:r>
        <w:rPr>
          <w:sz w:val="24"/>
          <w:szCs w:val="24"/>
        </w:rPr>
        <w:t xml:space="preserve">oth financing costs and the appeal of competing fixed-income </w:t>
      </w:r>
      <w:proofErr w:type="gramStart"/>
      <w:r>
        <w:rPr>
          <w:sz w:val="24"/>
          <w:szCs w:val="24"/>
        </w:rPr>
        <w:t>investments.</w:t>
      </w:r>
      <w:proofErr w:type="gramEnd"/>
    </w:p>
    <w:p w:rsidR="0052768C" w:rsidRDefault="00330488">
      <w:pPr>
        <w:pStyle w:val="ListParagraph"/>
        <w:numPr>
          <w:ilvl w:val="0"/>
          <w:numId w:val="1"/>
        </w:numPr>
        <w:spacing w:line="480" w:lineRule="auto"/>
      </w:pPr>
      <w:r>
        <w:rPr>
          <w:sz w:val="24"/>
          <w:szCs w:val="24"/>
        </w:rPr>
        <w:t>Economic slowdown, which could pressure tenant sales and renewal rates.</w:t>
      </w:r>
    </w:p>
    <w:p w:rsidR="0052768C" w:rsidRDefault="00330488">
      <w:pPr>
        <w:pStyle w:val="ListParagraph"/>
        <w:numPr>
          <w:ilvl w:val="0"/>
          <w:numId w:val="1"/>
        </w:numPr>
        <w:spacing w:line="480" w:lineRule="auto"/>
      </w:pPr>
      <w:r>
        <w:rPr>
          <w:sz w:val="24"/>
          <w:szCs w:val="24"/>
        </w:rPr>
        <w:t>Retail industry disruption, including continued e-commerce substitution for certain tenant categories.</w:t>
      </w:r>
    </w:p>
    <w:p w:rsidR="0052768C" w:rsidRDefault="00330488">
      <w:pPr>
        <w:pStyle w:val="ListParagraph"/>
        <w:numPr>
          <w:ilvl w:val="0"/>
          <w:numId w:val="1"/>
        </w:numPr>
        <w:spacing w:line="480" w:lineRule="auto"/>
      </w:pPr>
      <w:r>
        <w:rPr>
          <w:sz w:val="24"/>
          <w:szCs w:val="24"/>
        </w:rPr>
        <w:t xml:space="preserve">Tenant </w:t>
      </w:r>
      <w:r>
        <w:rPr>
          <w:sz w:val="24"/>
          <w:szCs w:val="24"/>
        </w:rPr>
        <w:t>bankruptcies, which could reduce occupancy and rental income.</w:t>
      </w:r>
    </w:p>
    <w:p w:rsidR="0052768C" w:rsidRDefault="00330488">
      <w:pPr>
        <w:pStyle w:val="ListParagraph"/>
        <w:numPr>
          <w:ilvl w:val="0"/>
          <w:numId w:val="1"/>
        </w:numPr>
        <w:spacing w:line="480" w:lineRule="auto"/>
      </w:pPr>
      <w:r>
        <w:rPr>
          <w:sz w:val="24"/>
          <w:szCs w:val="24"/>
        </w:rPr>
        <w:lastRenderedPageBreak/>
        <w:t>Real estate market downturn, which could reduce property valuations and loan-to-value headroom.</w:t>
      </w:r>
    </w:p>
    <w:p w:rsidR="0052768C" w:rsidRDefault="00330488">
      <w:pPr>
        <w:spacing w:line="480" w:lineRule="auto"/>
        <w:ind w:firstLine="720"/>
        <w:jc w:val="both"/>
      </w:pPr>
      <w:r>
        <w:rPr>
          <w:sz w:val="24"/>
          <w:szCs w:val="24"/>
        </w:rPr>
        <w:t xml:space="preserve">Despite these risks, </w:t>
      </w:r>
      <w:proofErr w:type="spellStart"/>
      <w:r>
        <w:rPr>
          <w:sz w:val="24"/>
          <w:szCs w:val="24"/>
        </w:rPr>
        <w:t>SmartCentres</w:t>
      </w:r>
      <w:proofErr w:type="spellEnd"/>
      <w:r>
        <w:rPr>
          <w:sz w:val="24"/>
          <w:szCs w:val="24"/>
        </w:rPr>
        <w:t>' near-98.7% occupancy, moderate 43.7% debt-to-assets ratio, dive</w:t>
      </w:r>
      <w:r>
        <w:rPr>
          <w:sz w:val="24"/>
          <w:szCs w:val="24"/>
        </w:rPr>
        <w:t>rsified property base, and consistent distribution history indicate a REIT that is well positioned to absorb cyclical pressure relative to smaller or more leveraged peers.</w:t>
      </w:r>
    </w:p>
    <w:p w:rsidR="0052768C" w:rsidRDefault="00330488">
      <w:pPr>
        <w:pStyle w:val="Heading2"/>
        <w:spacing w:before="260" w:after="160" w:line="480" w:lineRule="auto"/>
      </w:pPr>
      <w:r>
        <w:rPr>
          <w:b/>
          <w:bCs/>
        </w:rPr>
        <w:t>E.8 Final Recommendation: BUY</w:t>
      </w:r>
    </w:p>
    <w:p w:rsidR="0052768C" w:rsidRDefault="00330488">
      <w:pPr>
        <w:spacing w:line="480" w:lineRule="auto"/>
        <w:ind w:firstLine="720"/>
        <w:jc w:val="both"/>
      </w:pPr>
      <w:r>
        <w:rPr>
          <w:sz w:val="24"/>
          <w:szCs w:val="24"/>
        </w:rPr>
        <w:t>Based on the combined evidence — stable occupancy near</w:t>
      </w:r>
      <w:r>
        <w:rPr>
          <w:sz w:val="24"/>
          <w:szCs w:val="24"/>
        </w:rPr>
        <w:t xml:space="preserve"> full capacity, a moderate leverage profile, a consistent distribution history, an operating cash flow recovery in 2025, a competitive and currently sustainable distribution yield relative to its closest ongoing peers, and a widening yield spread over the </w:t>
      </w:r>
      <w:r>
        <w:rPr>
          <w:sz w:val="24"/>
          <w:szCs w:val="24"/>
        </w:rPr>
        <w:t xml:space="preserve">risk-free government bond rate — this analysis recommends a BUY rating for </w:t>
      </w:r>
      <w:proofErr w:type="spellStart"/>
      <w:r>
        <w:rPr>
          <w:sz w:val="24"/>
          <w:szCs w:val="24"/>
        </w:rPr>
        <w:t>SmartCentres</w:t>
      </w:r>
      <w:proofErr w:type="spellEnd"/>
      <w:r>
        <w:rPr>
          <w:sz w:val="24"/>
          <w:szCs w:val="24"/>
        </w:rPr>
        <w:t xml:space="preserve"> REIT (SRU.UN) for income-oriented investors with a medium-to-long-term time horizon. Investors more sensitive to short-term price volatility or further interest rate in</w:t>
      </w:r>
      <w:r>
        <w:rPr>
          <w:sz w:val="24"/>
          <w:szCs w:val="24"/>
        </w:rPr>
        <w:t xml:space="preserve">creases should </w:t>
      </w:r>
      <w:proofErr w:type="spellStart"/>
      <w:r>
        <w:rPr>
          <w:sz w:val="24"/>
          <w:szCs w:val="24"/>
        </w:rPr>
        <w:t>size</w:t>
      </w:r>
      <w:proofErr w:type="spellEnd"/>
      <w:r>
        <w:rPr>
          <w:sz w:val="24"/>
          <w:szCs w:val="24"/>
        </w:rPr>
        <w:t xml:space="preserve"> the position accordingly and monitor the interest rate environment, given REITs' general sensitivity to financing costs.</w:t>
      </w:r>
    </w:p>
    <w:p w:rsidR="0052768C" w:rsidRDefault="00330488">
      <w:pPr>
        <w:pStyle w:val="Heading1"/>
        <w:spacing w:before="360" w:after="200" w:line="480" w:lineRule="auto"/>
      </w:pPr>
      <w:r>
        <w:rPr>
          <w:b/>
          <w:bCs/>
          <w:sz w:val="28"/>
          <w:szCs w:val="28"/>
        </w:rPr>
        <w:t>F. Future Work</w:t>
      </w:r>
    </w:p>
    <w:p w:rsidR="0052768C" w:rsidRDefault="00330488">
      <w:pPr>
        <w:pStyle w:val="ListParagraph"/>
        <w:numPr>
          <w:ilvl w:val="0"/>
          <w:numId w:val="1"/>
        </w:numPr>
        <w:spacing w:line="480" w:lineRule="auto"/>
      </w:pPr>
      <w:r>
        <w:rPr>
          <w:sz w:val="24"/>
          <w:szCs w:val="24"/>
        </w:rPr>
        <w:t>Real-time data integration — replacing static CSV snapshots with a live pipeline (scheduled API pull</w:t>
      </w:r>
      <w:r>
        <w:rPr>
          <w:sz w:val="24"/>
          <w:szCs w:val="24"/>
        </w:rPr>
        <w:t>s) so the analysis reflects current prices, yields, and rates rather than a point-in-time snapshot.</w:t>
      </w:r>
    </w:p>
    <w:p w:rsidR="0052768C" w:rsidRDefault="00330488">
      <w:pPr>
        <w:pStyle w:val="ListParagraph"/>
        <w:numPr>
          <w:ilvl w:val="0"/>
          <w:numId w:val="1"/>
        </w:numPr>
        <w:spacing w:line="480" w:lineRule="auto"/>
      </w:pPr>
      <w:r>
        <w:rPr>
          <w:sz w:val="24"/>
          <w:szCs w:val="24"/>
        </w:rPr>
        <w:t xml:space="preserve">Machine learning forecasting — applying time-series models (e.g., ARIMA or gradient-boosted </w:t>
      </w:r>
      <w:proofErr w:type="spellStart"/>
      <w:r>
        <w:rPr>
          <w:sz w:val="24"/>
          <w:szCs w:val="24"/>
        </w:rPr>
        <w:t>regressors</w:t>
      </w:r>
      <w:proofErr w:type="spellEnd"/>
      <w:r>
        <w:rPr>
          <w:sz w:val="24"/>
          <w:szCs w:val="24"/>
        </w:rPr>
        <w:t xml:space="preserve">) to forecast </w:t>
      </w:r>
      <w:proofErr w:type="spellStart"/>
      <w:r>
        <w:rPr>
          <w:sz w:val="24"/>
          <w:szCs w:val="24"/>
        </w:rPr>
        <w:t>SmartCentres</w:t>
      </w:r>
      <w:proofErr w:type="spellEnd"/>
      <w:r>
        <w:rPr>
          <w:sz w:val="24"/>
          <w:szCs w:val="24"/>
        </w:rPr>
        <w:t>' distribution and price tre</w:t>
      </w:r>
      <w:r>
        <w:rPr>
          <w:sz w:val="24"/>
          <w:szCs w:val="24"/>
        </w:rPr>
        <w:t>nds under different interest rate scenarios.</w:t>
      </w:r>
    </w:p>
    <w:p w:rsidR="0052768C" w:rsidRDefault="00330488">
      <w:pPr>
        <w:pStyle w:val="ListParagraph"/>
        <w:numPr>
          <w:ilvl w:val="0"/>
          <w:numId w:val="1"/>
        </w:numPr>
        <w:spacing w:line="480" w:lineRule="auto"/>
      </w:pPr>
      <w:r>
        <w:rPr>
          <w:sz w:val="24"/>
          <w:szCs w:val="24"/>
        </w:rPr>
        <w:lastRenderedPageBreak/>
        <w:t xml:space="preserve">Interactive dashboards — rebuilding the notebook's static charts as an interactive dashboard (e.g., </w:t>
      </w:r>
      <w:proofErr w:type="spellStart"/>
      <w:r>
        <w:rPr>
          <w:sz w:val="24"/>
          <w:szCs w:val="24"/>
        </w:rPr>
        <w:t>Plotly</w:t>
      </w:r>
      <w:proofErr w:type="spellEnd"/>
      <w:r>
        <w:rPr>
          <w:sz w:val="24"/>
          <w:szCs w:val="24"/>
        </w:rPr>
        <w:t xml:space="preserve"> Dash or a BI tool) so a user can filter by date range, peer group, or macroeconomic scenario.</w:t>
      </w:r>
    </w:p>
    <w:p w:rsidR="0052768C" w:rsidRDefault="00330488">
      <w:pPr>
        <w:pStyle w:val="ListParagraph"/>
        <w:numPr>
          <w:ilvl w:val="0"/>
          <w:numId w:val="1"/>
        </w:numPr>
        <w:spacing w:line="480" w:lineRule="auto"/>
      </w:pPr>
      <w:r>
        <w:rPr>
          <w:sz w:val="24"/>
          <w:szCs w:val="24"/>
        </w:rPr>
        <w:t>Risk predi</w:t>
      </w:r>
      <w:r>
        <w:rPr>
          <w:sz w:val="24"/>
          <w:szCs w:val="24"/>
        </w:rPr>
        <w:t>ction — building a model to flag early warning signals of distribution risk (e.g., declining occupancy combined with rising leverage) across a broader universe of Canadian REITs, not just the five compared here.</w:t>
      </w:r>
    </w:p>
    <w:p w:rsidR="0052768C" w:rsidRDefault="00330488">
      <w:pPr>
        <w:pStyle w:val="Heading1"/>
        <w:spacing w:before="360" w:after="200" w:line="480" w:lineRule="auto"/>
      </w:pPr>
      <w:r>
        <w:rPr>
          <w:b/>
          <w:bCs/>
          <w:sz w:val="28"/>
          <w:szCs w:val="28"/>
        </w:rPr>
        <w:t>G. Use of Large Language Models</w:t>
      </w:r>
    </w:p>
    <w:p w:rsidR="0052768C" w:rsidRDefault="00330488">
      <w:pPr>
        <w:spacing w:line="480" w:lineRule="auto"/>
        <w:ind w:firstLine="720"/>
        <w:jc w:val="both"/>
      </w:pPr>
      <w:r>
        <w:rPr>
          <w:sz w:val="24"/>
          <w:szCs w:val="24"/>
        </w:rPr>
        <w:t xml:space="preserve">Google Gemini was used, within Google </w:t>
      </w:r>
      <w:proofErr w:type="spellStart"/>
      <w:r>
        <w:rPr>
          <w:sz w:val="24"/>
          <w:szCs w:val="24"/>
        </w:rPr>
        <w:t>Colab</w:t>
      </w:r>
      <w:proofErr w:type="spellEnd"/>
      <w:r>
        <w:rPr>
          <w:sz w:val="24"/>
          <w:szCs w:val="24"/>
        </w:rPr>
        <w:t>, to generate the Python code used to scrape and structure the public data sources listed in Section C, and to generate the Python charting code used to produce the visualizations discussed in Section E. An additi</w:t>
      </w:r>
      <w:r>
        <w:rPr>
          <w:sz w:val="24"/>
          <w:szCs w:val="24"/>
        </w:rPr>
        <w:t>onal LLM assisted with structuring and formatting the written documentation for this project, including this report. All generated code was executed, reviewed, and verified against the source data before being used in the analysis, and all interpretations,</w:t>
      </w:r>
      <w:r>
        <w:rPr>
          <w:sz w:val="24"/>
          <w:szCs w:val="24"/>
        </w:rPr>
        <w:t xml:space="preserve"> the risk assessment, and the final investment recommendation in Section E were formed by the project team. No factual or statistical claim in this report relies on an LLM as its source; all data points are drawn from the cited public sources. A complete l</w:t>
      </w:r>
      <w:r>
        <w:rPr>
          <w:sz w:val="24"/>
          <w:szCs w:val="24"/>
        </w:rPr>
        <w:t>og of the prompts used is included separately in prompts_used.pdf, as required by the assignment instructions.</w:t>
      </w:r>
    </w:p>
    <w:p w:rsidR="0052768C" w:rsidRDefault="00330488">
      <w:r>
        <w:br w:type="page"/>
      </w:r>
    </w:p>
    <w:p w:rsidR="0052768C" w:rsidRDefault="00330488">
      <w:pPr>
        <w:pStyle w:val="Heading1"/>
        <w:spacing w:before="360" w:after="200" w:line="480" w:lineRule="auto"/>
      </w:pPr>
      <w:r>
        <w:rPr>
          <w:b/>
          <w:bCs/>
          <w:sz w:val="28"/>
          <w:szCs w:val="28"/>
        </w:rPr>
        <w:lastRenderedPageBreak/>
        <w:t>References</w:t>
      </w:r>
    </w:p>
    <w:p w:rsidR="0052768C" w:rsidRDefault="00330488">
      <w:pPr>
        <w:spacing w:line="480" w:lineRule="auto"/>
        <w:ind w:left="720" w:hanging="720"/>
      </w:pPr>
      <w:proofErr w:type="gramStart"/>
      <w:r>
        <w:rPr>
          <w:sz w:val="24"/>
          <w:szCs w:val="24"/>
        </w:rPr>
        <w:t>Bank of Canada.</w:t>
      </w:r>
      <w:proofErr w:type="gramEnd"/>
      <w:r>
        <w:rPr>
          <w:sz w:val="24"/>
          <w:szCs w:val="24"/>
        </w:rPr>
        <w:t xml:space="preserve"> (2026). Valet API: How to use the Bank of Canada's data API. https://www.bankofcanada.ca/valet-api-how-to/</w:t>
      </w:r>
    </w:p>
    <w:p w:rsidR="0052768C" w:rsidRDefault="00330488">
      <w:pPr>
        <w:spacing w:line="480" w:lineRule="auto"/>
        <w:ind w:left="720" w:hanging="720"/>
      </w:pPr>
      <w:proofErr w:type="gramStart"/>
      <w:r>
        <w:rPr>
          <w:sz w:val="24"/>
          <w:szCs w:val="24"/>
        </w:rPr>
        <w:t>SEDAR+.</w:t>
      </w:r>
      <w:proofErr w:type="gramEnd"/>
      <w:r>
        <w:rPr>
          <w:sz w:val="24"/>
          <w:szCs w:val="24"/>
        </w:rPr>
        <w:t xml:space="preserve"> (</w:t>
      </w:r>
      <w:r>
        <w:rPr>
          <w:sz w:val="24"/>
          <w:szCs w:val="24"/>
        </w:rPr>
        <w:t>2026). System for Electronic Document Analysis and Retrieval Plus. https://www.sedarplus.ca/</w:t>
      </w:r>
    </w:p>
    <w:p w:rsidR="0052768C" w:rsidRDefault="00330488">
      <w:pPr>
        <w:spacing w:line="480" w:lineRule="auto"/>
        <w:ind w:left="720" w:hanging="720"/>
      </w:pPr>
      <w:proofErr w:type="spellStart"/>
      <w:r>
        <w:rPr>
          <w:sz w:val="24"/>
          <w:szCs w:val="24"/>
        </w:rPr>
        <w:t>SmartCentres</w:t>
      </w:r>
      <w:proofErr w:type="spellEnd"/>
      <w:r>
        <w:rPr>
          <w:sz w:val="24"/>
          <w:szCs w:val="24"/>
        </w:rPr>
        <w:t xml:space="preserve"> Real Estate Investment Trust. </w:t>
      </w:r>
      <w:proofErr w:type="gramStart"/>
      <w:r>
        <w:rPr>
          <w:sz w:val="24"/>
          <w:szCs w:val="24"/>
        </w:rPr>
        <w:t>(2026). Investor relations.</w:t>
      </w:r>
      <w:proofErr w:type="gramEnd"/>
      <w:r>
        <w:rPr>
          <w:sz w:val="24"/>
          <w:szCs w:val="24"/>
        </w:rPr>
        <w:t xml:space="preserve"> https://smartcentres.com/</w:t>
      </w:r>
    </w:p>
    <w:p w:rsidR="0052768C" w:rsidRDefault="00330488">
      <w:pPr>
        <w:spacing w:line="480" w:lineRule="auto"/>
        <w:ind w:left="720" w:hanging="720"/>
      </w:pPr>
      <w:proofErr w:type="gramStart"/>
      <w:r>
        <w:rPr>
          <w:sz w:val="24"/>
          <w:szCs w:val="24"/>
        </w:rPr>
        <w:t>WOWA.</w:t>
      </w:r>
      <w:proofErr w:type="gramEnd"/>
      <w:r>
        <w:rPr>
          <w:sz w:val="24"/>
          <w:szCs w:val="24"/>
        </w:rPr>
        <w:t xml:space="preserve"> (2026). REIT Canada: Comparing Canadian real estate investment trusts. https://wowa.ca/reit-canada</w:t>
      </w:r>
    </w:p>
    <w:p w:rsidR="0052768C" w:rsidRDefault="00330488">
      <w:pPr>
        <w:spacing w:line="480" w:lineRule="auto"/>
        <w:ind w:left="720" w:hanging="720"/>
      </w:pPr>
      <w:proofErr w:type="spellStart"/>
      <w:r>
        <w:rPr>
          <w:sz w:val="24"/>
          <w:szCs w:val="24"/>
        </w:rPr>
        <w:t>Aroussi</w:t>
      </w:r>
      <w:proofErr w:type="spellEnd"/>
      <w:r>
        <w:rPr>
          <w:sz w:val="24"/>
          <w:szCs w:val="24"/>
        </w:rPr>
        <w:t>, R. (</w:t>
      </w:r>
      <w:proofErr w:type="spellStart"/>
      <w:r>
        <w:rPr>
          <w:sz w:val="24"/>
          <w:szCs w:val="24"/>
        </w:rPr>
        <w:t>n.d</w:t>
      </w:r>
      <w:proofErr w:type="spellEnd"/>
      <w:r>
        <w:rPr>
          <w:sz w:val="24"/>
          <w:szCs w:val="24"/>
        </w:rPr>
        <w:t xml:space="preserve">.). </w:t>
      </w:r>
      <w:proofErr w:type="spellStart"/>
      <w:proofErr w:type="gramStart"/>
      <w:r>
        <w:rPr>
          <w:sz w:val="24"/>
          <w:szCs w:val="24"/>
        </w:rPr>
        <w:t>yfinance</w:t>
      </w:r>
      <w:proofErr w:type="spellEnd"/>
      <w:proofErr w:type="gramEnd"/>
      <w:r>
        <w:rPr>
          <w:sz w:val="24"/>
          <w:szCs w:val="24"/>
        </w:rPr>
        <w:t xml:space="preserve"> (Version 0.2) [Computer software]. </w:t>
      </w:r>
      <w:proofErr w:type="spellStart"/>
      <w:proofErr w:type="gramStart"/>
      <w:r>
        <w:rPr>
          <w:sz w:val="24"/>
          <w:szCs w:val="24"/>
        </w:rPr>
        <w:t>PyPI</w:t>
      </w:r>
      <w:proofErr w:type="spellEnd"/>
      <w:r>
        <w:rPr>
          <w:sz w:val="24"/>
          <w:szCs w:val="24"/>
        </w:rPr>
        <w:t>.</w:t>
      </w:r>
      <w:proofErr w:type="gramEnd"/>
      <w:r>
        <w:rPr>
          <w:sz w:val="24"/>
          <w:szCs w:val="24"/>
        </w:rPr>
        <w:t xml:space="preserve"> https://pypi.org/project/yfinance/</w:t>
      </w:r>
    </w:p>
    <w:p w:rsidR="0052768C" w:rsidRDefault="00330488">
      <w:pPr>
        <w:spacing w:line="480" w:lineRule="auto"/>
        <w:jc w:val="both"/>
      </w:pPr>
      <w:r>
        <w:rPr>
          <w:sz w:val="24"/>
          <w:szCs w:val="24"/>
        </w:rPr>
        <w:t>Note: entries above should be updated with the</w:t>
      </w:r>
      <w:r>
        <w:rPr>
          <w:sz w:val="24"/>
          <w:szCs w:val="24"/>
        </w:rPr>
        <w:t xml:space="preserve"> exact retrieval dates and, where applicable, the specific report titles used (e.g., a specific </w:t>
      </w:r>
      <w:proofErr w:type="spellStart"/>
      <w:r>
        <w:rPr>
          <w:sz w:val="24"/>
          <w:szCs w:val="24"/>
        </w:rPr>
        <w:t>SmartCentres</w:t>
      </w:r>
      <w:proofErr w:type="spellEnd"/>
      <w:r>
        <w:rPr>
          <w:sz w:val="24"/>
          <w:szCs w:val="24"/>
        </w:rPr>
        <w:t xml:space="preserve"> quarterly report accessed via SEDAR+). All citations should be verified for APA 7th edition accuracy, for example using https://www.citefast.com/?s</w:t>
      </w:r>
      <w:r>
        <w:rPr>
          <w:sz w:val="24"/>
          <w:szCs w:val="24"/>
        </w:rPr>
        <w:t>=APA7, before final submission.</w:t>
      </w:r>
    </w:p>
    <w:sectPr w:rsidR="0052768C" w:rsidSect="0052768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30488" w:rsidRDefault="00330488" w:rsidP="0052768C">
      <w:r>
        <w:separator/>
      </w:r>
    </w:p>
  </w:endnote>
  <w:endnote w:type="continuationSeparator" w:id="0">
    <w:p w:rsidR="00330488" w:rsidRDefault="00330488" w:rsidP="0052768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768C" w:rsidRDefault="0052768C">
    <w:pPr>
      <w:jc w:val="center"/>
    </w:pPr>
    <w:r>
      <w:fldChar w:fldCharType="begin"/>
    </w:r>
    <w:r w:rsidR="00330488">
      <w:instrText>PAGE</w:instrText>
    </w:r>
    <w:r w:rsidR="001567B1">
      <w:fldChar w:fldCharType="separate"/>
    </w:r>
    <w:r w:rsidR="001B00E4">
      <w:rPr>
        <w:noProof/>
      </w:rPr>
      <w:t>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30488" w:rsidRDefault="00330488" w:rsidP="0052768C">
      <w:r>
        <w:separator/>
      </w:r>
    </w:p>
  </w:footnote>
  <w:footnote w:type="continuationSeparator" w:id="0">
    <w:p w:rsidR="00330488" w:rsidRDefault="00330488" w:rsidP="0052768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768C" w:rsidRDefault="00330488">
    <w:pPr>
      <w:jc w:val="right"/>
    </w:pPr>
    <w:r>
      <w:t xml:space="preserve">SMARTCENTRES REIT INVESTMENT ANALYSIS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657737"/>
    <w:multiLevelType w:val="hybridMultilevel"/>
    <w:tmpl w:val="9C2237BE"/>
    <w:lvl w:ilvl="0" w:tplc="C6A8B3EA">
      <w:start w:val="1"/>
      <w:numFmt w:val="bullet"/>
      <w:lvlText w:val="●"/>
      <w:lvlJc w:val="left"/>
      <w:pPr>
        <w:ind w:left="720" w:hanging="360"/>
      </w:pPr>
    </w:lvl>
    <w:lvl w:ilvl="1" w:tplc="BBDEC2A8">
      <w:start w:val="1"/>
      <w:numFmt w:val="bullet"/>
      <w:lvlText w:val="○"/>
      <w:lvlJc w:val="left"/>
      <w:pPr>
        <w:ind w:left="1440" w:hanging="360"/>
      </w:pPr>
    </w:lvl>
    <w:lvl w:ilvl="2" w:tplc="3B769A18">
      <w:start w:val="1"/>
      <w:numFmt w:val="bullet"/>
      <w:lvlText w:val="■"/>
      <w:lvlJc w:val="left"/>
      <w:pPr>
        <w:ind w:left="2160" w:hanging="360"/>
      </w:pPr>
    </w:lvl>
    <w:lvl w:ilvl="3" w:tplc="202A6904">
      <w:start w:val="1"/>
      <w:numFmt w:val="bullet"/>
      <w:lvlText w:val="●"/>
      <w:lvlJc w:val="left"/>
      <w:pPr>
        <w:ind w:left="2880" w:hanging="360"/>
      </w:pPr>
    </w:lvl>
    <w:lvl w:ilvl="4" w:tplc="20FA75EC">
      <w:start w:val="1"/>
      <w:numFmt w:val="bullet"/>
      <w:lvlText w:val="○"/>
      <w:lvlJc w:val="left"/>
      <w:pPr>
        <w:ind w:left="3600" w:hanging="360"/>
      </w:pPr>
    </w:lvl>
    <w:lvl w:ilvl="5" w:tplc="65DAF37C">
      <w:start w:val="1"/>
      <w:numFmt w:val="bullet"/>
      <w:lvlText w:val="■"/>
      <w:lvlJc w:val="left"/>
      <w:pPr>
        <w:ind w:left="4320" w:hanging="360"/>
      </w:pPr>
    </w:lvl>
    <w:lvl w:ilvl="6" w:tplc="5D561EEE">
      <w:start w:val="1"/>
      <w:numFmt w:val="bullet"/>
      <w:lvlText w:val="●"/>
      <w:lvlJc w:val="left"/>
      <w:pPr>
        <w:ind w:left="5040" w:hanging="360"/>
      </w:pPr>
    </w:lvl>
    <w:lvl w:ilvl="7" w:tplc="D1C296CC">
      <w:start w:val="1"/>
      <w:numFmt w:val="bullet"/>
      <w:lvlText w:val="●"/>
      <w:lvlJc w:val="left"/>
      <w:pPr>
        <w:ind w:left="5760" w:hanging="360"/>
      </w:pPr>
    </w:lvl>
    <w:lvl w:ilvl="8" w:tplc="7BE0B93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5"/>
  <w:displayBackgroundShape/>
  <w:proofState w:spelling="clean" w:grammar="clean"/>
  <w:defaultTabStop w:val="720"/>
  <w:characterSpacingControl w:val="doNotCompress"/>
  <w:footnotePr>
    <w:footnote w:id="-1"/>
    <w:footnote w:id="0"/>
  </w:footnotePr>
  <w:endnotePr>
    <w:endnote w:id="-1"/>
    <w:endnote w:id="0"/>
  </w:endnotePr>
  <w:compat/>
  <w:rsids>
    <w:rsidRoot w:val="0052768C"/>
    <w:rsid w:val="001567B1"/>
    <w:rsid w:val="001B00E4"/>
    <w:rsid w:val="00330488"/>
    <w:rsid w:val="005276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52768C"/>
    <w:pPr>
      <w:outlineLvl w:val="0"/>
    </w:pPr>
    <w:rPr>
      <w:color w:val="2E74B5"/>
      <w:sz w:val="32"/>
      <w:szCs w:val="32"/>
    </w:rPr>
  </w:style>
  <w:style w:type="paragraph" w:styleId="Heading2">
    <w:name w:val="heading 2"/>
    <w:qFormat/>
    <w:rsid w:val="0052768C"/>
    <w:pPr>
      <w:outlineLvl w:val="1"/>
    </w:pPr>
    <w:rPr>
      <w:color w:val="2E74B5"/>
      <w:sz w:val="26"/>
      <w:szCs w:val="26"/>
    </w:rPr>
  </w:style>
  <w:style w:type="paragraph" w:styleId="Heading3">
    <w:name w:val="heading 3"/>
    <w:qFormat/>
    <w:rsid w:val="0052768C"/>
    <w:pPr>
      <w:outlineLvl w:val="2"/>
    </w:pPr>
    <w:rPr>
      <w:color w:val="1F4D78"/>
      <w:sz w:val="24"/>
      <w:szCs w:val="24"/>
    </w:rPr>
  </w:style>
  <w:style w:type="paragraph" w:styleId="Heading4">
    <w:name w:val="heading 4"/>
    <w:qFormat/>
    <w:rsid w:val="0052768C"/>
    <w:pPr>
      <w:outlineLvl w:val="3"/>
    </w:pPr>
    <w:rPr>
      <w:i/>
      <w:iCs/>
      <w:color w:val="2E74B5"/>
    </w:rPr>
  </w:style>
  <w:style w:type="paragraph" w:styleId="Heading5">
    <w:name w:val="heading 5"/>
    <w:qFormat/>
    <w:rsid w:val="0052768C"/>
    <w:pPr>
      <w:outlineLvl w:val="4"/>
    </w:pPr>
    <w:rPr>
      <w:color w:val="2E74B5"/>
    </w:rPr>
  </w:style>
  <w:style w:type="paragraph" w:styleId="Heading6">
    <w:name w:val="heading 6"/>
    <w:qFormat/>
    <w:rsid w:val="0052768C"/>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52768C"/>
    <w:rPr>
      <w:sz w:val="56"/>
      <w:szCs w:val="56"/>
    </w:rPr>
  </w:style>
  <w:style w:type="paragraph" w:customStyle="1" w:styleId="Strong1">
    <w:name w:val="Strong1"/>
    <w:qFormat/>
    <w:rsid w:val="0052768C"/>
    <w:rPr>
      <w:b/>
      <w:bCs/>
    </w:rPr>
  </w:style>
  <w:style w:type="paragraph" w:styleId="ListParagraph">
    <w:name w:val="List Paragraph"/>
    <w:qFormat/>
    <w:rsid w:val="0052768C"/>
  </w:style>
  <w:style w:type="character" w:styleId="Hyperlink">
    <w:name w:val="Hyperlink"/>
    <w:uiPriority w:val="99"/>
    <w:unhideWhenUsed/>
    <w:rsid w:val="0052768C"/>
    <w:rPr>
      <w:color w:val="0563C1"/>
      <w:u w:val="single"/>
    </w:rPr>
  </w:style>
  <w:style w:type="character" w:styleId="FootnoteReference">
    <w:name w:val="footnote reference"/>
    <w:uiPriority w:val="99"/>
    <w:semiHidden/>
    <w:unhideWhenUsed/>
    <w:rsid w:val="0052768C"/>
    <w:rPr>
      <w:vertAlign w:val="superscript"/>
    </w:rPr>
  </w:style>
  <w:style w:type="paragraph" w:styleId="FootnoteText">
    <w:name w:val="footnote text"/>
    <w:link w:val="FootnoteTextChar"/>
    <w:uiPriority w:val="99"/>
    <w:semiHidden/>
    <w:unhideWhenUsed/>
    <w:rsid w:val="0052768C"/>
  </w:style>
  <w:style w:type="character" w:customStyle="1" w:styleId="FootnoteTextChar">
    <w:name w:val="Footnote Text Char"/>
    <w:link w:val="FootnoteText"/>
    <w:uiPriority w:val="99"/>
    <w:semiHidden/>
    <w:unhideWhenUsed/>
    <w:rsid w:val="0052768C"/>
    <w:rPr>
      <w:sz w:val="20"/>
      <w:szCs w:val="20"/>
    </w:rPr>
  </w:style>
  <w:style w:type="character" w:styleId="EndnoteReference">
    <w:name w:val="endnote reference"/>
    <w:uiPriority w:val="99"/>
    <w:semiHidden/>
    <w:unhideWhenUsed/>
    <w:rsid w:val="0052768C"/>
    <w:rPr>
      <w:vertAlign w:val="superscript"/>
    </w:rPr>
  </w:style>
  <w:style w:type="paragraph" w:styleId="EndnoteText">
    <w:name w:val="endnote text"/>
    <w:link w:val="EndnoteTextChar"/>
    <w:uiPriority w:val="99"/>
    <w:semiHidden/>
    <w:unhideWhenUsed/>
    <w:rsid w:val="0052768C"/>
  </w:style>
  <w:style w:type="character" w:customStyle="1" w:styleId="EndnoteTextChar">
    <w:name w:val="Endnote Text Char"/>
    <w:link w:val="EndnoteText"/>
    <w:uiPriority w:val="99"/>
    <w:semiHidden/>
    <w:unhideWhenUsed/>
    <w:rsid w:val="0052768C"/>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12</Pages>
  <Words>2422</Words>
  <Characters>13807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16197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2026-07-19T00:05:00Z</dcterms:created>
  <dcterms:modified xsi:type="dcterms:W3CDTF">2026-07-19T00:05:00Z</dcterms:modified>
</cp:coreProperties>
</file>