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ashboard-insights"/>
    <w:p>
      <w:pPr>
        <w:pStyle w:val="Heading1"/>
      </w:pPr>
      <w:r>
        <w:t xml:space="preserve">Dashboard Insights</w:t>
      </w:r>
    </w:p>
    <w:bookmarkStart w:id="20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The Sales and Profit Performance Analysis Dashboard provides an overview of business performance using sales, profit, quantity, customer, category, and regional metrics.</w:t>
      </w:r>
    </w:p>
    <w:bookmarkEnd w:id="20"/>
    <w:bookmarkStart w:id="21" w:name="key-performance-indicators"/>
    <w:p>
      <w:pPr>
        <w:pStyle w:val="Heading2"/>
      </w:pPr>
      <w:r>
        <w:t xml:space="preserve">Key Performance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Orders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Sales</w:t>
            </w:r>
          </w:p>
        </w:tc>
        <w:tc>
          <w:tcPr/>
          <w:p>
            <w:pPr>
              <w:pStyle w:val="Compact"/>
            </w:pPr>
            <w:r>
              <w:t xml:space="preserve">7M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Profit</w:t>
            </w:r>
          </w:p>
        </w:tc>
        <w:tc>
          <w:tcPr/>
          <w:p>
            <w:pPr>
              <w:pStyle w:val="Compact"/>
            </w:pPr>
            <w:r>
              <w:t xml:space="preserve">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Quantity</w:t>
            </w:r>
          </w:p>
        </w:tc>
        <w:tc>
          <w:tcPr/>
          <w:p>
            <w:pPr>
              <w:pStyle w:val="Compact"/>
            </w:pPr>
            <w:r>
              <w:t xml:space="preserve">3K</w:t>
            </w:r>
          </w:p>
        </w:tc>
      </w:tr>
    </w:tbl>
    <w:bookmarkEnd w:id="21"/>
    <w:bookmarkStart w:id="22" w:name="regional-analysis"/>
    <w:p>
      <w:pPr>
        <w:pStyle w:val="Heading2"/>
      </w:pPr>
      <w:r>
        <w:t xml:space="preserve">Regional Analysis</w:t>
      </w:r>
    </w:p>
    <w:p>
      <w:pPr>
        <w:pStyle w:val="Compact"/>
        <w:numPr>
          <w:ilvl w:val="0"/>
          <w:numId w:val="1001"/>
        </w:numPr>
      </w:pPr>
      <w:r>
        <w:t xml:space="preserve">South region recorded the highest number of orders.</w:t>
      </w:r>
    </w:p>
    <w:p>
      <w:pPr>
        <w:pStyle w:val="Compact"/>
        <w:numPr>
          <w:ilvl w:val="0"/>
          <w:numId w:val="1001"/>
        </w:numPr>
      </w:pPr>
      <w:r>
        <w:t xml:space="preserve">East and West regions showed similar order volumes.</w:t>
      </w:r>
    </w:p>
    <w:p>
      <w:pPr>
        <w:pStyle w:val="Compact"/>
        <w:numPr>
          <w:ilvl w:val="0"/>
          <w:numId w:val="1001"/>
        </w:numPr>
      </w:pPr>
      <w:r>
        <w:t xml:space="preserve">North region recorded the lowest order count among all regions.</w:t>
      </w:r>
    </w:p>
    <w:bookmarkEnd w:id="22"/>
    <w:bookmarkStart w:id="23" w:name="category-performance"/>
    <w:p>
      <w:pPr>
        <w:pStyle w:val="Heading2"/>
      </w:pPr>
      <w:r>
        <w:t xml:space="preserve">Category Performance</w:t>
      </w:r>
    </w:p>
    <w:p>
      <w:pPr>
        <w:pStyle w:val="Compact"/>
        <w:numPr>
          <w:ilvl w:val="0"/>
          <w:numId w:val="1002"/>
        </w:numPr>
      </w:pPr>
      <w:r>
        <w:t xml:space="preserve">Furniture generated the highest sales value.</w:t>
      </w:r>
    </w:p>
    <w:p>
      <w:pPr>
        <w:pStyle w:val="Compact"/>
        <w:numPr>
          <w:ilvl w:val="0"/>
          <w:numId w:val="1002"/>
        </w:numPr>
      </w:pPr>
      <w:r>
        <w:t xml:space="preserve">Technology maintained strong profitability.</w:t>
      </w:r>
    </w:p>
    <w:p>
      <w:pPr>
        <w:pStyle w:val="Compact"/>
        <w:numPr>
          <w:ilvl w:val="0"/>
          <w:numId w:val="1002"/>
        </w:numPr>
      </w:pPr>
      <w:r>
        <w:t xml:space="preserve">Office Supplies contributed significantly to overall revenue.</w:t>
      </w:r>
    </w:p>
    <w:bookmarkEnd w:id="23"/>
    <w:bookmarkStart w:id="24" w:name="customer-segment-analysis"/>
    <w:p>
      <w:pPr>
        <w:pStyle w:val="Heading2"/>
      </w:pPr>
      <w:r>
        <w:t xml:space="preserve">Customer Segment Analysis</w:t>
      </w:r>
    </w:p>
    <w:p>
      <w:pPr>
        <w:pStyle w:val="Compact"/>
        <w:numPr>
          <w:ilvl w:val="0"/>
          <w:numId w:val="1003"/>
        </w:numPr>
      </w:pPr>
      <w:r>
        <w:t xml:space="preserve">Sales distribution is relatively balanced across:</w:t>
      </w:r>
    </w:p>
    <w:p>
      <w:pPr>
        <w:pStyle w:val="Compact"/>
        <w:numPr>
          <w:ilvl w:val="1"/>
          <w:numId w:val="1004"/>
        </w:numPr>
      </w:pPr>
      <w:r>
        <w:t xml:space="preserve">Consumer</w:t>
      </w:r>
    </w:p>
    <w:p>
      <w:pPr>
        <w:pStyle w:val="Compact"/>
        <w:numPr>
          <w:ilvl w:val="1"/>
          <w:numId w:val="1004"/>
        </w:numPr>
      </w:pPr>
      <w:r>
        <w:t xml:space="preserve">Corporate</w:t>
      </w:r>
    </w:p>
    <w:p>
      <w:pPr>
        <w:pStyle w:val="Compact"/>
        <w:numPr>
          <w:ilvl w:val="1"/>
          <w:numId w:val="1004"/>
        </w:numPr>
      </w:pPr>
      <w:r>
        <w:t xml:space="preserve">Home Office</w:t>
      </w:r>
    </w:p>
    <w:bookmarkEnd w:id="24"/>
    <w:bookmarkStart w:id="25" w:name="customer-type-analysis"/>
    <w:p>
      <w:pPr>
        <w:pStyle w:val="Heading2"/>
      </w:pPr>
      <w:r>
        <w:t xml:space="preserve">Customer Type Analysis</w:t>
      </w:r>
    </w:p>
    <w:p>
      <w:pPr>
        <w:pStyle w:val="Compact"/>
        <w:numPr>
          <w:ilvl w:val="0"/>
          <w:numId w:val="1005"/>
        </w:numPr>
      </w:pPr>
      <w:r>
        <w:t xml:space="preserve">Regular and Returning customers contribute a major portion of profits.</w:t>
      </w:r>
    </w:p>
    <w:p>
      <w:pPr>
        <w:pStyle w:val="Compact"/>
        <w:numPr>
          <w:ilvl w:val="0"/>
          <w:numId w:val="1005"/>
        </w:numPr>
      </w:pPr>
      <w:r>
        <w:t xml:space="preserve">Premium customers generate valuable revenue opportunities.</w:t>
      </w:r>
    </w:p>
    <w:bookmarkEnd w:id="25"/>
    <w:bookmarkStart w:id="26" w:name="monthly-performance"/>
    <w:p>
      <w:pPr>
        <w:pStyle w:val="Heading2"/>
      </w:pPr>
      <w:r>
        <w:t xml:space="preserve">Monthly Performance</w:t>
      </w:r>
    </w:p>
    <w:p>
      <w:pPr>
        <w:pStyle w:val="Compact"/>
        <w:numPr>
          <w:ilvl w:val="0"/>
          <w:numId w:val="1006"/>
        </w:numPr>
      </w:pPr>
      <w:r>
        <w:t xml:space="preserve">Sales remained consistent throughout the year.</w:t>
      </w:r>
    </w:p>
    <w:p>
      <w:pPr>
        <w:pStyle w:val="Compact"/>
        <w:numPr>
          <w:ilvl w:val="0"/>
          <w:numId w:val="1006"/>
        </w:numPr>
      </w:pPr>
      <w:r>
        <w:t xml:space="preserve">November recorded the highest profit performance.</w:t>
      </w:r>
    </w:p>
    <w:p>
      <w:pPr>
        <w:pStyle w:val="Compact"/>
        <w:numPr>
          <w:ilvl w:val="0"/>
          <w:numId w:val="1006"/>
        </w:numPr>
      </w:pPr>
      <w:r>
        <w:t xml:space="preserve">Some months showed strong sales but comparatively lower profits, indicating margin variations.</w:t>
      </w:r>
    </w:p>
    <w:bookmarkEnd w:id="26"/>
    <w:bookmarkStart w:id="27" w:name="business-recommendations"/>
    <w:p>
      <w:pPr>
        <w:pStyle w:val="Heading2"/>
      </w:pPr>
      <w:r>
        <w:t xml:space="preserve">Business Recommendations</w:t>
      </w:r>
    </w:p>
    <w:p>
      <w:pPr>
        <w:pStyle w:val="Compact"/>
        <w:numPr>
          <w:ilvl w:val="0"/>
          <w:numId w:val="1007"/>
        </w:numPr>
      </w:pPr>
      <w:r>
        <w:t xml:space="preserve">Focus marketing efforts on high-performing regions.</w:t>
      </w:r>
    </w:p>
    <w:p>
      <w:pPr>
        <w:pStyle w:val="Compact"/>
        <w:numPr>
          <w:ilvl w:val="0"/>
          <w:numId w:val="1007"/>
        </w:numPr>
      </w:pPr>
      <w:r>
        <w:t xml:space="preserve">Increase sales of profitable product categories.</w:t>
      </w:r>
    </w:p>
    <w:p>
      <w:pPr>
        <w:pStyle w:val="Compact"/>
        <w:numPr>
          <w:ilvl w:val="0"/>
          <w:numId w:val="1007"/>
        </w:numPr>
      </w:pPr>
      <w:r>
        <w:t xml:space="preserve">Develop loyalty programs for returning customers.</w:t>
      </w:r>
    </w:p>
    <w:p>
      <w:pPr>
        <w:pStyle w:val="Compact"/>
        <w:numPr>
          <w:ilvl w:val="0"/>
          <w:numId w:val="1007"/>
        </w:numPr>
      </w:pPr>
      <w:r>
        <w:t xml:space="preserve">Monitor low-profit months and optimize pricing strategies.</w:t>
      </w:r>
    </w:p>
    <w:p>
      <w:pPr>
        <w:pStyle w:val="Compact"/>
        <w:numPr>
          <w:ilvl w:val="0"/>
          <w:numId w:val="1007"/>
        </w:numPr>
      </w:pPr>
      <w:r>
        <w:t xml:space="preserve">Promote high-margin products to improve profitability.</w:t>
      </w:r>
    </w:p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dashboard helps stakeholders monitor sales trends, profit performance, customer behavior, and regional contributions, enabling data-driven business decisions.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2026-06-21T03:22:55Z</dcterms:created>
  <dcterms:modified xsi:type="dcterms:W3CDTF">2026-06-21T03:22:55Z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