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56"/>
          <w:szCs w:val="56"/>
        </w:rPr>
        <w:t xml:space="preserve">Procurement AI Demo</w:t>
      </w:r>
    </w:p>
    <w:p>
      <w:pPr>
        <w:spacing w:after="80"/>
        <w:jc w:val="center"/>
      </w:pPr>
      <w:r>
        <w:rPr>
          <w:rFonts w:ascii="Arial" w:cs="Arial" w:eastAsia="Arial" w:hAnsi="Arial"/>
          <w:color w:val="2E86C1"/>
          <w:sz w:val="40"/>
          <w:szCs w:val="40"/>
        </w:rPr>
        <w:t xml:space="preserve">Master Data Generation Plan</w:t>
      </w:r>
    </w:p>
    <w:p>
      <w:pPr>
        <w:pBdr>
          <w:bottom w:val="single" w:color="1B4F72" w:sz="4" w:space="8"/>
        </w:pBdr>
        <w:spacing w:after="600"/>
        <w:jc w:val="center"/>
      </w:pPr>
      <w:r>
        <w:rPr>
          <w:rFonts w:ascii="Arial" w:cs="Arial" w:eastAsia="Arial" w:hAnsi="Arial"/>
          <w:color w:val="5D6D7E"/>
          <w:sz w:val="22"/>
          <w:szCs w:val="22"/>
        </w:rPr>
        <w:t xml:space="preserve">Governed  |  Integrity-Aware  |  Knowledge-Graph Ready</w:t>
      </w:r>
    </w:p>
    <w:p>
      <w:pPr>
        <w:spacing w:after="60"/>
        <w:jc w:val="center"/>
      </w:pPr>
      <w:r>
        <w:rPr>
          <w:rFonts w:ascii="Arial" w:cs="Arial" w:eastAsia="Arial" w:hAnsi="Arial"/>
          <w:color w:val="5D6D7E"/>
          <w:sz w:val="21"/>
          <w:szCs w:val="21"/>
        </w:rPr>
        <w:t xml:space="preserve">This dataset powers a GenAI-enabled enterprise demo built on SAP HANA Cloud,</w:t>
      </w:r>
    </w:p>
    <w:p>
      <w:pPr>
        <w:spacing w:after="60"/>
        <w:jc w:val="center"/>
      </w:pPr>
      <w:r>
        <w:rPr>
          <w:rFonts w:ascii="Arial" w:cs="Arial" w:eastAsia="Arial" w:hAnsi="Arial"/>
          <w:color w:val="5D6D7E"/>
          <w:sz w:val="21"/>
          <w:szCs w:val="21"/>
        </w:rPr>
        <w:t xml:space="preserve">SAP GenAI Hub, tool-based structured retrieval, and an observability dashboard.</w:t>
      </w:r>
    </w:p>
    <w:p>
      <w:pPr>
        <w:spacing w:after="400"/>
        <w:jc w:val="center"/>
      </w:pPr>
      <w:r>
        <w:rPr>
          <w:rFonts w:ascii="Arial" w:cs="Arial" w:eastAsia="Arial" w:hAnsi="Arial"/>
          <w:b/>
          <w:bCs/>
          <w:color w:val="5D6D7E"/>
          <w:sz w:val="21"/>
          <w:szCs w:val="21"/>
        </w:rPr>
        <w:t xml:space="preserve">Master data only. No transactional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Industry</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Autonomous Mobile Robot (AMR) Manufacturing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Employees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SG01 (HQ + Engineering + Pilot), MY01 (Main Production), VN01 (Harness Sub-Assembly)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Business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 electronics/sensors/motors/batteries/mechanical → Assemble AMRs → Sell globally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Fabrication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Limited in-house; primarily assembly</w:t>
            </w:r>
          </w:p>
        </w:tc>
      </w:tr>
    </w:tbl>
    <w:p>
      <w:r>
        <w:br w:type="page"/>
      </w:r>
    </w:p>
    <w:p>
      <w:pPr>
        <w:spacing w:before="600" w:after="80"/>
        <w:jc w:val="center"/>
      </w:pPr>
      <w:r>
        <w:rPr>
          <w:rFonts w:ascii="Arial" w:cs="Arial" w:eastAsia="Arial" w:hAnsi="Arial"/>
          <w:b/>
          <w:bCs/>
          <w:color w:val="1B4F72"/>
          <w:sz w:val="44"/>
          <w:szCs w:val="44"/>
        </w:rPr>
        <w:t xml:space="preserve">SECTION A</w:t>
      </w:r>
    </w:p>
    <w:p>
      <w:pPr>
        <w:pBdr>
          <w:bottom w:val="single" w:color="1B4F72" w:sz="4" w:space="8"/>
        </w:pBdr>
        <w:spacing w:after="300"/>
        <w:jc w:val="center"/>
      </w:pPr>
      <w:r>
        <w:rPr>
          <w:rFonts w:ascii="Arial" w:cs="Arial" w:eastAsia="Arial" w:hAnsi="Arial"/>
          <w:color w:val="2E86C1"/>
          <w:sz w:val="30"/>
          <w:szCs w:val="30"/>
        </w:rPr>
        <w:t xml:space="preserve">Design Principles (Mandatory Constraints)</w:t>
      </w:r>
    </w:p>
    <w:p>
      <w:pPr>
        <w:spacing w:after="140" w:line="300"/>
      </w:pPr>
      <w:r>
        <w:rPr>
          <w:rFonts w:ascii="Arial" w:cs="Arial" w:eastAsia="Arial" w:hAnsi="Arial"/>
          <w:sz w:val="21"/>
          <w:szCs w:val="21"/>
        </w:rPr>
        <w:t xml:space="preserve">This section defines architectural rules that govern dataset generation. These are not guidelines — they are hard constraints. If any principle is violated, the generated dataset is invalid and must be regenerated.</w:t>
      </w:r>
    </w:p>
    <w:p>
      <w:pPr>
        <w:spacing w:after="100"/>
      </w:pPr>
    </w:p>
    <w:p>
      <w:pPr>
        <w:pStyle w:val="Heading1"/>
        <w:pBdr>
          <w:bottom w:val="single" w:color="1B4F72" w:sz="4" w:space="4"/>
        </w:pBdr>
        <w:spacing w:before="360" w:after="200"/>
      </w:pPr>
      <w:r>
        <w:rPr>
          <w:rFonts w:ascii="Arial" w:cs="Arial" w:eastAsia="Arial" w:hAnsi="Arial"/>
          <w:b/>
          <w:bCs/>
          <w:color w:val="1B4F72"/>
          <w:sz w:val="32"/>
          <w:szCs w:val="32"/>
        </w:rPr>
        <w:t xml:space="preserve">A1. Scope Calibration</w:t>
      </w:r>
    </w:p>
    <w:p>
      <w:pPr>
        <w:spacing w:after="140" w:line="300"/>
      </w:pPr>
      <w:r>
        <w:rPr>
          <w:rFonts w:ascii="Arial" w:cs="Arial" w:eastAsia="Arial" w:hAnsi="Arial"/>
          <w:sz w:val="21"/>
          <w:szCs w:val="21"/>
        </w:rPr>
        <w:t xml:space="preserve">The initial dataset must conform to the following scale to ensure internal consistency is maintainable: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Count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~800</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Across all types: component, raw, assembly, MRO, 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Spanning OEMs, distributors, CMs, logistics, services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 leaf nodes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3-level hierarchy: Category → Subcategory → Commodity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Mix of quantity and value contracts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SG01, MY01, VN01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entities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~80–110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Most vendors 1:1; 3–5 alias groups create many-to-one</w:t>
            </w:r>
          </w:p>
        </w:tc>
      </w:tr>
    </w:tbl>
    <w:p>
      <w:pPr>
        <w:spacing w:after="100"/>
      </w:pPr>
    </w:p>
    <w:p>
      <w:pPr>
        <w:spacing w:after="140" w:line="300"/>
      </w:pPr>
      <w:r>
        <w:rPr>
          <w:rFonts w:ascii="Arial" w:cs="Arial" w:eastAsia="Arial" w:hAnsi="Arial"/>
          <w:sz w:val="21"/>
          <w:szCs w:val="21"/>
        </w:rPr>
        <w:t xml:space="preserve">Do not exceed these limits in the initial generation. Scaling strategy uses multipliers applied uniformly: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400"/>
        <w:gridCol w:w="1400"/>
        <w:gridCol w:w="1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Materials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Vendors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Contracts</w:t>
            </w:r>
          </w:p>
        </w:tc>
        <w:tc>
          <w:tcPr>
            <w:tcW w:type="dxa" w:w="1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Seeds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Small (baseline)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~40</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12–15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~36–45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Large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~8,000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~1,200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~400</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~120–150</w:t>
            </w:r>
          </w:p>
        </w:tc>
      </w:tr>
    </w:tbl>
    <w:p>
      <w:pPr>
        <w:spacing w:after="100"/>
      </w:pPr>
    </w:p>
    <w:p>
      <w:pPr>
        <w:pBdr>
          <w:left w:val="single" w:color="E67E22" w:sz="8" w:space="8"/>
        </w:pBdr>
        <w:spacing w:before="100" w:after="160" w:line="280"/>
        <w:ind w:left="360" w:right="360"/>
      </w:pPr>
      <w:r>
        <w:rPr>
          <w:rFonts w:ascii="Arial" w:cs="Arial" w:eastAsia="Arial" w:hAnsi="Arial"/>
          <w:i/>
          <w:iCs/>
          <w:color w:val="1A5276"/>
          <w:sz w:val="20"/>
          <w:szCs w:val="20"/>
        </w:rPr>
        <w:t xml:space="preserve">Scenario seed density must scale proportionally. A 10× dataset with the same 15 seeds will feel sparse and unrealistic under questioning.</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A2. Strict Referential Integrity Gate</w:t>
      </w:r>
    </w:p>
    <w:p>
      <w:pPr>
        <w:spacing w:after="140" w:line="300"/>
      </w:pPr>
      <w:r>
        <w:rPr>
          <w:rFonts w:ascii="Arial" w:cs="Arial" w:eastAsia="Arial" w:hAnsi="Arial"/>
          <w:sz w:val="21"/>
          <w:szCs w:val="21"/>
        </w:rPr>
        <w:t xml:space="preserve">All master data entities form a directed dependency graph. Generation must follow this exact order, where each layer can only reference entities from prior layers:</w:t>
      </w:r>
    </w:p>
    <w:p>
      <w:pPr>
        <w:spacing w:after="60"/>
      </w:pPr>
    </w:p>
    <w:p>
      <w:pPr>
        <w:pStyle w:val="ListParagraph"/>
        <w:numPr>
          <w:ilvl w:val="0"/>
          <w:numId w:val="2"/>
        </w:numPr>
        <w:spacing w:after="80" w:line="280"/>
      </w:pPr>
      <w:r>
        <w:rPr>
          <w:rFonts w:ascii="Arial" w:cs="Arial" w:eastAsia="Arial" w:hAnsi="Arial"/>
          <w:sz w:val="21"/>
          <w:szCs w:val="21"/>
        </w:rPr>
        <w:t xml:space="preserve">Organizational structure (company code, purchasing org, purchasing groups, plants, storage locations, cost centers)</w:t>
      </w:r>
    </w:p>
    <w:p>
      <w:pPr>
        <w:pStyle w:val="ListParagraph"/>
        <w:numPr>
          <w:ilvl w:val="0"/>
          <w:numId w:val="2"/>
        </w:numPr>
        <w:spacing w:after="80" w:line="280"/>
      </w:pPr>
      <w:r>
        <w:rPr>
          <w:rFonts w:ascii="Arial" w:cs="Arial" w:eastAsia="Arial" w:hAnsi="Arial"/>
          <w:sz w:val="21"/>
          <w:szCs w:val="21"/>
        </w:rPr>
        <w:t xml:space="preserve">Category hierarchy (3-level taxonomy)</w:t>
      </w:r>
    </w:p>
    <w:p>
      <w:pPr>
        <w:pStyle w:val="ListParagraph"/>
        <w:numPr>
          <w:ilvl w:val="0"/>
          <w:numId w:val="2"/>
        </w:numPr>
        <w:spacing w:after="80" w:line="280"/>
      </w:pPr>
      <w:r>
        <w:rPr>
          <w:rFonts w:ascii="Arial" w:cs="Arial" w:eastAsia="Arial" w:hAnsi="Arial"/>
          <w:sz w:val="21"/>
          <w:szCs w:val="21"/>
        </w:rPr>
        <w:t xml:space="preserve">Purchasing group → category mapping (junction table)</w:t>
      </w:r>
    </w:p>
    <w:p>
      <w:pPr>
        <w:pStyle w:val="ListParagraph"/>
        <w:numPr>
          <w:ilvl w:val="0"/>
          <w:numId w:val="2"/>
        </w:numPr>
        <w:spacing w:after="80" w:line="280"/>
      </w:pPr>
      <w:r>
        <w:rPr>
          <w:rFonts w:ascii="Arial" w:cs="Arial" w:eastAsia="Arial" w:hAnsi="Arial"/>
          <w:sz w:val="21"/>
          <w:szCs w:val="21"/>
        </w:rPr>
        <w:t xml:space="preserve">Material master + plant extensions</w:t>
      </w:r>
    </w:p>
    <w:p>
      <w:pPr>
        <w:pStyle w:val="ListParagraph"/>
        <w:numPr>
          <w:ilvl w:val="0"/>
          <w:numId w:val="2"/>
        </w:numPr>
        <w:spacing w:after="80" w:line="280"/>
      </w:pPr>
      <w:r>
        <w:rPr>
          <w:rFonts w:ascii="Arial" w:cs="Arial" w:eastAsia="Arial" w:hAnsi="Arial"/>
          <w:sz w:val="21"/>
          <w:szCs w:val="21"/>
        </w:rPr>
        <w:t xml:space="preserve">Legal entity master</w:t>
      </w:r>
    </w:p>
    <w:p>
      <w:pPr>
        <w:pStyle w:val="ListParagraph"/>
        <w:numPr>
          <w:ilvl w:val="0"/>
          <w:numId w:val="2"/>
        </w:numPr>
        <w:spacing w:after="80" w:line="280"/>
      </w:pPr>
      <w:r>
        <w:rPr>
          <w:rFonts w:ascii="Arial" w:cs="Arial" w:eastAsia="Arial" w:hAnsi="Arial"/>
          <w:sz w:val="21"/>
          <w:szCs w:val="21"/>
        </w:rPr>
        <w:t xml:space="preserve">Vendor master</w:t>
      </w:r>
    </w:p>
    <w:p>
      <w:pPr>
        <w:pStyle w:val="ListParagraph"/>
        <w:numPr>
          <w:ilvl w:val="0"/>
          <w:numId w:val="2"/>
        </w:numPr>
        <w:spacing w:after="80" w:line="280"/>
      </w:pPr>
      <w:r>
        <w:rPr>
          <w:rFonts w:ascii="Arial" w:cs="Arial" w:eastAsia="Arial" w:hAnsi="Arial"/>
          <w:sz w:val="21"/>
          <w:szCs w:val="21"/>
        </w:rPr>
        <w:t xml:space="preserve">Vendor category mapping (normalized junction table)</w:t>
      </w:r>
    </w:p>
    <w:p>
      <w:pPr>
        <w:pStyle w:val="ListParagraph"/>
        <w:numPr>
          <w:ilvl w:val="0"/>
          <w:numId w:val="2"/>
        </w:numPr>
        <w:spacing w:after="80" w:line="280"/>
      </w:pPr>
      <w:r>
        <w:rPr>
          <w:rFonts w:ascii="Arial" w:cs="Arial" w:eastAsia="Arial" w:hAnsi="Arial"/>
          <w:sz w:val="21"/>
          <w:szCs w:val="21"/>
        </w:rPr>
        <w:t xml:space="preserve">Vendor address + vendor contact (PII layer)</w:t>
      </w:r>
    </w:p>
    <w:p>
      <w:pPr>
        <w:pStyle w:val="ListParagraph"/>
        <w:numPr>
          <w:ilvl w:val="0"/>
          <w:numId w:val="2"/>
        </w:numPr>
        <w:spacing w:after="80" w:line="280"/>
      </w:pPr>
      <w:r>
        <w:rPr>
          <w:rFonts w:ascii="Arial" w:cs="Arial" w:eastAsia="Arial" w:hAnsi="Arial"/>
          <w:sz w:val="21"/>
          <w:szCs w:val="21"/>
        </w:rPr>
        <w:t xml:space="preserve">Source list (material → vendor → plant)</w:t>
      </w:r>
    </w:p>
    <w:p>
      <w:pPr>
        <w:pStyle w:val="ListParagraph"/>
        <w:numPr>
          <w:ilvl w:val="0"/>
          <w:numId w:val="2"/>
        </w:numPr>
        <w:spacing w:after="80" w:line="280"/>
      </w:pPr>
      <w:r>
        <w:rPr>
          <w:rFonts w:ascii="Arial" w:cs="Arial" w:eastAsia="Arial" w:hAnsi="Arial"/>
          <w:sz w:val="21"/>
          <w:szCs w:val="21"/>
        </w:rPr>
        <w:t xml:space="preserve">Contract master (header + items)</w:t>
      </w:r>
    </w:p>
    <w:p>
      <w:pPr>
        <w:pStyle w:val="ListParagraph"/>
        <w:numPr>
          <w:ilvl w:val="0"/>
          <w:numId w:val="2"/>
        </w:numPr>
        <w:spacing w:after="80" w:line="280"/>
      </w:pPr>
      <w:r>
        <w:rPr>
          <w:rFonts w:ascii="Arial" w:cs="Arial" w:eastAsia="Arial" w:hAnsi="Arial"/>
          <w:sz w:val="21"/>
          <w:szCs w:val="21"/>
        </w:rPr>
        <w:t xml:space="preserve">Validation pass (all integrity checks)</w:t>
      </w:r>
    </w:p>
    <w:p>
      <w:pPr>
        <w:pStyle w:val="ListParagraph"/>
        <w:numPr>
          <w:ilvl w:val="0"/>
          <w:numId w:val="2"/>
        </w:numPr>
        <w:spacing w:after="80" w:line="280"/>
      </w:pPr>
      <w:r>
        <w:rPr>
          <w:rFonts w:ascii="Arial" w:cs="Arial" w:eastAsia="Arial" w:hAnsi="Arial"/>
          <w:sz w:val="21"/>
          <w:szCs w:val="21"/>
        </w:rPr>
        <w:t xml:space="preserve">Scenario seed verification (all narrative seeds satisfied)</w:t>
      </w:r>
    </w:p>
    <w:p>
      <w:pPr>
        <w:spacing w:after="100"/>
      </w:pPr>
    </w:p>
    <w:p>
      <w:pPr>
        <w:pStyle w:val="Heading2"/>
        <w:spacing w:before="280" w:after="160"/>
      </w:pPr>
      <w:r>
        <w:rPr>
          <w:rFonts w:ascii="Arial" w:cs="Arial" w:eastAsia="Arial" w:hAnsi="Arial"/>
          <w:b/>
          <w:bCs/>
          <w:color w:val="2E86C1"/>
          <w:sz w:val="26"/>
          <w:szCs w:val="26"/>
        </w:rPr>
        <w:t xml:space="preserve">Mandatory Validation Checks</w:t>
      </w:r>
    </w:p>
    <w:p>
      <w:pPr>
        <w:spacing w:after="140" w:line="300"/>
      </w:pPr>
      <w:r>
        <w:rPr>
          <w:rFonts w:ascii="Arial" w:cs="Arial" w:eastAsia="Arial" w:hAnsi="Arial"/>
          <w:sz w:val="21"/>
          <w:szCs w:val="21"/>
        </w:rPr>
        <w:t xml:space="preserve">The following checks must all pass before the dataset is considered valid. Any failure halts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Foreign key: material.category_id</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exist in category_hierarchy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Foreign key: source_list.material_id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exist in material_master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Foreign key: source_list.vendor_id</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exist in vendor_master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Foreign key: source_list.plant_id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exist in plant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Foreign key: contract_item.material_id</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exist in material_master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Foreign key: contract_item.vendor_id (via header)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exist in vendor_master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Foreign key: vendor.legal_entity_id</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exist in legal_entity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Foreign key: pg_category.group_id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exist in purchasing_group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Foreign key: pg_category.category_id</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exist in category_hierarchy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Foreign key: vendor_category.vendor_id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Must exist in vendor_master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Foreign key: vendor_category.category_id</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exist in category_hierarchy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 category consistency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vendor_category entries must match vendor_master.supported_categories 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WARNING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Material-plant extension</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reference valid material_id + plant_id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Orphan check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entity may exist without at least one inbound 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WARNING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UOM consistency</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material.base_uom = contract_item.price_uom for same material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 (unless in intentional mismatch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Single-source validation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Materials marked single-source must have exactly 1 source_list entry per plant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Plant-material affinity</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Material-plant extensions must conform to plant profile rules (A6)</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Confidentiality propagation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source_list.confidentiality_tier ≥ max(vendor.tier, material.tier, contract.tier)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Confidentiality defaults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Any entity with NULL tier must default to INTERNAL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Alias group integrity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Vendors in same alias_group must reference same legal_entity_id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Contract-source alignment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If source_list.contract_covered_flag = true, a valid active contract must exist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bl>
    <w:p>
      <w:pPr>
        <w:spacing w:after="100"/>
      </w:pPr>
    </w:p>
    <w:p>
      <w:pPr>
        <w:pBdr>
          <w:left w:val="single" w:color="E67E22" w:sz="8" w:space="8"/>
        </w:pBdr>
        <w:spacing w:before="100" w:after="160" w:line="280"/>
        <w:ind w:left="360" w:right="360"/>
      </w:pPr>
      <w:r>
        <w:rPr>
          <w:rFonts w:ascii="Arial" w:cs="Arial" w:eastAsia="Arial" w:hAnsi="Arial"/>
          <w:i/>
          <w:iCs/>
          <w:color w:val="1A5276"/>
          <w:sz w:val="20"/>
          <w:szCs w:val="20"/>
        </w:rPr>
        <w:t xml:space="preserve">If validation fails, generation fails. There is no “fix it later” pathway. This discipline is the single most important quality gate.</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A3. Legal Entity Resolution Model</w:t>
      </w:r>
    </w:p>
    <w:p>
      <w:pPr>
        <w:spacing w:after="140" w:line="300"/>
      </w:pPr>
      <w:r>
        <w:rPr>
          <w:rFonts w:ascii="Arial" w:cs="Arial" w:eastAsia="Arial" w:hAnsi="Arial"/>
          <w:sz w:val="21"/>
          <w:szCs w:val="21"/>
        </w:rPr>
        <w:t xml:space="preserve">In real enterprises, the same legal company frequently appears under multiple vendor codes. This happens organically: a regional office creates a local vendor record, a different division registers the same supplier independently, or an acquisition brings duplicate records from a merged ERP system. The result is fragmented spend visibility and understated risk exposure.</w:t>
      </w:r>
    </w:p>
    <w:p>
      <w:pPr>
        <w:spacing w:after="140" w:line="300"/>
      </w:pPr>
      <w:r>
        <w:rPr>
          <w:rFonts w:ascii="Arial" w:cs="Arial" w:eastAsia="Arial" w:hAnsi="Arial"/>
          <w:sz w:val="21"/>
          <w:szCs w:val="21"/>
        </w:rPr>
        <w:t xml:space="preserve">To address this, the dataset includes an explicit legal_entity table that serves as the canonical identity node for each real-world supplier company. Multiple vendor records can reference the same legal_entity_id, enabling the AI to resolve aliases and aggregate exposure.</w:t>
      </w:r>
    </w:p>
    <w:p>
      <w:pPr>
        <w:spacing w:after="80"/>
      </w:pPr>
    </w:p>
    <w:p>
      <w:pPr>
        <w:spacing w:before="200" w:after="120"/>
      </w:pPr>
      <w:r>
        <w:rPr>
          <w:rFonts w:ascii="Arial" w:cs="Arial" w:eastAsia="Arial" w:hAnsi="Arial"/>
          <w:b/>
          <w:bCs/>
          <w:color w:val="2874A6"/>
          <w:sz w:val="22"/>
          <w:szCs w:val="22"/>
        </w:rPr>
        <w:t xml:space="preserve">Alias Group Rules</w:t>
      </w:r>
    </w:p>
    <w:p>
      <w:pPr>
        <w:pStyle w:val="ListParagraph"/>
        <w:numPr>
          <w:ilvl w:val="0"/>
          <w:numId w:val="3"/>
        </w:numPr>
        <w:spacing w:after="80" w:line="280"/>
      </w:pPr>
      <w:r>
        <w:rPr>
          <w:rFonts w:ascii="Arial" w:cs="Arial" w:eastAsia="Arial" w:hAnsi="Arial"/>
          <w:sz w:val="21"/>
          <w:szCs w:val="21"/>
        </w:rPr>
        <w:t xml:space="preserve">3–5 controlled alias groups must be defined explicitly</w:t>
      </w:r>
    </w:p>
    <w:p>
      <w:pPr>
        <w:pStyle w:val="ListParagraph"/>
        <w:numPr>
          <w:ilvl w:val="0"/>
          <w:numId w:val="3"/>
        </w:numPr>
        <w:spacing w:after="80" w:line="280"/>
      </w:pPr>
      <w:r>
        <w:rPr>
          <w:rFonts w:ascii="Arial" w:cs="Arial" w:eastAsia="Arial" w:hAnsi="Arial"/>
          <w:sz w:val="21"/>
          <w:szCs w:val="21"/>
        </w:rPr>
        <w:t xml:space="preserve">Each alias group must be documented with rationale (e.g., “Nidec Japan vs. Nidec Malaysia subsidiary”)</w:t>
      </w:r>
    </w:p>
    <w:p>
      <w:pPr>
        <w:pStyle w:val="ListParagraph"/>
        <w:numPr>
          <w:ilvl w:val="0"/>
          <w:numId w:val="3"/>
        </w:numPr>
        <w:spacing w:after="80" w:line="280"/>
      </w:pPr>
      <w:r>
        <w:rPr>
          <w:rFonts w:ascii="Arial" w:cs="Arial" w:eastAsia="Arial" w:hAnsi="Arial"/>
          <w:sz w:val="21"/>
          <w:szCs w:val="21"/>
        </w:rPr>
        <w:t xml:space="preserve">Vendors within the same alias group must share the same legal_entity_id</w:t>
      </w:r>
    </w:p>
    <w:p>
      <w:pPr>
        <w:pStyle w:val="ListParagraph"/>
        <w:numPr>
          <w:ilvl w:val="0"/>
          <w:numId w:val="3"/>
        </w:numPr>
        <w:spacing w:after="80" w:line="280"/>
      </w:pPr>
      <w:r>
        <w:rPr>
          <w:rFonts w:ascii="Arial" w:cs="Arial" w:eastAsia="Arial" w:hAnsi="Arial"/>
          <w:sz w:val="21"/>
          <w:szCs w:val="21"/>
        </w:rPr>
        <w:t xml:space="preserve">Accidental duplication is not permitted — every apparent duplicate must be intentional and documented</w:t>
      </w:r>
    </w:p>
    <w:p>
      <w:pPr>
        <w:pStyle w:val="ListParagraph"/>
        <w:numPr>
          <w:ilvl w:val="0"/>
          <w:numId w:val="3"/>
        </w:numPr>
        <w:spacing w:after="80" w:line="280"/>
      </w:pPr>
      <w:r>
        <w:rPr>
          <w:rFonts w:ascii="Arial" w:cs="Arial" w:eastAsia="Arial" w:hAnsi="Arial"/>
          <w:sz w:val="21"/>
          <w:szCs w:val="21"/>
        </w:rPr>
        <w:t xml:space="preserve">The legal_entity table includes registration_id (business registration or DUNS equivalent) to provide a real-world anchor</w:t>
      </w:r>
    </w:p>
    <w:p>
      <w:pPr>
        <w:spacing w:after="80"/>
      </w:pPr>
    </w:p>
    <w:p>
      <w:pPr>
        <w:pBdr>
          <w:left w:val="single" w:color="2E86C1" w:sz="8" w:space="8"/>
        </w:pBdr>
        <w:spacing w:before="100" w:after="160" w:line="280"/>
        <w:ind w:left="360" w:right="360"/>
      </w:pPr>
      <w:r>
        <w:rPr>
          <w:rFonts w:ascii="Arial" w:cs="Arial" w:eastAsia="Arial" w:hAnsi="Arial"/>
          <w:i/>
          <w:iCs/>
          <w:color w:val="1A5276"/>
          <w:sz w:val="20"/>
          <w:szCs w:val="20"/>
        </w:rPr>
        <w:t xml:space="preserve">The legal entity layer enables a critical demo pattern: the AI traverses from a vendor alias to the canonical legal entity, discovers other aliases, and reports consolidated exposure. This is a multi-hop graph traversal that feels very compelling in live demos.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A4. Confidentiality and Guardrail Model</w:t>
      </w:r>
    </w:p>
    <w:p>
      <w:pPr>
        <w:spacing w:after="140" w:line="300"/>
      </w:pPr>
      <w:r>
        <w:rPr>
          <w:rFonts w:ascii="Arial" w:cs="Arial" w:eastAsia="Arial" w:hAnsi="Arial"/>
          <w:sz w:val="21"/>
          <w:szCs w:val="21"/>
        </w:rPr>
        <w:t xml:space="preserve">Procurement data contains commercially sensitive, financially sensitive, and personally identifiable information. The dataset must encode confidentiality at multiple levels to support RBAC, field masking, and relationship suppression demos.</w:t>
      </w:r>
    </w:p>
    <w:p>
      <w:pPr>
        <w:spacing w:after="80"/>
      </w:pPr>
    </w:p>
    <w:p>
      <w:pPr>
        <w:pStyle w:val="Heading2"/>
        <w:spacing w:before="280" w:after="160"/>
      </w:pPr>
      <w:r>
        <w:rPr>
          <w:rFonts w:ascii="Arial" w:cs="Arial" w:eastAsia="Arial" w:hAnsi="Arial"/>
          <w:b/>
          <w:bCs/>
          <w:color w:val="2E86C1"/>
          <w:sz w:val="26"/>
          <w:szCs w:val="26"/>
        </w:rPr>
        <w:t xml:space="preserve">A4.1 Confidentiality Tiers</w:t>
      </w:r>
    </w:p>
    <w:p>
      <w:pPr>
        <w:spacing w:after="140" w:line="300"/>
      </w:pPr>
      <w:r>
        <w:rPr>
          <w:rFonts w:ascii="Arial" w:cs="Arial" w:eastAsia="Arial" w:hAnsi="Arial"/>
          <w:sz w:val="21"/>
          <w:szCs w:val="21"/>
        </w:rPr>
        <w:t xml:space="preserve">Three tiers, with strict precedence: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Precedence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Data</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RESTRICTED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Highest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Visible only to specifically authorized roles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Bank accounts, contract pricing, restricted vendor sourcing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Middle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Visible to all internal procurement users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Quality scores, risk ratings, lead times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PUBLIC</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Lowest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 restriction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 name, material description, category</w:t>
            </w:r>
          </w:p>
        </w:tc>
      </w:tr>
    </w:tbl>
    <w:p>
      <w:pPr>
        <w:spacing w:after="80"/>
      </w:pPr>
    </w:p>
    <w:p>
      <w:pPr>
        <w:spacing w:before="200" w:after="120"/>
      </w:pPr>
      <w:r>
        <w:rPr>
          <w:rFonts w:ascii="Arial" w:cs="Arial" w:eastAsia="Arial" w:hAnsi="Arial"/>
          <w:b/>
          <w:bCs/>
          <w:color w:val="2874A6"/>
          <w:sz w:val="22"/>
          <w:szCs w:val="22"/>
        </w:rPr>
        <w:t xml:space="preserve">Default Handling</w:t>
      </w:r>
    </w:p>
    <w:p>
      <w:pPr>
        <w:spacing w:after="140" w:line="300"/>
      </w:pPr>
      <w:r>
        <w:rPr>
          <w:rFonts w:ascii="Arial" w:cs="Arial" w:eastAsia="Arial" w:hAnsi="Arial"/>
          <w:sz w:val="21"/>
          <w:szCs w:val="21"/>
        </w:rPr>
        <w:t xml:space="preserve">Any entity or attribute with a NULL or missing confidentiality tier defaults to INTERNAL, not PUBLIC. This follows the principle of conservative default — in enterprise procurement, the safe assumption is that data is internal unless explicitly declassified.</w:t>
      </w:r>
    </w:p>
    <w:p>
      <w:pPr>
        <w:spacing w:after="80"/>
      </w:pPr>
    </w:p>
    <w:p>
      <w:pPr>
        <w:pStyle w:val="Heading2"/>
        <w:spacing w:before="280" w:after="160"/>
      </w:pPr>
      <w:r>
        <w:rPr>
          <w:rFonts w:ascii="Arial" w:cs="Arial" w:eastAsia="Arial" w:hAnsi="Arial"/>
          <w:b/>
          <w:bCs/>
          <w:color w:val="2E86C1"/>
          <w:sz w:val="26"/>
          <w:szCs w:val="26"/>
        </w:rPr>
        <w:t xml:space="preserve">A4.2 Where Tiers Are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vendor_master</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confidentiality_tier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Controls visibility of vendor record and attributes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vendor_contact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fields (contact_name, email, phone)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PII layer — always RESTRICTED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vendor_master</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bank_account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Financial data — always RESTRICTED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material_master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confidentiality_tier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Controls visibility of material attributes (replaces sensitivity_flag)</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contract_header</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confidentiality_tier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Controls visibility of contract terms and pricing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source_list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confidentiality_tier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Controls visibility of the sourcing relationship itself</w:t>
            </w:r>
          </w:p>
        </w:tc>
      </w:tr>
    </w:tbl>
    <w:p>
      <w:pPr>
        <w:spacing w:after="80"/>
      </w:pPr>
    </w:p>
    <w:p>
      <w:pPr>
        <w:pStyle w:val="Heading2"/>
        <w:spacing w:before="280" w:after="160"/>
      </w:pPr>
      <w:r>
        <w:rPr>
          <w:rFonts w:ascii="Arial" w:cs="Arial" w:eastAsia="Arial" w:hAnsi="Arial"/>
          <w:b/>
          <w:bCs/>
          <w:color w:val="2E86C1"/>
          <w:sz w:val="26"/>
          <w:szCs w:val="26"/>
        </w:rPr>
        <w:t xml:space="preserve">A4.3 Propagation Rule</w:t>
      </w:r>
    </w:p>
    <w:p>
      <w:pPr>
        <w:spacing w:after="140" w:line="300"/>
      </w:pPr>
      <w:r>
        <w:rPr>
          <w:rFonts w:ascii="Arial" w:cs="Arial" w:eastAsia="Arial" w:hAnsi="Arial"/>
          <w:sz w:val="21"/>
          <w:szCs w:val="21"/>
        </w:rPr>
        <w:t xml:space="preserve">The confidentiality tier of a source list entry must be at least as restrictive as the maximum tier of its constituent entities:</w:t>
      </w:r>
    </w:p>
    <w:p>
      <w:pPr>
        <w:pBdr>
          <w:left w:val="single" w:color="2E86C1" w:sz="8" w:space="8"/>
        </w:pBdr>
        <w:spacing w:before="100" w:after="160" w:line="280"/>
        <w:ind w:left="360" w:right="360"/>
      </w:pPr>
      <w:r>
        <w:rPr>
          <w:rFonts w:ascii="Arial" w:cs="Arial" w:eastAsia="Arial" w:hAnsi="Arial"/>
          <w:i/>
          <w:iCs/>
          <w:color w:val="1A5276"/>
          <w:sz w:val="20"/>
          <w:szCs w:val="20"/>
        </w:rPr>
        <w:t xml:space="preserve">source_list.confidentiality_tier ≥ max(vendor.confidentiality_tier, material.confidentiality_tier, contract.confidentiality_tier)</w:t>
      </w:r>
    </w:p>
    <w:p>
      <w:pPr>
        <w:spacing w:after="140" w:line="300"/>
      </w:pPr>
      <w:r>
        <w:rPr>
          <w:rFonts w:ascii="Arial" w:cs="Arial" w:eastAsia="Arial" w:hAnsi="Arial"/>
          <w:sz w:val="21"/>
          <w:szCs w:val="21"/>
        </w:rPr>
        <w:t xml:space="preserve">This prevents information leakage through relationship queries. If a vendor is RESTRICTED but the source list entry linking it to a material is only PUBLIC, an unauthorized user could infer the restricted vendor’s involvement by querying the source list.</w:t>
      </w:r>
    </w:p>
    <w:p>
      <w:pPr>
        <w:spacing w:after="80"/>
      </w:pPr>
    </w:p>
    <w:p>
      <w:pPr>
        <w:pStyle w:val="Heading2"/>
        <w:spacing w:before="280" w:after="160"/>
      </w:pPr>
      <w:r>
        <w:rPr>
          <w:rFonts w:ascii="Arial" w:cs="Arial" w:eastAsia="Arial" w:hAnsi="Arial"/>
          <w:b/>
          <w:bCs/>
          <w:color w:val="2E86C1"/>
          <w:sz w:val="26"/>
          <w:szCs w:val="26"/>
        </w:rPr>
        <w:t xml:space="preserve">A4.4 Sensitivity-to-Tier Mapping for Materials</w:t>
      </w:r>
    </w:p>
    <w:p>
      <w:pPr>
        <w:spacing w:after="140" w:line="300"/>
      </w:pPr>
      <w:r>
        <w:rPr>
          <w:rFonts w:ascii="Arial" w:cs="Arial" w:eastAsia="Arial" w:hAnsi="Arial"/>
          <w:sz w:val="21"/>
          <w:szCs w:val="21"/>
        </w:rPr>
        <w:t xml:space="preserve">The earlier design used a separate sensitivity_flag on materials. This has been normalized into confidentiality_tier using the following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Material Characteristic</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Confidentiality Tier</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Safety-critical component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INTERNAL</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Sourcing details for safety components are operationally sensitive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Regulated / hazmat material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RESTRICTED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Regulatory compliance data has legal sensitivity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Standard production component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INTERNAL (default)</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Conservative default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Commodity / packaging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 commercial sensitivity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Service (calibration, freight)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PUBLIC</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Generally non-sensitive</w:t>
            </w:r>
          </w:p>
        </w:tc>
      </w:tr>
    </w:tbl>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A5. Narrative Scenario Seeds</w:t>
      </w:r>
    </w:p>
    <w:p>
      <w:pPr>
        <w:spacing w:after="140" w:line="300"/>
      </w:pPr>
      <w:r>
        <w:rPr>
          <w:rFonts w:ascii="Arial" w:cs="Arial" w:eastAsia="Arial" w:hAnsi="Arial"/>
          <w:sz w:val="21"/>
          <w:szCs w:val="21"/>
        </w:rPr>
        <w:t xml:space="preserve">Scenario seeds are pre-defined data configurations that intentionally align master data attributes to support specific demo questions. They are not randomly generated — every attribute in a seed is chosen to make the narrative coherent and the AI’s reasoning path valid.</w:t>
      </w:r>
    </w:p>
    <w:p>
      <w:pPr>
        <w:spacing w:after="140" w:line="300"/>
      </w:pPr>
      <w:r>
        <w:rPr>
          <w:rFonts w:ascii="Arial" w:cs="Arial" w:eastAsia="Arial" w:hAnsi="Arial"/>
          <w:sz w:val="21"/>
          <w:szCs w:val="21"/>
        </w:rPr>
        <w:t xml:space="preserve">Each seed must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seed_id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Unique identifier (SEED-001, SEED-002,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One of: SUPPLY_RISK, GOVERNANCE, SPEND_INTELLIGENCE, OPERATIONS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primary material involved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primary vendor involved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primary plant (if relevant)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demo_question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Natural language question the seed supports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expected_reasoning_path</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Graph traversal / tool call sequence the AI should follow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expected_outcome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One of: ANSWER, REFUSE, PARTIAL_MASK</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key_attributes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List of master data attributes that must be aligned for the narrative to work</w:t>
            </w:r>
          </w:p>
        </w:tc>
      </w:tr>
    </w:tbl>
    <w:p>
      <w:pPr>
        <w:spacing w:after="100"/>
      </w:pPr>
    </w:p>
    <w:p>
      <w:pPr>
        <w:pStyle w:val="Heading2"/>
        <w:spacing w:before="280" w:after="160"/>
      </w:pPr>
      <w:r>
        <w:rPr>
          <w:rFonts w:ascii="Arial" w:cs="Arial" w:eastAsia="Arial" w:hAnsi="Arial"/>
          <w:b/>
          <w:bCs/>
          <w:color w:val="2E86C1"/>
          <w:sz w:val="26"/>
          <w:szCs w:val="26"/>
        </w:rPr>
        <w:t xml:space="preserve">A5.1 Seed Definitions (12 Seeds)</w:t>
      </w:r>
    </w:p>
    <w:p>
      <w:pPr>
        <w:spacing w:after="60"/>
      </w:pPr>
    </w:p>
    <w:p>
      <w:pPr>
        <w:spacing w:before="200" w:after="120"/>
      </w:pPr>
      <w:r>
        <w:rPr>
          <w:rFonts w:ascii="Arial" w:cs="Arial" w:eastAsia="Arial" w:hAnsi="Arial"/>
          <w:b/>
          <w:bCs/>
          <w:color w:val="2874A6"/>
          <w:sz w:val="22"/>
          <w:szCs w:val="22"/>
        </w:rPr>
        <w:t xml:space="preserve">SEED-001: Single-Source LiDAR with Expiring Contract (SUPPLY_RISK)</w:t>
      </w:r>
    </w:p>
    <w:p>
      <w:pPr>
        <w:spacing w:after="140" w:line="300"/>
      </w:pPr>
      <w:r>
        <w:rPr>
          <w:rFonts w:ascii="Arial" w:cs="Arial" w:eastAsia="Arial" w:hAnsi="Arial"/>
          <w:sz w:val="21"/>
          <w:szCs w:val="21"/>
        </w:rPr>
        <w:t xml:space="preserve">A high-criticality 2D LiDAR sensor is single-sourced from a Japanese OEM with elevated risk score. The contract expires within 60 days and is 85%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2D LiDAR Scanner (MAT-LIDAR-2D / display: LIDAR-2D-HOKUYO)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Criticality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(reason: SAFETY)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Hokuyo Automatic Co. (single-source for this material)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 risk_score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72 (elevated — geographic concentration + financial)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 contract, valid_to within 60 days, 85% quantity consumed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SG01, MY01 (not VN01)</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"What critical materials have expiring contracts with high-risk single-source suppliers?"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Material(criticality=HIGH) → SourceList(single-source) → Vendor(risk&gt;70) → Contract(expiry&lt;60d)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100"/>
      </w:pPr>
    </w:p>
    <w:p>
      <w:pPr>
        <w:spacing w:before="200" w:after="120"/>
      </w:pPr>
      <w:r>
        <w:rPr>
          <w:rFonts w:ascii="Arial" w:cs="Arial" w:eastAsia="Arial" w:hAnsi="Arial"/>
          <w:b/>
          <w:bCs/>
          <w:color w:val="2874A6"/>
          <w:sz w:val="22"/>
          <w:szCs w:val="22"/>
        </w:rPr>
        <w:t xml:space="preserve">SEED-002: Battery Cell Supply Concentration (SUPPLY_RISK)</w:t>
      </w:r>
    </w:p>
    <w:p>
      <w:pPr>
        <w:spacing w:after="140" w:line="300"/>
      </w:pPr>
      <w:r>
        <w:rPr>
          <w:rFonts w:ascii="Arial" w:cs="Arial" w:eastAsia="Arial" w:hAnsi="Arial"/>
          <w:sz w:val="21"/>
          <w:szCs w:val="21"/>
        </w:rPr>
        <w:t xml:space="preserve">Li-ion battery cells sourced from two vendors, both in the same country (China). One vendor has declining quality scores. Total exposure to this category is concentrated.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Li-ion Battery Cell 21700 (MAT-BAT-CELL / display: BATCELL-21700)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Criticality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(reason: SUPPLY_RISK)</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CATL Energy (preferred), EVE Energy (backup) — both CN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 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CATL: 88, EVE: 71 (declining trend implied)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Hazmat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CATL on value contract (60% consumed), EVE no contract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"What is our geographic concentration risk for battery cells?"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Material(battery) → SourceList → Vendors → Country(all CN) → flag concentration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100"/>
      </w:pPr>
    </w:p>
    <w:p>
      <w:pPr>
        <w:spacing w:before="200" w:after="120"/>
      </w:pPr>
      <w:r>
        <w:rPr>
          <w:rFonts w:ascii="Arial" w:cs="Arial" w:eastAsia="Arial" w:hAnsi="Arial"/>
          <w:b/>
          <w:bCs/>
          <w:color w:val="2874A6"/>
          <w:sz w:val="22"/>
          <w:szCs w:val="22"/>
        </w:rPr>
        <w:t xml:space="preserve">SEED-003: Restricted Vendor Bank Account Query (GOVERNANCE — REFUSAL)</w:t>
      </w:r>
    </w:p>
    <w:p>
      <w:pPr>
        <w:spacing w:after="140" w:line="300"/>
      </w:pPr>
      <w:r>
        <w:rPr>
          <w:rFonts w:ascii="Arial" w:cs="Arial" w:eastAsia="Arial" w:hAnsi="Arial"/>
          <w:sz w:val="21"/>
          <w:szCs w:val="21"/>
        </w:rPr>
        <w:t xml:space="preserve">A user without FINANCE role asks for vendor payment details. The AI must refuse and explain the access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Any vendor with confidentiality_tier = RESTRICTED and bank_account populated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PROCUREMENT_VIEWER (no finance access)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"What are the bank details for our Nidec supplier?"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Vendor(Nidec) → check bank_account field → check user role → RBAC deny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REFUSE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Observability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 shows: field masking applied, bank_account redacted, policy: FINANCE_ONLY</w:t>
            </w:r>
          </w:p>
        </w:tc>
      </w:tr>
    </w:tbl>
    <w:p>
      <w:pPr>
        <w:spacing w:after="100"/>
      </w:pPr>
    </w:p>
    <w:p>
      <w:pPr>
        <w:spacing w:before="200" w:after="120"/>
      </w:pPr>
      <w:r>
        <w:rPr>
          <w:rFonts w:ascii="Arial" w:cs="Arial" w:eastAsia="Arial" w:hAnsi="Arial"/>
          <w:b/>
          <w:bCs/>
          <w:color w:val="2874A6"/>
          <w:sz w:val="22"/>
          <w:szCs w:val="22"/>
        </w:rPr>
        <w:t xml:space="preserve">SEED-004: Restricted Source List Relationship (GOVERNANCE — PARTIAL_MASK)</w:t>
      </w:r>
    </w:p>
    <w:p>
      <w:pPr>
        <w:spacing w:after="140" w:line="300"/>
      </w:pPr>
      <w:r>
        <w:rPr>
          <w:rFonts w:ascii="Arial" w:cs="Arial" w:eastAsia="Arial" w:hAnsi="Arial"/>
          <w:sz w:val="21"/>
          <w:szCs w:val="21"/>
        </w:rPr>
        <w:t xml:space="preserve">A user asks which vendors supply a regulated material. One sourcing relationship is RESTRICTED. The AI must return the non-restricted suppliers and indicate that additional information is withheld.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Battery Management System (MAT-BMS / display: BMS-MAIN)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 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RESTRICTED (regulated component)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Source list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 entries: one INTERNAL (visible), one RESTRICTED (suppressed)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"Who supplies our BMS modules?"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PARTIAL_MASK — returns one supplier, notes additional data restricted</w:t>
            </w:r>
          </w:p>
        </w:tc>
      </w:tr>
    </w:tbl>
    <w:p>
      <w:pPr>
        <w:spacing w:after="100"/>
      </w:pPr>
    </w:p>
    <w:p>
      <w:pPr>
        <w:spacing w:before="200" w:after="120"/>
      </w:pPr>
      <w:r>
        <w:rPr>
          <w:rFonts w:ascii="Arial" w:cs="Arial" w:eastAsia="Arial" w:hAnsi="Arial"/>
          <w:b/>
          <w:bCs/>
          <w:color w:val="2874A6"/>
          <w:sz w:val="22"/>
          <w:szCs w:val="22"/>
        </w:rPr>
        <w:t xml:space="preserve">SEED-005: Off-Contract Spend on Motors (SPEND_INTELLIGENCE)</w:t>
      </w:r>
    </w:p>
    <w:p>
      <w:pPr>
        <w:spacing w:after="140" w:line="300"/>
      </w:pPr>
      <w:r>
        <w:rPr>
          <w:rFonts w:ascii="Arial" w:cs="Arial" w:eastAsia="Arial" w:hAnsi="Arial"/>
          <w:sz w:val="21"/>
          <w:szCs w:val="21"/>
        </w:rPr>
        <w:t xml:space="preserve">Multiple BLDC motor variants are purchased, but only one has contract coverage. The rest are spot buys at higher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BLDC Motor 200W, BLDC Motor 400W, BLDC Motor Integrated (3 materials)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Only 200W variant has active contract at $85/unit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Source list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400W and Integrated show contract_covered_flag =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Standard cost comparison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 price $85 vs. estimated spot $102–$118</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"What motor purchases are being made without contract coverage?"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Category(Motors) → Materials → SourceList(contract_covered=false) → estimate exposure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100"/>
      </w:pPr>
    </w:p>
    <w:p>
      <w:pPr>
        <w:spacing w:before="200" w:after="120"/>
      </w:pPr>
      <w:r>
        <w:rPr>
          <w:rFonts w:ascii="Arial" w:cs="Arial" w:eastAsia="Arial" w:hAnsi="Arial"/>
          <w:b/>
          <w:bCs/>
          <w:color w:val="2874A6"/>
          <w:sz w:val="22"/>
          <w:szCs w:val="22"/>
        </w:rPr>
        <w:t xml:space="preserve">SEED-006: Vendor Alias Consolidation (SPEND_INTELLIGENCE)</w:t>
      </w:r>
    </w:p>
    <w:p>
      <w:pPr>
        <w:spacing w:after="140" w:line="300"/>
      </w:pPr>
      <w:r>
        <w:rPr>
          <w:rFonts w:ascii="Arial" w:cs="Arial" w:eastAsia="Arial" w:hAnsi="Arial"/>
          <w:sz w:val="21"/>
          <w:szCs w:val="21"/>
        </w:rPr>
        <w:t xml:space="preserve">Spend appears split across two vendor records that are actually the same legal entity (Nidec). The AI must resolve the alias and report consolidated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Nidec Corporation (VND-NIDEC-JP) and Nidec Precision MY (VND-NIDEC-MY)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 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Both reference LE-NIDEC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Alias group</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ALIAS-001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Materials supplied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BLDC motors, gearboxes, encoders across both vendor records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"What is our total exposure to Nidec across all entities?"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Vendor(name~Nidec) → LegalEntity(LE-NIDEC) → all Vendors in alias group → SourceList → aggregate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100"/>
      </w:pPr>
    </w:p>
    <w:p>
      <w:pPr>
        <w:spacing w:before="200" w:after="120"/>
      </w:pPr>
      <w:r>
        <w:rPr>
          <w:rFonts w:ascii="Arial" w:cs="Arial" w:eastAsia="Arial" w:hAnsi="Arial"/>
          <w:b/>
          <w:bCs/>
          <w:color w:val="2874A6"/>
          <w:sz w:val="22"/>
          <w:szCs w:val="22"/>
        </w:rPr>
        <w:t xml:space="preserve">SEED-007: Plant-Specific Sourcing Gap (OPERATIONS)</w:t>
      </w:r>
    </w:p>
    <w:p>
      <w:pPr>
        <w:spacing w:after="140" w:line="300"/>
      </w:pPr>
      <w:r>
        <w:rPr>
          <w:rFonts w:ascii="Arial" w:cs="Arial" w:eastAsia="Arial" w:hAnsi="Arial"/>
          <w:sz w:val="21"/>
          <w:szCs w:val="21"/>
        </w:rPr>
        <w:t xml:space="preserve">A compute module needed for a new pilot run at SG01 has no source list entry for that plant, even though it is sourced at MY01. The AI must identify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Industrial SBC (MAT-SBC-IND / display: SBC-NVIDIA-JETSON)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 extension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Exists for MY01, does NOT exist for SG01</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Source list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Entries exist for MY01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"Can we source the Jetson SBC for the SG01 pilot line?"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Material(SBC) → PlantExtension(SG01) → not found → check SourceList(SG01) → not found → report gap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 (with gap identification)</w:t>
            </w:r>
          </w:p>
        </w:tc>
      </w:tr>
    </w:tbl>
    <w:p>
      <w:pPr>
        <w:spacing w:after="100"/>
      </w:pPr>
    </w:p>
    <w:p>
      <w:pPr>
        <w:spacing w:before="200" w:after="120"/>
      </w:pPr>
      <w:r>
        <w:rPr>
          <w:rFonts w:ascii="Arial" w:cs="Arial" w:eastAsia="Arial" w:hAnsi="Arial"/>
          <w:b/>
          <w:bCs/>
          <w:color w:val="2874A6"/>
          <w:sz w:val="22"/>
          <w:szCs w:val="22"/>
        </w:rPr>
        <w:t xml:space="preserve">SEED-008: Long Lead Time Impact on Production (OPERATIONS)</w:t>
      </w:r>
    </w:p>
    <w:p>
      <w:pPr>
        <w:spacing w:after="140" w:line="300"/>
      </w:pPr>
      <w:r>
        <w:rPr>
          <w:rFonts w:ascii="Arial" w:cs="Arial" w:eastAsia="Arial" w:hAnsi="Arial"/>
          <w:sz w:val="21"/>
          <w:szCs w:val="21"/>
        </w:rPr>
        <w:t xml:space="preserve">A 3D depth camera has a 90-day lane lead time from the vendor to MY01. Current inventory is below reorder point. The AI must flag the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3D Depth Camera (MAT-CAM-3D / display: CAM-DEPTH-INTEL)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Criticality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(reason: LEAD_TIME)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Source list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Single vendor, lane_lead_time_days = 90 to MY01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 extension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MY01 reorder_point = 30, current context implies low stock</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"Which materials at MY01 have lead times over 60 days and are near reorder 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100"/>
      </w:pPr>
    </w:p>
    <w:p>
      <w:pPr>
        <w:spacing w:before="200" w:after="120"/>
      </w:pPr>
      <w:r>
        <w:rPr>
          <w:rFonts w:ascii="Arial" w:cs="Arial" w:eastAsia="Arial" w:hAnsi="Arial"/>
          <w:b/>
          <w:bCs/>
          <w:color w:val="2874A6"/>
          <w:sz w:val="22"/>
          <w:szCs w:val="22"/>
        </w:rPr>
        <w:t xml:space="preserve">SEED-009: Unauthorized Category Access (GOVERNANCE — REFUSAL)</w:t>
      </w:r>
    </w:p>
    <w:p>
      <w:pPr>
        <w:spacing w:after="140" w:line="300"/>
      </w:pPr>
      <w:r>
        <w:rPr>
          <w:rFonts w:ascii="Arial" w:cs="Arial" w:eastAsia="Arial" w:hAnsi="Arial"/>
          <w:sz w:val="21"/>
          <w:szCs w:val="21"/>
        </w:rPr>
        <w:t xml:space="preserve">A buyer responsible for Mechanical components queries Electronics pricing. The RBAC system must restrict access based on purchasing group → 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User role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BUYER, purchasing_group = PG-MECH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Query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 prices for LiDAR sensors (category: Electronics → Sensors → LiDAR)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PG-category mapping</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PG-MECH maps to Mechanical categories only, not Electronics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is our contract price for LiDAR sensors?"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REFUSE — user’s purchasing group does not have authority over Electronics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Observability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 shows: RBAC check against pg_category_mapping, access denied</w:t>
            </w:r>
          </w:p>
        </w:tc>
      </w:tr>
    </w:tbl>
    <w:p>
      <w:pPr>
        <w:spacing w:after="100"/>
      </w:pPr>
    </w:p>
    <w:p>
      <w:pPr>
        <w:spacing w:before="200" w:after="120"/>
      </w:pPr>
      <w:r>
        <w:rPr>
          <w:rFonts w:ascii="Arial" w:cs="Arial" w:eastAsia="Arial" w:hAnsi="Arial"/>
          <w:b/>
          <w:bCs/>
          <w:color w:val="2874A6"/>
          <w:sz w:val="22"/>
          <w:szCs w:val="22"/>
        </w:rPr>
        <w:t xml:space="preserve">SEED-010: Contract Price vs Standard Cost Variance (SPEND_INTELLIGENCE)</w:t>
      </w:r>
    </w:p>
    <w:p>
      <w:pPr>
        <w:spacing w:after="140" w:line="300"/>
      </w:pPr>
      <w:r>
        <w:rPr>
          <w:rFonts w:ascii="Arial" w:cs="Arial" w:eastAsia="Arial" w:hAnsi="Arial"/>
          <w:sz w:val="21"/>
          <w:szCs w:val="21"/>
        </w:rPr>
        <w:t xml:space="preserve">A contract price for a connector is significantly above standard cost, suggesting a poor negotiation or outdated standard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Industrial Connector 24-pin (MAT-CON-24P / display: CONN-24P-MOLEX)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Standard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$3.20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 price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$4.85 (52% above standard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"Which materials have contract prices more than 20% above standard cost?"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100"/>
      </w:pPr>
    </w:p>
    <w:p>
      <w:pPr>
        <w:spacing w:before="200" w:after="120"/>
      </w:pPr>
      <w:r>
        <w:rPr>
          <w:rFonts w:ascii="Arial" w:cs="Arial" w:eastAsia="Arial" w:hAnsi="Arial"/>
          <w:b/>
          <w:bCs/>
          <w:color w:val="2874A6"/>
          <w:sz w:val="22"/>
          <w:szCs w:val="22"/>
        </w:rPr>
        <w:t xml:space="preserve">SEED-011: Vendor with Conditional Status (OPERATIONS)</w:t>
      </w:r>
    </w:p>
    <w:p>
      <w:pPr>
        <w:spacing w:after="140" w:line="300"/>
      </w:pPr>
      <w:r>
        <w:rPr>
          <w:rFonts w:ascii="Arial" w:cs="Arial" w:eastAsia="Arial" w:hAnsi="Arial"/>
          <w:sz w:val="21"/>
          <w:szCs w:val="21"/>
        </w:rPr>
        <w:t xml:space="preserve">A vendor is marked “conditional” due to recent quality issues. The AI must flag this when the vendor appears in sourcing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 sheet metal supplier with status = CONDITIONAL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Condition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Quality score dropped below 70; under corrective action plan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Source list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approval_status = CONDITIONAL for this vendor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"Which of our active vendors have quality concerns?"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Vendor(status=CONDITIONAL) → quality_score &lt; 70 → SourceList → affected materials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100"/>
      </w:pPr>
    </w:p>
    <w:p>
      <w:pPr>
        <w:spacing w:before="200" w:after="120"/>
      </w:pPr>
      <w:r>
        <w:rPr>
          <w:rFonts w:ascii="Arial" w:cs="Arial" w:eastAsia="Arial" w:hAnsi="Arial"/>
          <w:b/>
          <w:bCs/>
          <w:color w:val="2874A6"/>
          <w:sz w:val="22"/>
          <w:szCs w:val="22"/>
        </w:rPr>
        <w:t xml:space="preserve">SEED-012: Cross-Plant Sourcing Comparison (OPERATIONS)</w:t>
      </w:r>
    </w:p>
    <w:p>
      <w:pPr>
        <w:spacing w:after="140" w:line="300"/>
      </w:pPr>
      <w:r>
        <w:rPr>
          <w:rFonts w:ascii="Arial" w:cs="Arial" w:eastAsia="Arial" w:hAnsi="Arial"/>
          <w:sz w:val="21"/>
          <w:szCs w:val="21"/>
        </w:rPr>
        <w:t xml:space="preserve">The same motor is sourced at different prices and lead times across MY01 and VN01. The AI must identify the discrepancy.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BLDC Motor 200W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 list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MY01: Vendor A, lane_lead_time = 14 days. VN01: Vendor B, lane_lead_time = 28 days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MY01 supplier on contract at $85. VN01 supplier no contract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"Compare sourcing conditions for BLDC motors across our plants"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100"/>
      </w:pPr>
    </w:p>
    <w:p>
      <w:pPr>
        <w:pStyle w:val="Heading2"/>
        <w:spacing w:before="280" w:after="160"/>
      </w:pPr>
      <w:r>
        <w:rPr>
          <w:rFonts w:ascii="Arial" w:cs="Arial" w:eastAsia="Arial" w:hAnsi="Arial"/>
          <w:b/>
          <w:bCs/>
          <w:color w:val="2E86C1"/>
          <w:sz w:val="26"/>
          <w:szCs w:val="26"/>
        </w:rPr>
        <w:t xml:space="preserve">A5.2 Seed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Outcome Types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SUPPLY_RISK</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 (SEED-001, SEED-002)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GOVERNANCE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(SEED-003, SEED-004, SEED-009)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REFUSE, PARTIAL_MASK, REFUSE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SPEND_INTELLIGENCE</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 (SEED-005, SEED-006, SEED-010)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OPERATIONS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 (SEED-007, SEED-008, SEED-011, SEED-012)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3 of 12 seeds test governance refusal/masking paths. This ensures the guardrail demo is as thoroughly supported as the intelligence demo.</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A6. Plant-Material Affinity Rules</w:t>
      </w:r>
    </w:p>
    <w:p>
      <w:pPr>
        <w:spacing w:after="140" w:line="300"/>
      </w:pPr>
      <w:r>
        <w:rPr>
          <w:rFonts w:ascii="Arial" w:cs="Arial" w:eastAsia="Arial" w:hAnsi="Arial"/>
          <w:sz w:val="21"/>
          <w:szCs w:val="21"/>
        </w:rPr>
        <w:t xml:space="preserve">Materials must not be uniformly distributed across all plants. Each plant has a distinct manufacturing function, and its material footprint must reflect that function realistically.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000"/>
        <w:gridCol w:w="21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Material Profile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Approximate SKU Share</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SG01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HQ + Engineering + Pilot assembly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Sensors, compute modules, pilot-quantity components. Narrow footprint focused on high-value electronics and prototype materials.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~25% of total materials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 production plant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production BOM. All high-volume components: electronics, motors, batteries, mechanical, packaging. Widest material diversity.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 of total materials</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VN01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Harness + sub-assembly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Wire harnesses, connectors, cable assemblies, fasteners, heat shrink, labels. Limited high-end electronics.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~30% of total materials</w:t>
            </w:r>
          </w:p>
        </w:tc>
      </w:tr>
    </w:tbl>
    <w:p>
      <w:pPr>
        <w:spacing w:after="100"/>
      </w:pPr>
    </w:p>
    <w:p>
      <w:pPr>
        <w:spacing w:before="200" w:after="120"/>
      </w:pPr>
      <w:r>
        <w:rPr>
          <w:rFonts w:ascii="Arial" w:cs="Arial" w:eastAsia="Arial" w:hAnsi="Arial"/>
          <w:b/>
          <w:bCs/>
          <w:color w:val="2874A6"/>
          <w:sz w:val="22"/>
          <w:szCs w:val="22"/>
        </w:rPr>
        <w:t xml:space="preserve">Affinity Rules</w:t>
      </w:r>
    </w:p>
    <w:p>
      <w:pPr>
        <w:pStyle w:val="ListParagraph"/>
        <w:numPr>
          <w:ilvl w:val="0"/>
          <w:numId w:val="4"/>
        </w:numPr>
        <w:spacing w:after="80" w:line="280"/>
      </w:pPr>
      <w:r>
        <w:rPr>
          <w:rFonts w:ascii="Arial" w:cs="Arial" w:eastAsia="Arial" w:hAnsi="Arial"/>
          <w:sz w:val="21"/>
          <w:szCs w:val="21"/>
        </w:rPr>
        <w:t xml:space="preserve">LiDAR, depth cameras, and compute modules: SG01 + MY01 only (not VN01)</w:t>
      </w:r>
    </w:p>
    <w:p>
      <w:pPr>
        <w:pStyle w:val="ListParagraph"/>
        <w:numPr>
          <w:ilvl w:val="0"/>
          <w:numId w:val="4"/>
        </w:numPr>
        <w:spacing w:after="80" w:line="280"/>
      </w:pPr>
      <w:r>
        <w:rPr>
          <w:rFonts w:ascii="Arial" w:cs="Arial" w:eastAsia="Arial" w:hAnsi="Arial"/>
          <w:sz w:val="21"/>
          <w:szCs w:val="21"/>
        </w:rPr>
        <w:t xml:space="preserve">Battery packs and BMS: MY01 only (SG01 gets pilot quantities by exception)</w:t>
      </w:r>
    </w:p>
    <w:p>
      <w:pPr>
        <w:pStyle w:val="ListParagraph"/>
        <w:numPr>
          <w:ilvl w:val="0"/>
          <w:numId w:val="4"/>
        </w:numPr>
        <w:spacing w:after="80" w:line="280"/>
      </w:pPr>
      <w:r>
        <w:rPr>
          <w:rFonts w:ascii="Arial" w:cs="Arial" w:eastAsia="Arial" w:hAnsi="Arial"/>
          <w:sz w:val="21"/>
          <w:szCs w:val="21"/>
        </w:rPr>
        <w:t xml:space="preserve">Connectors, cable assemblies, fasteners: all three plants, but heaviest at VN01</w:t>
      </w:r>
    </w:p>
    <w:p>
      <w:pPr>
        <w:pStyle w:val="ListParagraph"/>
        <w:numPr>
          <w:ilvl w:val="0"/>
          <w:numId w:val="4"/>
        </w:numPr>
        <w:spacing w:after="80" w:line="280"/>
      </w:pPr>
      <w:r>
        <w:rPr>
          <w:rFonts w:ascii="Arial" w:cs="Arial" w:eastAsia="Arial" w:hAnsi="Arial"/>
          <w:sz w:val="21"/>
          <w:szCs w:val="21"/>
        </w:rPr>
        <w:t xml:space="preserve">Sheet metal and structural extrusions: MY01 + VN01 (not SG01)</w:t>
      </w:r>
    </w:p>
    <w:p>
      <w:pPr>
        <w:pStyle w:val="ListParagraph"/>
        <w:numPr>
          <w:ilvl w:val="0"/>
          <w:numId w:val="4"/>
        </w:numPr>
        <w:spacing w:after="80" w:line="280"/>
      </w:pPr>
      <w:r>
        <w:rPr>
          <w:rFonts w:ascii="Arial" w:cs="Arial" w:eastAsia="Arial" w:hAnsi="Arial"/>
          <w:sz w:val="21"/>
          <w:szCs w:val="21"/>
        </w:rPr>
        <w:t xml:space="preserve">Packaging (cartons, foam, labels): MY01 + VN01 only</w:t>
      </w:r>
    </w:p>
    <w:p>
      <w:pPr>
        <w:pStyle w:val="ListParagraph"/>
        <w:numPr>
          <w:ilvl w:val="0"/>
          <w:numId w:val="4"/>
        </w:numPr>
        <w:spacing w:after="80" w:line="280"/>
      </w:pPr>
      <w:r>
        <w:rPr>
          <w:rFonts w:ascii="Arial" w:cs="Arial" w:eastAsia="Arial" w:hAnsi="Arial"/>
          <w:sz w:val="21"/>
          <w:szCs w:val="21"/>
        </w:rPr>
        <w:t xml:space="preserve">Services (calibration, freight): plant-specific — calibration at SG01, freight at all</w:t>
      </w:r>
    </w:p>
    <w:p>
      <w:pPr>
        <w:pStyle w:val="ListParagraph"/>
        <w:numPr>
          <w:ilvl w:val="0"/>
          <w:numId w:val="4"/>
        </w:numPr>
        <w:spacing w:after="80" w:line="280"/>
      </w:pPr>
      <w:r>
        <w:rPr>
          <w:rFonts w:ascii="Arial" w:cs="Arial" w:eastAsia="Arial" w:hAnsi="Arial"/>
          <w:sz w:val="21"/>
          <w:szCs w:val="21"/>
        </w:rPr>
        <w:t xml:space="preserve">MRO supplies: all plants, but each has local items</w:t>
      </w:r>
    </w:p>
    <w:p>
      <w:pPr>
        <w:spacing w:after="60"/>
      </w:pPr>
    </w:p>
    <w:p>
      <w:pPr>
        <w:pBdr>
          <w:left w:val="single" w:color="E67E22" w:sz="8" w:space="8"/>
        </w:pBdr>
        <w:spacing w:before="100" w:after="160" w:line="280"/>
        <w:ind w:left="360" w:right="360"/>
      </w:pPr>
      <w:r>
        <w:rPr>
          <w:rFonts w:ascii="Arial" w:cs="Arial" w:eastAsia="Arial" w:hAnsi="Arial"/>
          <w:i/>
          <w:iCs/>
          <w:color w:val="1A5276"/>
          <w:sz w:val="20"/>
          <w:szCs w:val="20"/>
        </w:rPr>
        <w:t xml:space="preserve">Validation must enforce these affinity rules. A plant extension for “3D Depth Camera” at VN01 should fail validation.</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A7. Category Distribution Targets</w:t>
      </w:r>
    </w:p>
    <w:p>
      <w:pPr>
        <w:spacing w:after="140" w:line="300"/>
      </w:pPr>
      <w:r>
        <w:rPr>
          <w:rFonts w:ascii="Arial" w:cs="Arial" w:eastAsia="Arial" w:hAnsi="Arial"/>
          <w:sz w:val="21"/>
          <w:szCs w:val="21"/>
        </w:rPr>
        <w:t xml:space="preserve">The category hierarchy must be approximately balanced according to the following distribution, reflecting the bill-of-materials profile of an AMR manufacturer: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Top-Level Category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 of Materials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Approx. Materials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Leaf Nodes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Electronics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~240</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12–15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Motion / Mechanical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~160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8–10</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Power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~120</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6–8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Mechanical Raw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5–7</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Packaging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~80</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4–5</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MRO</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~40</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3–4</w:t>
            </w:r>
          </w:p>
        </w:tc>
      </w:tr>
    </w:tbl>
    <w:p>
      <w:pPr>
        <w:spacing w:after="80"/>
      </w:pPr>
    </w:p>
    <w:p>
      <w:pPr>
        <w:spacing w:after="140" w:line="300"/>
      </w:pPr>
      <w:r>
        <w:rPr>
          <w:rFonts w:ascii="Arial" w:cs="Arial" w:eastAsia="Arial" w:hAnsi="Arial"/>
          <w:sz w:val="21"/>
          <w:szCs w:val="21"/>
        </w:rPr>
        <w:t xml:space="preserve">Every top-level category must have at least 5 leaf nodes to ensure spend rollup demos have sufficient granularity. The total across all categories should reach approximately 50 leaf nodes.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A8. UOM Governance</w:t>
      </w:r>
    </w:p>
    <w:p>
      <w:pPr>
        <w:spacing w:after="140" w:line="300"/>
      </w:pPr>
      <w:r>
        <w:rPr>
          <w:rFonts w:ascii="Arial" w:cs="Arial" w:eastAsia="Arial" w:hAnsi="Arial"/>
          <w:sz w:val="21"/>
          <w:szCs w:val="21"/>
        </w:rPr>
        <w:t xml:space="preserve">Unit of measure consistency is critical for pricing, contract matching, and inventory calculations. The default rule is strict consistency:</w:t>
      </w:r>
    </w:p>
    <w:p>
      <w:pPr>
        <w:spacing w:after="60"/>
      </w:pPr>
    </w:p>
    <w:p>
      <w:pPr>
        <w:pStyle w:val="ListParagraph"/>
        <w:numPr>
          <w:ilvl w:val="0"/>
          <w:numId w:val="5"/>
        </w:numPr>
        <w:spacing w:after="80" w:line="280"/>
      </w:pPr>
      <w:r>
        <w:rPr>
          <w:rFonts w:ascii="Arial" w:cs="Arial" w:eastAsia="Arial" w:hAnsi="Arial"/>
          <w:sz w:val="21"/>
          <w:szCs w:val="21"/>
        </w:rPr>
        <w:t xml:space="preserve">material_master.base_uom must equal contract_item.price_uom for the same material</w:t>
      </w:r>
    </w:p>
    <w:p>
      <w:pPr>
        <w:pStyle w:val="ListParagraph"/>
        <w:numPr>
          <w:ilvl w:val="0"/>
          <w:numId w:val="5"/>
        </w:numPr>
        <w:spacing w:after="80" w:line="280"/>
      </w:pPr>
      <w:r>
        <w:rPr>
          <w:rFonts w:ascii="Arial" w:cs="Arial" w:eastAsia="Arial" w:hAnsi="Arial"/>
          <w:sz w:val="21"/>
          <w:szCs w:val="21"/>
        </w:rPr>
        <w:t xml:space="preserve">material_master.base_uom must equal source_list reference UOM (implicit)</w:t>
      </w:r>
    </w:p>
    <w:p>
      <w:pPr>
        <w:pStyle w:val="ListParagraph"/>
        <w:numPr>
          <w:ilvl w:val="0"/>
          <w:numId w:val="5"/>
        </w:numPr>
        <w:spacing w:after="80" w:line="280"/>
      </w:pPr>
      <w:r>
        <w:rPr>
          <w:rFonts w:ascii="Arial" w:cs="Arial" w:eastAsia="Arial" w:hAnsi="Arial"/>
          <w:sz w:val="21"/>
          <w:szCs w:val="21"/>
        </w:rPr>
        <w:t xml:space="preserve">All inventory calculations use the material’s base_uom</w:t>
      </w:r>
    </w:p>
    <w:p>
      <w:pPr>
        <w:spacing w:after="80"/>
      </w:pPr>
    </w:p>
    <w:p>
      <w:pPr>
        <w:spacing w:before="200" w:after="120"/>
      </w:pPr>
      <w:r>
        <w:rPr>
          <w:rFonts w:ascii="Arial" w:cs="Arial" w:eastAsia="Arial" w:hAnsi="Arial"/>
          <w:b/>
          <w:bCs/>
          <w:color w:val="2874A6"/>
          <w:sz w:val="22"/>
          <w:szCs w:val="22"/>
        </w:rPr>
        <w:t xml:space="preserve">Intentional Mismatch Cases (Advanced Demo)</w:t>
      </w:r>
    </w:p>
    <w:p>
      <w:pPr>
        <w:spacing w:after="140" w:line="300"/>
      </w:pPr>
      <w:r>
        <w:rPr>
          <w:rFonts w:ascii="Arial" w:cs="Arial" w:eastAsia="Arial" w:hAnsi="Arial"/>
          <w:sz w:val="21"/>
          <w:szCs w:val="21"/>
        </w:rPr>
        <w:t xml:space="preserve">5–10 materials may have intentional UOM mismatches to demonstrate AI reasoning about unit conversion. These must be:</w:t>
      </w:r>
    </w:p>
    <w:p>
      <w:pPr>
        <w:pStyle w:val="ListParagraph"/>
        <w:numPr>
          <w:ilvl w:val="0"/>
          <w:numId w:val="6"/>
        </w:numPr>
        <w:spacing w:after="80" w:line="280"/>
      </w:pPr>
      <w:r>
        <w:rPr>
          <w:rFonts w:ascii="Arial" w:cs="Arial" w:eastAsia="Arial" w:hAnsi="Arial"/>
          <w:sz w:val="21"/>
          <w:szCs w:val="21"/>
        </w:rPr>
        <w:t xml:space="preserve">Explicitly documented in a uom_conversion table</w:t>
      </w:r>
    </w:p>
    <w:p>
      <w:pPr>
        <w:pStyle w:val="ListParagraph"/>
        <w:numPr>
          <w:ilvl w:val="0"/>
          <w:numId w:val="6"/>
        </w:numPr>
        <w:spacing w:after="80" w:line="280"/>
      </w:pPr>
      <w:r>
        <w:rPr>
          <w:rFonts w:ascii="Arial" w:cs="Arial" w:eastAsia="Arial" w:hAnsi="Arial"/>
          <w:sz w:val="21"/>
          <w:szCs w:val="21"/>
        </w:rPr>
        <w:t xml:space="preserve">Flagged in validation as “known mismatch — conversion defined”</w:t>
      </w:r>
    </w:p>
    <w:p>
      <w:pPr>
        <w:pStyle w:val="ListParagraph"/>
        <w:numPr>
          <w:ilvl w:val="0"/>
          <w:numId w:val="6"/>
        </w:numPr>
        <w:spacing w:after="80" w:line="280"/>
      </w:pPr>
      <w:r>
        <w:rPr>
          <w:rFonts w:ascii="Arial" w:cs="Arial" w:eastAsia="Arial" w:hAnsi="Arial"/>
          <w:sz w:val="21"/>
          <w:szCs w:val="21"/>
        </w:rPr>
        <w:t xml:space="preserve">Include clear conversion factors (e.g., EA to BOX with factor 100)</w:t>
      </w:r>
    </w:p>
    <w:p>
      <w:pPr>
        <w:spacing w:after="60"/>
      </w:pPr>
    </w:p>
    <w:p>
      <w:pPr>
        <w:pBdr>
          <w:left w:val="single" w:color="E67E22" w:sz="8" w:space="8"/>
        </w:pBdr>
        <w:spacing w:before="100" w:after="160" w:line="280"/>
        <w:ind w:left="360" w:right="360"/>
      </w:pPr>
      <w:r>
        <w:rPr>
          <w:rFonts w:ascii="Arial" w:cs="Arial" w:eastAsia="Arial" w:hAnsi="Arial"/>
          <w:i/>
          <w:iCs/>
          <w:color w:val="1A5276"/>
          <w:sz w:val="20"/>
          <w:szCs w:val="20"/>
        </w:rPr>
        <w:t xml:space="preserve">Unintentional UOM mismatches are validation failures. Only pre-defined mismatches in the conversion table are permitted.</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A9. Material Criticality Framework</w:t>
      </w:r>
    </w:p>
    <w:p>
      <w:pPr>
        <w:spacing w:after="140" w:line="300"/>
      </w:pPr>
      <w:r>
        <w:rPr>
          <w:rFonts w:ascii="Arial" w:cs="Arial" w:eastAsia="Arial" w:hAnsi="Arial"/>
          <w:sz w:val="21"/>
          <w:szCs w:val="21"/>
        </w:rPr>
        <w:t xml:space="preserve">Criticality indicates how important a material is to production continuity and safety. To prevent drift in how criticality is assigned, every HIGH-criticality material must have an explicit reason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Reason Code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SAFETY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Failure could cause injury or regulatory action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LiDAR sensor, BMS, battery cells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SUPPLY_RISK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Single-source or extreme lead time with no viable alternative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Specialized FPGA, custom optics module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LEAD_TIME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Lead time &gt; 60 days with limited buffer stock feasibility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3D depth camera, industrial SBC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REGULATORY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 to export control, hazmat, or certification requirements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Li-ion batteries, RF modules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Important but alternatives exist or buffer stock is feasible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Standard motors, gearboxes, PCBs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Readily available commodity; stockout causes inconvenience, not stoppage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Fasteners, labels, packaging foam</w:t>
            </w:r>
          </w:p>
        </w:tc>
      </w:tr>
    </w:tbl>
    <w:p>
      <w:pPr>
        <w:spacing w:after="80"/>
      </w:pPr>
    </w:p>
    <w:p>
      <w:pPr>
        <w:spacing w:after="140" w:line="300"/>
      </w:pPr>
      <w:r>
        <w:rPr>
          <w:rFonts w:ascii="Arial" w:cs="Arial" w:eastAsia="Arial" w:hAnsi="Arial"/>
          <w:sz w:val="21"/>
          <w:szCs w:val="21"/>
        </w:rPr>
        <w:t xml:space="preserve">Reason codes are required only for HIGH criticality. MEDIUM and LOW materials do not need explicit reason codes. This keeps the overhead manageable while ensuring the most important materials have clear, defensible criticality assignments.</w:t>
      </w:r>
    </w:p>
    <w:p>
      <w:pPr>
        <w:pBdr>
          <w:left w:val="single" w:color="2E86C1" w:sz="8" w:space="8"/>
        </w:pBdr>
        <w:spacing w:before="100" w:after="160" w:line="280"/>
        <w:ind w:left="360" w:right="360"/>
      </w:pPr>
      <w:r>
        <w:rPr>
          <w:rFonts w:ascii="Arial" w:cs="Arial" w:eastAsia="Arial" w:hAnsi="Arial"/>
          <w:i/>
          <w:iCs/>
          <w:color w:val="1A5276"/>
          <w:sz w:val="20"/>
          <w:szCs w:val="20"/>
        </w:rPr>
        <w:t xml:space="preserve">This framework directly supports AI reasoning. When the AI explains why a material is critical, it can reference the reason code rather than inferring from other attributes, producing more reliable and consistent explanations.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A10. Human-Friendly Identifiers</w:t>
      </w:r>
    </w:p>
    <w:p>
      <w:pPr>
        <w:spacing w:after="140" w:line="300"/>
      </w:pPr>
      <w:r>
        <w:rPr>
          <w:rFonts w:ascii="Arial" w:cs="Arial" w:eastAsia="Arial" w:hAnsi="Arial"/>
          <w:sz w:val="21"/>
          <w:szCs w:val="21"/>
        </w:rPr>
        <w:t xml:space="preserve">Synthetic IDs (MAT000347, VND000089) are necessary for referential integrity but are impossible to remember during a live demo. Every material and vendor must have a human-readable display code in addition to its primary key.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 Format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Display Code Format</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MAT-XXXXX (auto)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Short mnemonic, uppercase, hyphenated</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LIDAR-2D-HOKUYO, BATCELL-21700, MOTOR-BLDC-200W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VND-XXXXX (auto)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Company short name + country code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NIDEC-JP, HOKUYO-JP, CATL-CN, MOLEX-SG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CTR-XXXXX (auto)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 code + year + seq</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CTR-NIDEC-2025-01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 leaf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CAT-XX-XX-XX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Descriptive path code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ELEC-SENS-LIDAR, PWR-BAT-CELL</w:t>
            </w:r>
          </w:p>
        </w:tc>
      </w:tr>
    </w:tbl>
    <w:p>
      <w:pPr>
        <w:spacing w:after="80"/>
      </w:pPr>
    </w:p>
    <w:p>
      <w:pPr>
        <w:spacing w:after="140" w:line="300"/>
      </w:pPr>
      <w:r>
        <w:rPr>
          <w:rFonts w:ascii="Arial" w:cs="Arial" w:eastAsia="Arial" w:hAnsi="Arial"/>
          <w:sz w:val="21"/>
          <w:szCs w:val="21"/>
        </w:rPr>
        <w:t xml:space="preserve">Display codes are stored as a separate field (display_code or short_code) and used in all demo scripts, scenario seed definitions, and observability dashboard output. PKs remain the system-of-record identifiers for joins and integrity checks.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A11. Implementation Risks and Generation Discipline</w:t>
      </w:r>
    </w:p>
    <w:p>
      <w:pPr>
        <w:spacing w:after="140" w:line="300"/>
      </w:pPr>
      <w:r>
        <w:rPr>
          <w:rFonts w:ascii="Arial" w:cs="Arial" w:eastAsia="Arial" w:hAnsi="Arial"/>
          <w:sz w:val="21"/>
          <w:szCs w:val="21"/>
        </w:rPr>
        <w:t xml:space="preserve">The dataset architecture is sound, but the generation process introduces operational risks that must be mitigated through disciplined implementation. This section documents the key risks and their mitigations. None represent structural design flaws; they are execution-level considerations.</w:t>
      </w:r>
    </w:p>
    <w:p>
      <w:pPr>
        <w:spacing w:after="80"/>
      </w:pPr>
    </w:p>
    <w:p>
      <w:pPr>
        <w:pStyle w:val="Heading2"/>
        <w:spacing w:before="280" w:after="160"/>
      </w:pPr>
      <w:r>
        <w:rPr>
          <w:rFonts w:ascii="Arial" w:cs="Arial" w:eastAsia="Arial" w:hAnsi="Arial"/>
          <w:b/>
          <w:bCs/>
          <w:color w:val="2E86C1"/>
          <w:sz w:val="26"/>
          <w:szCs w:val="26"/>
        </w:rPr>
        <w:t xml:space="preserve">A11.1 Stage-Level Validation (Not Just End-of-Pipeline)</w:t>
      </w:r>
    </w:p>
    <w:p>
      <w:pPr>
        <w:spacing w:after="140" w:line="300"/>
      </w:pPr>
      <w:r>
        <w:rPr>
          <w:rFonts w:ascii="Arial" w:cs="Arial" w:eastAsia="Arial" w:hAnsi="Arial"/>
          <w:sz w:val="21"/>
          <w:szCs w:val="21"/>
        </w:rPr>
        <w:t xml:space="preserve">Section A2 defines a strict generation dependency order and a final validation gate. However, a single end-of-pipeline validation pass is insufficient for a dataset of this complexity. If an error is introduced at stage 3 (category hierarchy), it may cascade silently through stages 4–10 before being caught at validation, requiring regeneration of the entire dataset.</w:t>
      </w:r>
    </w:p>
    <w:p>
      <w:pPr>
        <w:spacing w:after="60"/>
      </w:pPr>
    </w:p>
    <w:p>
      <w:pPr>
        <w:spacing w:before="200" w:after="120"/>
      </w:pPr>
      <w:r>
        <w:rPr>
          <w:rFonts w:ascii="Arial" w:cs="Arial" w:eastAsia="Arial" w:hAnsi="Arial"/>
          <w:b/>
          <w:bCs/>
          <w:color w:val="2874A6"/>
          <w:sz w:val="22"/>
          <w:szCs w:val="22"/>
        </w:rPr>
        <w:t xml:space="preserve">Mitigation: Validate After Every Stage</w:t>
      </w:r>
    </w:p>
    <w:p>
      <w:pPr>
        <w:spacing w:after="140" w:line="300"/>
      </w:pPr>
      <w:r>
        <w:rPr>
          <w:rFonts w:ascii="Arial" w:cs="Arial" w:eastAsia="Arial" w:hAnsi="Arial"/>
          <w:sz w:val="21"/>
          <w:szCs w:val="21"/>
        </w:rPr>
        <w:t xml:space="preserve">Each generation stage must produce deterministic outputs that are validated before the next stage begins. The pipeline becomes a sequence of stage → validate → stage → validate steps, not stage → stage → stage → validate.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Post-Stage Validation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Blocks Next Stage If Failed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Org structure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Company code, plants, storage locations, cost centers all have valid PKs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Category hierarchy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parent-child references valid; ~50 leaf nodes; distribution targets met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 PG → category mapping</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All PG IDs and category IDs valid; every top-level category has an owner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 Seed materials (fixed)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20+ guaranteed demo materials present with correct attributes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 Remaining materials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All category_ids valid; distribution targets met; plant affinity pre-check</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 Legal entities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legal_entity_ids unique; alias groups documented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7. Vendor master</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All legal_entity_id FKs valid; alias groups consistent; distribution constraints met</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 Vendor contacts/addresses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vendor_id FKs valid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9. Material-plant extensions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Affinity rules enforced; no invalid plant-material combinations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Source list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FKs valid; single-source rules met; confidentiality propagation correct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11. Contracts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All FKs valid; expiry/consumption targets met; contract-source alignment verified</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Full validation pass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A2 checks run as final confirmation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13. Scenario seed verification</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All 12 seeds verified attribute-by-attribute</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bl>
    <w:p>
      <w:pPr>
        <w:spacing w:after="100"/>
      </w:pPr>
    </w:p>
    <w:p>
      <w:pPr>
        <w:pStyle w:val="Heading2"/>
        <w:spacing w:before="280" w:after="160"/>
      </w:pPr>
      <w:r>
        <w:rPr>
          <w:rFonts w:ascii="Arial" w:cs="Arial" w:eastAsia="Arial" w:hAnsi="Arial"/>
          <w:b/>
          <w:bCs/>
          <w:color w:val="2E86C1"/>
          <w:sz w:val="26"/>
          <w:szCs w:val="26"/>
        </w:rPr>
        <w:t xml:space="preserve">A11.2 Scenario Seed Anchoring</w:t>
      </w:r>
    </w:p>
    <w:p>
      <w:pPr>
        <w:spacing w:after="140" w:line="300"/>
      </w:pPr>
      <w:r>
        <w:rPr>
          <w:rFonts w:ascii="Arial" w:cs="Arial" w:eastAsia="Arial" w:hAnsi="Arial"/>
          <w:sz w:val="21"/>
          <w:szCs w:val="21"/>
        </w:rPr>
        <w:t xml:space="preserve">The 12 scenario seeds defined in A5 depend on specific data configurations: exact risk scores, contract expiry windows, consumption levels, confidentiality tiers, and alias relationships. If these attributes are generated randomly, they may fail to satisfy seed conditions. For example, a vendor risk score generated as 69 instead of the required &gt;70 would cause SEED-001 to produce incorrect results during the demo.</w:t>
      </w:r>
    </w:p>
    <w:p>
      <w:pPr>
        <w:spacing w:after="60"/>
      </w:pPr>
    </w:p>
    <w:p>
      <w:pPr>
        <w:spacing w:before="200" w:after="120"/>
      </w:pPr>
      <w:r>
        <w:rPr>
          <w:rFonts w:ascii="Arial" w:cs="Arial" w:eastAsia="Arial" w:hAnsi="Arial"/>
          <w:b/>
          <w:bCs/>
          <w:color w:val="2874A6"/>
          <w:sz w:val="22"/>
          <w:szCs w:val="22"/>
        </w:rPr>
        <w:t xml:space="preserve">Mitigation: Seed Entities Are Anchored Records</w:t>
      </w:r>
    </w:p>
    <w:p>
      <w:pPr>
        <w:spacing w:after="140" w:line="300"/>
      </w:pPr>
      <w:r>
        <w:rPr>
          <w:rFonts w:ascii="Arial" w:cs="Arial" w:eastAsia="Arial" w:hAnsi="Arial"/>
          <w:sz w:val="21"/>
          <w:szCs w:val="21"/>
        </w:rPr>
        <w:t xml:space="preserve">All entities referenced by scenario seeds must be defined as fixed, pre-determined records inserted before any random data generation begins. These are not generated — they are authored.</w:t>
      </w:r>
    </w:p>
    <w:p>
      <w:pPr>
        <w:spacing w:after="60"/>
      </w:pPr>
    </w:p>
    <w:p>
      <w:pPr>
        <w:spacing w:after="140" w:line="300"/>
      </w:pPr>
      <w:r>
        <w:rPr>
          <w:rFonts w:ascii="Arial" w:cs="Arial" w:eastAsia="Arial" w:hAnsi="Arial"/>
          <w:sz w:val="21"/>
          <w:szCs w:val="21"/>
        </w:rPr>
        <w:t xml:space="preserve">Recommended implementation: define seed records as structured configuration files:</w:t>
      </w:r>
    </w:p>
    <w:p>
      <w:pPr>
        <w:pStyle w:val="ListParagraph"/>
        <w:numPr>
          <w:ilvl w:val="0"/>
          <w:numId w:val="7"/>
        </w:numPr>
        <w:spacing w:after="80" w:line="280"/>
      </w:pPr>
      <w:r>
        <w:rPr>
          <w:rFonts w:ascii="Arial" w:cs="Arial" w:eastAsia="Arial" w:hAnsi="Arial"/>
          <w:sz w:val="21"/>
          <w:szCs w:val="21"/>
        </w:rPr>
        <w:t xml:space="preserve">seed_materials.yaml — the 20+ guaranteed demo materials with all attributes fixed</w:t>
      </w:r>
    </w:p>
    <w:p>
      <w:pPr>
        <w:pStyle w:val="ListParagraph"/>
        <w:numPr>
          <w:ilvl w:val="0"/>
          <w:numId w:val="7"/>
        </w:numPr>
        <w:spacing w:after="80" w:line="280"/>
      </w:pPr>
      <w:r>
        <w:rPr>
          <w:rFonts w:ascii="Arial" w:cs="Arial" w:eastAsia="Arial" w:hAnsi="Arial"/>
          <w:sz w:val="21"/>
          <w:szCs w:val="21"/>
        </w:rPr>
        <w:t xml:space="preserve">seed_vendors.yaml — vendors referenced by seeds with exact risk_score, quality_score, OTD, status</w:t>
      </w:r>
    </w:p>
    <w:p>
      <w:pPr>
        <w:pStyle w:val="ListParagraph"/>
        <w:numPr>
          <w:ilvl w:val="0"/>
          <w:numId w:val="7"/>
        </w:numPr>
        <w:spacing w:after="80" w:line="280"/>
      </w:pPr>
      <w:r>
        <w:rPr>
          <w:rFonts w:ascii="Arial" w:cs="Arial" w:eastAsia="Arial" w:hAnsi="Arial"/>
          <w:sz w:val="21"/>
          <w:szCs w:val="21"/>
        </w:rPr>
        <w:t xml:space="preserve">seed_contracts.yaml — contracts with exact valid_to dates, consumption levels, pricing</w:t>
      </w:r>
    </w:p>
    <w:p>
      <w:pPr>
        <w:pStyle w:val="ListParagraph"/>
        <w:numPr>
          <w:ilvl w:val="0"/>
          <w:numId w:val="7"/>
        </w:numPr>
        <w:spacing w:after="80" w:line="280"/>
      </w:pPr>
      <w:r>
        <w:rPr>
          <w:rFonts w:ascii="Arial" w:cs="Arial" w:eastAsia="Arial" w:hAnsi="Arial"/>
          <w:sz w:val="21"/>
          <w:szCs w:val="21"/>
        </w:rPr>
        <w:t xml:space="preserve">seed_source_lists.yaml — source list entries with exact approval_status, lane_lead_time, preferred_rank</w:t>
      </w:r>
    </w:p>
    <w:p>
      <w:pPr>
        <w:pStyle w:val="ListParagraph"/>
        <w:numPr>
          <w:ilvl w:val="0"/>
          <w:numId w:val="7"/>
        </w:numPr>
        <w:spacing w:after="80" w:line="280"/>
      </w:pPr>
      <w:r>
        <w:rPr>
          <w:rFonts w:ascii="Arial" w:cs="Arial" w:eastAsia="Arial" w:hAnsi="Arial"/>
          <w:sz w:val="21"/>
          <w:szCs w:val="21"/>
        </w:rPr>
        <w:t xml:space="preserve">seed_legal_entities.yaml — legal entities and alias groups</w:t>
      </w:r>
    </w:p>
    <w:p>
      <w:pPr>
        <w:spacing w:after="60"/>
      </w:pPr>
    </w:p>
    <w:p>
      <w:pPr>
        <w:spacing w:after="140" w:line="300"/>
      </w:pPr>
      <w:r>
        <w:rPr>
          <w:rFonts w:ascii="Arial" w:cs="Arial" w:eastAsia="Arial" w:hAnsi="Arial"/>
          <w:sz w:val="21"/>
          <w:szCs w:val="21"/>
        </w:rPr>
        <w:t xml:space="preserve">These seed files are inserted at stages 4, 6, and 7 (materials, legal entities, vendors) before random generation fills the remaining volume. Random generation must not overwrite or conflict with seed records. This ensures that demo narratives remain stable across dataset regenerations.</w:t>
      </w:r>
    </w:p>
    <w:p>
      <w:pPr>
        <w:spacing w:after="100"/>
      </w:pPr>
    </w:p>
    <w:p>
      <w:pPr>
        <w:pStyle w:val="Heading2"/>
        <w:spacing w:before="280" w:after="160"/>
      </w:pPr>
      <w:r>
        <w:rPr>
          <w:rFonts w:ascii="Arial" w:cs="Arial" w:eastAsia="Arial" w:hAnsi="Arial"/>
          <w:b/>
          <w:bCs/>
          <w:color w:val="2E86C1"/>
          <w:sz w:val="26"/>
          <w:szCs w:val="26"/>
        </w:rPr>
        <w:t xml:space="preserve">A11.3 Confidentiality Propagation as Post-Generation Enforcement</w:t>
      </w:r>
    </w:p>
    <w:p>
      <w:pPr>
        <w:spacing w:after="140" w:line="300"/>
      </w:pPr>
      <w:r>
        <w:rPr>
          <w:rFonts w:ascii="Arial" w:cs="Arial" w:eastAsia="Arial" w:hAnsi="Arial"/>
          <w:sz w:val="21"/>
          <w:szCs w:val="21"/>
        </w:rPr>
        <w:t xml:space="preserve">The propagation rule (A4.3) requires that source list tiers are at least as restrictive as the maximum tier of their constituent entities. If this rule is applied during source list generation, it creates a dependency on the order in which vendor tiers, material tiers, and contract tiers are assigned — any late change to a vendor’s tier would invalidate already-generated source list entries.</w:t>
      </w:r>
    </w:p>
    <w:p>
      <w:pPr>
        <w:spacing w:after="60"/>
      </w:pPr>
    </w:p>
    <w:p>
      <w:pPr>
        <w:spacing w:before="200" w:after="120"/>
      </w:pPr>
      <w:r>
        <w:rPr>
          <w:rFonts w:ascii="Arial" w:cs="Arial" w:eastAsia="Arial" w:hAnsi="Arial"/>
          <w:b/>
          <w:bCs/>
          <w:color w:val="2874A6"/>
          <w:sz w:val="22"/>
          <w:szCs w:val="22"/>
        </w:rPr>
        <w:t xml:space="preserve">Mitigation: Apply Propagation After All Tiers Are Set</w:t>
      </w:r>
    </w:p>
    <w:p>
      <w:pPr>
        <w:spacing w:after="140" w:line="300"/>
      </w:pPr>
      <w:r>
        <w:rPr>
          <w:rFonts w:ascii="Arial" w:cs="Arial" w:eastAsia="Arial" w:hAnsi="Arial"/>
          <w:sz w:val="21"/>
          <w:szCs w:val="21"/>
        </w:rPr>
        <w:t xml:space="preserve">Confidentiality propagation should be implemented as a post-generation enforcement step, not inline during source list generation:</w:t>
      </w:r>
    </w:p>
    <w:p>
      <w:pPr>
        <w:spacing w:after="60"/>
      </w:pPr>
    </w:p>
    <w:p>
      <w:pPr>
        <w:pStyle w:val="ListParagraph"/>
        <w:numPr>
          <w:ilvl w:val="0"/>
          <w:numId w:val="8"/>
        </w:numPr>
        <w:spacing w:after="80" w:line="280"/>
      </w:pPr>
      <w:r>
        <w:rPr>
          <w:rFonts w:ascii="Arial" w:cs="Arial" w:eastAsia="Arial" w:hAnsi="Arial"/>
          <w:sz w:val="21"/>
          <w:szCs w:val="21"/>
        </w:rPr>
        <w:t xml:space="preserve">Generate vendor tiers, material tiers, and contract tiers during their respective stages</w:t>
      </w:r>
    </w:p>
    <w:p>
      <w:pPr>
        <w:pStyle w:val="ListParagraph"/>
        <w:numPr>
          <w:ilvl w:val="0"/>
          <w:numId w:val="8"/>
        </w:numPr>
        <w:spacing w:after="80" w:line="280"/>
      </w:pPr>
      <w:r>
        <w:rPr>
          <w:rFonts w:ascii="Arial" w:cs="Arial" w:eastAsia="Arial" w:hAnsi="Arial"/>
          <w:sz w:val="21"/>
          <w:szCs w:val="21"/>
        </w:rPr>
        <w:t xml:space="preserve">Generate source list entries with a default tier of INTERNAL</w:t>
      </w:r>
    </w:p>
    <w:p>
      <w:pPr>
        <w:pStyle w:val="ListParagraph"/>
        <w:numPr>
          <w:ilvl w:val="0"/>
          <w:numId w:val="8"/>
        </w:numPr>
        <w:spacing w:after="80" w:line="280"/>
      </w:pPr>
      <w:r>
        <w:rPr>
          <w:rFonts w:ascii="Arial" w:cs="Arial" w:eastAsia="Arial" w:hAnsi="Arial"/>
          <w:sz w:val="21"/>
          <w:szCs w:val="21"/>
        </w:rPr>
        <w:t xml:space="preserve">After all entities are generated, run a propagation pass: for each source list entry, set tier = max(vendor.tier, material.tier, contract.tier if contract_covered)</w:t>
      </w:r>
    </w:p>
    <w:p>
      <w:pPr>
        <w:pStyle w:val="ListParagraph"/>
        <w:numPr>
          <w:ilvl w:val="0"/>
          <w:numId w:val="8"/>
        </w:numPr>
        <w:spacing w:after="80" w:line="280"/>
      </w:pPr>
      <w:r>
        <w:rPr>
          <w:rFonts w:ascii="Arial" w:cs="Arial" w:eastAsia="Arial" w:hAnsi="Arial"/>
          <w:sz w:val="21"/>
          <w:szCs w:val="21"/>
        </w:rPr>
        <w:t xml:space="preserve">Validate propagation with the SQL check defined in B10</w:t>
      </w:r>
    </w:p>
    <w:p>
      <w:pPr>
        <w:spacing w:after="60"/>
      </w:pPr>
    </w:p>
    <w:p>
      <w:pPr>
        <w:spacing w:after="140" w:line="300"/>
      </w:pPr>
      <w:r>
        <w:rPr>
          <w:rFonts w:ascii="Arial" w:cs="Arial" w:eastAsia="Arial" w:hAnsi="Arial"/>
          <w:sz w:val="21"/>
          <w:szCs w:val="21"/>
        </w:rPr>
        <w:t xml:space="preserve">This decouples tier assignment from generation order and ensures consistency even if tiers are adjusted during seed anchoring.</w:t>
      </w:r>
    </w:p>
    <w:p>
      <w:pPr>
        <w:spacing w:after="100"/>
      </w:pPr>
    </w:p>
    <w:p>
      <w:pPr>
        <w:pStyle w:val="Heading2"/>
        <w:spacing w:before="280" w:after="160"/>
      </w:pPr>
      <w:r>
        <w:rPr>
          <w:rFonts w:ascii="Arial" w:cs="Arial" w:eastAsia="Arial" w:hAnsi="Arial"/>
          <w:b/>
          <w:bCs/>
          <w:color w:val="2E86C1"/>
          <w:sz w:val="26"/>
          <w:szCs w:val="26"/>
        </w:rPr>
        <w:t xml:space="preserve">A11.4 Vendor Category Normalization</w:t>
      </w:r>
    </w:p>
    <w:p>
      <w:pPr>
        <w:spacing w:after="140" w:line="300"/>
      </w:pPr>
      <w:r>
        <w:rPr>
          <w:rFonts w:ascii="Arial" w:cs="Arial" w:eastAsia="Arial" w:hAnsi="Arial"/>
          <w:sz w:val="21"/>
          <w:szCs w:val="21"/>
        </w:rPr>
        <w:t xml:space="preserve">The vendor master includes a supported_categories field as a comma-separated string (e.g., “ELEC,MOTN,POWR”). While sufficient for display purposes, this structure complicates SQL filtering, graph edge creation, and category-based vendor queries. For example, finding all vendors that supply Electronics requires string parsing rather than a simple join.</w:t>
      </w:r>
    </w:p>
    <w:p>
      <w:pPr>
        <w:spacing w:after="60"/>
      </w:pPr>
    </w:p>
    <w:p>
      <w:pPr>
        <w:spacing w:before="200" w:after="120"/>
      </w:pPr>
      <w:r>
        <w:rPr>
          <w:rFonts w:ascii="Arial" w:cs="Arial" w:eastAsia="Arial" w:hAnsi="Arial"/>
          <w:b/>
          <w:bCs/>
          <w:color w:val="2874A6"/>
          <w:sz w:val="22"/>
          <w:szCs w:val="22"/>
        </w:rPr>
        <w:t xml:space="preserve">Mitigation: Add Normalized Junction Table</w:t>
      </w:r>
    </w:p>
    <w:p>
      <w:pPr>
        <w:spacing w:after="140" w:line="300"/>
      </w:pPr>
      <w:r>
        <w:rPr>
          <w:rFonts w:ascii="Arial" w:cs="Arial" w:eastAsia="Arial" w:hAnsi="Arial"/>
          <w:sz w:val="21"/>
          <w:szCs w:val="21"/>
        </w:rPr>
        <w:t xml:space="preserve">Introduce a vendor_category junction table (defined in B5.3) that normalizes the relationship. The supported_categories string field is retained for human readability but the junction table is the system-of-record for category-based vendor queries and graph edge generation.</w:t>
      </w:r>
    </w:p>
    <w:p>
      <w:pPr>
        <w:spacing w:after="100"/>
      </w:pPr>
    </w:p>
    <w:p>
      <w:pPr>
        <w:pStyle w:val="Heading2"/>
        <w:spacing w:before="280" w:after="160"/>
      </w:pPr>
      <w:r>
        <w:rPr>
          <w:rFonts w:ascii="Arial" w:cs="Arial" w:eastAsia="Arial" w:hAnsi="Arial"/>
          <w:b/>
          <w:bCs/>
          <w:color w:val="2E86C1"/>
          <w:sz w:val="26"/>
          <w:szCs w:val="26"/>
        </w:rPr>
        <w:t xml:space="preserve">A11.5 Phased Graph Implementation</w:t>
      </w:r>
    </w:p>
    <w:p>
      <w:pPr>
        <w:spacing w:after="140" w:line="300"/>
      </w:pPr>
      <w:r>
        <w:rPr>
          <w:rFonts w:ascii="Arial" w:cs="Arial" w:eastAsia="Arial" w:hAnsi="Arial"/>
          <w:sz w:val="21"/>
          <w:szCs w:val="21"/>
        </w:rPr>
        <w:t xml:space="preserve">The knowledge graph design (Section C6) spans both master data and transactional entities. Attempting to implement the full graph simultaneously with initial dataset generation increases complexity and risk.</w:t>
      </w:r>
    </w:p>
    <w:p>
      <w:pPr>
        <w:spacing w:after="60"/>
      </w:pPr>
    </w:p>
    <w:p>
      <w:pPr>
        <w:spacing w:before="200" w:after="120"/>
      </w:pPr>
      <w:r>
        <w:rPr>
          <w:rFonts w:ascii="Arial" w:cs="Arial" w:eastAsia="Arial" w:hAnsi="Arial"/>
          <w:b/>
          <w:bCs/>
          <w:color w:val="2874A6"/>
          <w:sz w:val="22"/>
          <w:szCs w:val="22"/>
        </w:rPr>
        <w:t xml:space="preserve">Mitigation: Two-Phase Graph Build</w:t>
      </w:r>
    </w:p>
    <w:p>
      <w:pPr>
        <w:spacing w:after="140" w:line="300"/>
      </w:pPr>
      <w:r>
        <w:rPr>
          <w:rFonts w:ascii="Arial" w:cs="Arial" w:eastAsia="Arial" w:hAnsi="Arial"/>
          <w:sz w:val="21"/>
          <w:szCs w:val="21"/>
        </w:rPr>
        <w:t xml:space="preserve">Phase 1 (with master data): Implement the master data graph only — Material, Vendor, LegalEntity, Plant, Category, Contract, PurchasingGroup nodes with SUPPLIES, BELONGS_TO, CONTRACTED_WITH, AVAILABLE_AT, RESPONSIBLE_FOR, and OPERATES_AS edges. This is sufficient for all master data scenario seeds and most demo questions.</w:t>
      </w:r>
    </w:p>
    <w:p>
      <w:pPr>
        <w:spacing w:after="140" w:line="300"/>
      </w:pPr>
      <w:r>
        <w:rPr>
          <w:rFonts w:ascii="Arial" w:cs="Arial" w:eastAsia="Arial" w:hAnsi="Arial"/>
          <w:sz w:val="21"/>
          <w:szCs w:val="21"/>
        </w:rPr>
        <w:t xml:space="preserve">Phase 2 (with transactional data): Add PR, PO, GR, Invoice, and Payment nodes with their transactional edges. This requires transactional data to be generated and validated first. Phase 2 enables the extended scenario seeds (SEED-001 ext through SEED-T05) and temporal reasoning queries.</w:t>
      </w:r>
    </w:p>
    <w:p>
      <w:pPr>
        <w:spacing w:after="60"/>
      </w:pPr>
    </w:p>
    <w:p>
      <w:pPr>
        <w:spacing w:after="140" w:line="300"/>
      </w:pPr>
      <w:r>
        <w:rPr>
          <w:rFonts w:ascii="Arial" w:cs="Arial" w:eastAsia="Arial" w:hAnsi="Arial"/>
          <w:sz w:val="21"/>
          <w:szCs w:val="21"/>
        </w:rPr>
        <w:t xml:space="preserve">The phased approach allows the demo to be functional with master data alone while transactional generation is still in progress.</w:t>
      </w:r>
    </w:p>
    <w:p>
      <w:r>
        <w:br w:type="page"/>
      </w:r>
    </w:p>
    <w:p>
      <w:pPr>
        <w:spacing w:before="600" w:after="80"/>
        <w:jc w:val="center"/>
      </w:pPr>
      <w:r>
        <w:rPr>
          <w:rFonts w:ascii="Arial" w:cs="Arial" w:eastAsia="Arial" w:hAnsi="Arial"/>
          <w:b/>
          <w:bCs/>
          <w:color w:val="1B4F72"/>
          <w:sz w:val="44"/>
          <w:szCs w:val="44"/>
        </w:rPr>
        <w:t xml:space="preserve">SECTION B</w:t>
      </w:r>
    </w:p>
    <w:p>
      <w:pPr>
        <w:pBdr>
          <w:bottom w:val="single" w:color="1B4F72" w:sz="4" w:space="8"/>
        </w:pBdr>
        <w:spacing w:after="300"/>
        <w:jc w:val="center"/>
      </w:pPr>
      <w:r>
        <w:rPr>
          <w:rFonts w:ascii="Arial" w:cs="Arial" w:eastAsia="Arial" w:hAnsi="Arial"/>
          <w:color w:val="2E86C1"/>
          <w:sz w:val="30"/>
          <w:szCs w:val="30"/>
        </w:rPr>
        <w:t xml:space="preserve">Schema Specification and Generation Plan</w:t>
      </w:r>
    </w:p>
    <w:p>
      <w:pPr>
        <w:spacing w:after="140" w:line="300"/>
      </w:pPr>
      <w:r>
        <w:rPr>
          <w:rFonts w:ascii="Arial" w:cs="Arial" w:eastAsia="Arial" w:hAnsi="Arial"/>
          <w:sz w:val="21"/>
          <w:szCs w:val="21"/>
        </w:rPr>
        <w:t xml:space="preserve">This section defines every table, its fields, primary keys, foreign keys, and constraints. It also provides sample rows for each major entity. The generation plan follows the dependency order defined in A2.</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B1. Organizational Structure</w:t>
      </w:r>
    </w:p>
    <w:p>
      <w:pPr>
        <w:spacing w:after="60"/>
      </w:pPr>
    </w:p>
    <w:p>
      <w:pPr>
        <w:pStyle w:val="Heading2"/>
        <w:spacing w:before="280" w:after="160"/>
      </w:pPr>
      <w:r>
        <w:rPr>
          <w:rFonts w:ascii="Arial" w:cs="Arial" w:eastAsia="Arial" w:hAnsi="Arial"/>
          <w:b/>
          <w:bCs/>
          <w:color w:val="2E86C1"/>
          <w:sz w:val="26"/>
          <w:szCs w:val="26"/>
        </w:rPr>
        <w:t xml:space="preserve">B1.1 company_code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company_code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Legal entity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company_name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legal name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 code (ISO 3166-1 alpha-2)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 reporting currency</w:t>
            </w:r>
          </w:p>
        </w:tc>
      </w:tr>
    </w:tbl>
    <w:p>
      <w:pPr>
        <w:spacing w:after="60"/>
      </w:pPr>
    </w:p>
    <w:p>
      <w:pPr>
        <w:spacing w:before="200" w:after="120"/>
      </w:pPr>
      <w:r>
        <w:rPr>
          <w:rFonts w:ascii="Arial" w:cs="Arial" w:eastAsia="Arial" w:hAnsi="Arial"/>
          <w:b/>
          <w:bCs/>
          <w:color w:val="2874A6"/>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400"/>
        <w:gridCol w:w="26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company_code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company_name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currency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AMRX</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AMR Robotics Pte Ltd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SGD</w:t>
            </w:r>
          </w:p>
        </w:tc>
      </w:tr>
    </w:tbl>
    <w:p>
      <w:pPr>
        <w:spacing w:after="100"/>
      </w:pPr>
    </w:p>
    <w:p>
      <w:pPr>
        <w:pStyle w:val="Heading2"/>
        <w:spacing w:before="280" w:after="160"/>
      </w:pPr>
      <w:r>
        <w:rPr>
          <w:rFonts w:ascii="Arial" w:cs="Arial" w:eastAsia="Arial" w:hAnsi="Arial"/>
          <w:b/>
          <w:bCs/>
          <w:color w:val="2E86C1"/>
          <w:sz w:val="26"/>
          <w:szCs w:val="26"/>
        </w:rPr>
        <w:t xml:space="preserve">B1.2 purchasing_org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purch_org_id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Purchasing organization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purch_org_name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company_code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company_code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Parent company</w:t>
            </w:r>
          </w:p>
        </w:tc>
      </w:tr>
    </w:tbl>
    <w:p>
      <w:pPr>
        <w:spacing w:after="60"/>
      </w:pPr>
    </w:p>
    <w:p>
      <w:pPr>
        <w:spacing w:before="200" w:after="120"/>
      </w:pPr>
      <w:r>
        <w:rPr>
          <w:rFonts w:ascii="Arial" w:cs="Arial" w:eastAsia="Arial" w:hAnsi="Arial"/>
          <w:b/>
          <w:bCs/>
          <w:color w:val="2874A6"/>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purch_org_id</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purch_org_name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company_code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PO01</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Central Procurement – Direct Materials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AMRX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Central Procurement – Indirect &amp;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AMRX</w:t>
            </w:r>
          </w:p>
        </w:tc>
      </w:tr>
    </w:tbl>
    <w:p>
      <w:pPr>
        <w:spacing w:after="100"/>
      </w:pPr>
    </w:p>
    <w:p>
      <w:pPr>
        <w:pStyle w:val="Heading2"/>
        <w:spacing w:before="280" w:after="160"/>
      </w:pPr>
      <w:r>
        <w:rPr>
          <w:rFonts w:ascii="Arial" w:cs="Arial" w:eastAsia="Arial" w:hAnsi="Arial"/>
          <w:b/>
          <w:bCs/>
          <w:color w:val="2E86C1"/>
          <w:sz w:val="26"/>
          <w:szCs w:val="26"/>
        </w:rPr>
        <w:t xml:space="preserve">B1.3 purchasing_group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purch_group_id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Buyer group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purch_group_name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describing commodity focus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purch_org_id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purchasing_org</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Parent purchasing org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display_code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Human-friendly code (e.g., PG-ELEC)</w:t>
            </w:r>
          </w:p>
        </w:tc>
      </w:tr>
    </w:tbl>
    <w:p>
      <w:pPr>
        <w:spacing w:after="60"/>
      </w:pPr>
    </w:p>
    <w:p>
      <w:pPr>
        <w:spacing w:before="200" w:after="120"/>
      </w:pPr>
      <w:r>
        <w:rPr>
          <w:rFonts w:ascii="Arial" w:cs="Arial" w:eastAsia="Arial" w:hAnsi="Arial"/>
          <w:b/>
          <w:bCs/>
          <w:color w:val="2874A6"/>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purch_group_id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display_code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purch_group_name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purch_org_id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PG000001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PG-ELEC</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Electronics &amp; Sensors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PG000002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PG-MOTN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Motion &amp; Drive Components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PO01</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PG000003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PG-POWR</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Power &amp; Battery Systems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PG000004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PG-MECH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Mechanical &amp; Structural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PO01</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PG000005</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PG-PACK</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Packaging &amp; Shipping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PG000006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PG-SRVC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Services &amp; MRO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PO02</w:t>
            </w:r>
          </w:p>
        </w:tc>
      </w:tr>
    </w:tbl>
    <w:p>
      <w:pPr>
        <w:spacing w:after="100"/>
      </w:pPr>
    </w:p>
    <w:p>
      <w:pPr>
        <w:pStyle w:val="Heading2"/>
        <w:spacing w:before="280" w:after="160"/>
      </w:pPr>
      <w:r>
        <w:rPr>
          <w:rFonts w:ascii="Arial" w:cs="Arial" w:eastAsia="Arial" w:hAnsi="Arial"/>
          <w:b/>
          <w:bCs/>
          <w:color w:val="2E86C1"/>
          <w:sz w:val="26"/>
          <w:szCs w:val="26"/>
        </w:rPr>
        <w:t xml:space="preserve">B1.4 purchasing_group_category (Junction Table — NEW)</w:t>
      </w:r>
    </w:p>
    <w:p>
      <w:pPr>
        <w:spacing w:after="140" w:line="300"/>
      </w:pPr>
      <w:r>
        <w:rPr>
          <w:rFonts w:ascii="Arial" w:cs="Arial" w:eastAsia="Arial" w:hAnsi="Arial"/>
          <w:sz w:val="21"/>
          <w:szCs w:val="21"/>
        </w:rPr>
        <w:t xml:space="preserve">This table explicitly maps purchasing groups to the categories they are authorized to manage. It is the master data foundation for RBAC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purch_group_id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VARCHAR(8)</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purchasing_group</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Buyer group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 FK → category_hierarchy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 (any level)</w:t>
            </w:r>
          </w:p>
        </w:tc>
      </w:tr>
    </w:tbl>
    <w:p>
      <w:pPr>
        <w:spacing w:after="60"/>
      </w:pPr>
    </w:p>
    <w:p>
      <w:pPr>
        <w:spacing w:before="200" w:after="120"/>
      </w:pPr>
      <w:r>
        <w:rPr>
          <w:rFonts w:ascii="Arial" w:cs="Arial" w:eastAsia="Arial" w:hAnsi="Arial"/>
          <w:b/>
          <w:bCs/>
          <w:color w:val="2874A6"/>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purch_group_id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category_id</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Name (for reference)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PG000001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Electronics (top-level)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PG000001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ELEC-SENS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Sensors (subcategory)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PG000002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Motion (top-level)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PG000003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Power (top-level)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PG000004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MECH</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Mechanical (top-level)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PG000005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PACK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Packaging (top-level)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PG000006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SRVC</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Services (top-level)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PG000006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MRO (top-level)</w:t>
            </w:r>
          </w:p>
        </w:tc>
      </w:tr>
    </w:tbl>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Mapping is typically at the top-level category, which implicitly covers all subcategories and commodities underneath. Finer-grained mapping (at subcategory or commodity level) is possible but not required for the demo.</w:t>
      </w:r>
    </w:p>
    <w:p>
      <w:pPr>
        <w:spacing w:after="100"/>
      </w:pPr>
    </w:p>
    <w:p>
      <w:pPr>
        <w:pStyle w:val="Heading2"/>
        <w:spacing w:before="280" w:after="160"/>
      </w:pPr>
      <w:r>
        <w:rPr>
          <w:rFonts w:ascii="Arial" w:cs="Arial" w:eastAsia="Arial" w:hAnsi="Arial"/>
          <w:b/>
          <w:bCs/>
          <w:color w:val="2E86C1"/>
          <w:sz w:val="26"/>
          <w:szCs w:val="26"/>
        </w:rPr>
        <w:t xml:space="preserve">B1.5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Descriptive name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function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VARCHAR(50)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Primary function (pilot/production/sub-assembly)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company_code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company_code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Parent company</w:t>
            </w:r>
          </w:p>
        </w:tc>
      </w:tr>
    </w:tbl>
    <w:p>
      <w:pPr>
        <w:spacing w:after="60"/>
      </w:pPr>
    </w:p>
    <w:p>
      <w:pPr>
        <w:spacing w:before="200" w:after="120"/>
      </w:pPr>
      <w:r>
        <w:rPr>
          <w:rFonts w:ascii="Arial" w:cs="Arial" w:eastAsia="Arial" w:hAnsi="Arial"/>
          <w:b/>
          <w:bCs/>
          <w:color w:val="2874A6"/>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1800"/>
        <w:gridCol w:w="2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plant_id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plant_name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SG01</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Singapore HQ &amp; Pilot Assembly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Singapore</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HQ + Engineering + Pilot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Penang Production Plant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Penang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 Production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VN01</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Ho Chi Minh Sub-Assembly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HCMC</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Harness + Sub-Assembly</w:t>
            </w:r>
          </w:p>
        </w:tc>
      </w:tr>
    </w:tbl>
    <w:p>
      <w:pPr>
        <w:spacing w:after="100"/>
      </w:pPr>
    </w:p>
    <w:p>
      <w:pPr>
        <w:pStyle w:val="Heading2"/>
        <w:spacing w:before="280" w:after="160"/>
      </w:pPr>
      <w:r>
        <w:rPr>
          <w:rFonts w:ascii="Arial" w:cs="Arial" w:eastAsia="Arial" w:hAnsi="Arial"/>
          <w:b/>
          <w:bCs/>
          <w:color w:val="2E86C1"/>
          <w:sz w:val="26"/>
          <w:szCs w:val="26"/>
        </w:rPr>
        <w:t xml:space="preserve">B1.6 storage_location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storage_loc_id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Storage location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 FK → plant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Parent plant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storage_loc_name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Name (e.g., Raw Materials Warehouse)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storage_type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Type: RAW, WIP, FG, QI, MRO</w:t>
            </w:r>
          </w:p>
        </w:tc>
      </w:tr>
    </w:tbl>
    <w:p>
      <w:pPr>
        <w:spacing w:after="60"/>
      </w:pPr>
    </w:p>
    <w:p>
      <w:pPr>
        <w:spacing w:after="140" w:line="300"/>
      </w:pPr>
      <w:r>
        <w:rPr>
          <w:rFonts w:ascii="Arial" w:cs="Arial" w:eastAsia="Arial" w:hAnsi="Arial"/>
          <w:sz w:val="21"/>
          <w:szCs w:val="21"/>
        </w:rPr>
        <w:t xml:space="preserve">Target: 2–5 storage locations per plant. SG01 may have 2 (pilot + QI), MY01 may have 5 (raw, WIP, FG, QI, MRO), VN01 may have 3 (raw, WIP, FG).</w:t>
      </w:r>
    </w:p>
    <w:p>
      <w:pPr>
        <w:spacing w:after="100"/>
      </w:pPr>
    </w:p>
    <w:p>
      <w:pPr>
        <w:pStyle w:val="Heading2"/>
        <w:spacing w:before="280" w:after="160"/>
      </w:pPr>
      <w:r>
        <w:rPr>
          <w:rFonts w:ascii="Arial" w:cs="Arial" w:eastAsia="Arial" w:hAnsi="Arial"/>
          <w:b/>
          <w:bCs/>
          <w:color w:val="2E86C1"/>
          <w:sz w:val="26"/>
          <w:szCs w:val="26"/>
        </w:rPr>
        <w:t xml:space="preserve">B1.7 cost_center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cost_center_id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Cost center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cost_center_name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Department or function name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plant</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Associated plant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department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Engineering, Production, Quality, Logistics, Admin, R&amp;D</w:t>
            </w:r>
          </w:p>
        </w:tc>
      </w:tr>
    </w:tbl>
    <w:p>
      <w:pPr>
        <w:spacing w:after="60"/>
      </w:pPr>
    </w:p>
    <w:p>
      <w:pPr>
        <w:spacing w:after="140" w:line="300"/>
      </w:pPr>
      <w:r>
        <w:rPr>
          <w:rFonts w:ascii="Arial" w:cs="Arial" w:eastAsia="Arial" w:hAnsi="Arial"/>
          <w:sz w:val="21"/>
          <w:szCs w:val="21"/>
        </w:rPr>
        <w:t xml:space="preserve">Target: 20–60 cost centers across all plants. Each plant has departments for Production, Quality, Logistics, and Administration. SG01 additionally has Engineering and R&amp;D. Distribution should reflect plant size: MY01 has the most cost centers.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B2. Category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1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Hierarchical ID (e.g., ELEC-SENS-LIDAR)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Descriptive name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level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 Category, 2 = Subcategory, 3 = Commodity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parent_category_id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category_hierarchy (self)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NULL for level 1</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owner_purch_group_id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VARCHAR(8)</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purchasing_group</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Primary responsible buyer group</w:t>
            </w:r>
          </w:p>
        </w:tc>
      </w:tr>
    </w:tbl>
    <w:p>
      <w:pPr>
        <w:spacing w:after="100"/>
      </w:pPr>
    </w:p>
    <w:p>
      <w:pPr>
        <w:pStyle w:val="Heading2"/>
        <w:spacing w:before="280" w:after="160"/>
      </w:pPr>
      <w:r>
        <w:rPr>
          <w:rFonts w:ascii="Arial" w:cs="Arial" w:eastAsia="Arial" w:hAnsi="Arial"/>
          <w:b/>
          <w:bCs/>
          <w:color w:val="2E86C1"/>
          <w:sz w:val="26"/>
          <w:szCs w:val="26"/>
        </w:rPr>
        <w:t xml:space="preserve">B2.1 Full Category Tree</w:t>
      </w:r>
    </w:p>
    <w:p>
      <w:pPr>
        <w:spacing w:after="60"/>
      </w:pPr>
    </w:p>
    <w:p>
      <w:pPr>
        <w:spacing w:before="200" w:after="120"/>
      </w:pPr>
      <w:r>
        <w:rPr>
          <w:rFonts w:ascii="Arial" w:cs="Arial" w:eastAsia="Arial" w:hAnsi="Arial"/>
          <w:b/>
          <w:bCs/>
          <w:color w:val="2874A6"/>
          <w:sz w:val="22"/>
          <w:szCs w:val="22"/>
        </w:rPr>
        <w:t xml:space="preserve">Electronics (ELEC) — ~15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1</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2 (Subcategory)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3 (Commodity)</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Electronics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Compute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Microcontrollers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ELEC-COMP-MCU</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Industrial SBC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ELEC-COMP-SBC</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FPGA Modules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ELEC-COMP-FPGA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PCB &amp; Assemblies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Bare PCBs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ELEC-PCB-BARE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PCB Assemblies (PCBA)</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ELEC-PCB-PCBA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Sensors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2D LiDAR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ELEC-SENS-LIDAR2D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3D Depth Camera</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ELEC-SENS-CAM3D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IMU</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ELEC-SENS-IMU</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Wheel Encoders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ELEC-SENS-ENCODER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Ultrasonic Sensors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ELEC-SENS-ULTRA</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Safety Sensors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ELEC-SENS-SAFETY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WiFi / BT Modules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ELEC-CONN-WIFI</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Ethernet Modules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ELEC-CONN-ETH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IO Modules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ELEC-CONN-IO</w:t>
            </w:r>
          </w:p>
        </w:tc>
      </w:tr>
    </w:tbl>
    <w:p>
      <w:pPr>
        <w:spacing w:after="80"/>
      </w:pPr>
    </w:p>
    <w:p>
      <w:pPr>
        <w:spacing w:before="200" w:after="120"/>
      </w:pPr>
      <w:r>
        <w:rPr>
          <w:rFonts w:ascii="Arial" w:cs="Arial" w:eastAsia="Arial" w:hAnsi="Arial"/>
          <w:b/>
          <w:bCs/>
          <w:color w:val="2874A6"/>
          <w:sz w:val="22"/>
          <w:szCs w:val="22"/>
        </w:rPr>
        <w:t xml:space="preserve">Motion / Mechanical (MOTN) — ~9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1</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2</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3</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Motors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BLDC Motors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MOTN-MOT-BLDC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Stepper Motors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MOTN-MOT-STEP</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Drive Train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Gearboxes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MOTN-DRV-GBOX</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Drive Wheels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MOTN-DRV-WHEEL</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Caster Wheels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MOTN-DRV-CASTER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Bearings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MOTN-DRV-BEARING</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Actuators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Linear Actuators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MOTN-ACT-LINEAR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Grippers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MOTN-ACT-GRIP</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Transmission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Belts &amp; Pulleys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MOTN-TRN-BELT</w:t>
            </w:r>
          </w:p>
        </w:tc>
      </w:tr>
    </w:tbl>
    <w:p>
      <w:pPr>
        <w:spacing w:after="80"/>
      </w:pPr>
    </w:p>
    <w:p>
      <w:pPr>
        <w:spacing w:before="200" w:after="120"/>
      </w:pPr>
      <w:r>
        <w:rPr>
          <w:rFonts w:ascii="Arial" w:cs="Arial" w:eastAsia="Arial" w:hAnsi="Arial"/>
          <w:b/>
          <w:bCs/>
          <w:color w:val="2874A6"/>
          <w:sz w:val="22"/>
          <w:szCs w:val="22"/>
        </w:rPr>
        <w:t xml:space="preserve">Power (POWR) — ~7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1</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2</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3</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Batteries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Li-ion Cells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POWR-BAT-CELL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Battery Packs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POWR-BAT-PACK</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BMS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POWR-BAT-BMS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Charging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Chargers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POWR-CHG-UNIT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Charging Contacts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POWR-CHG-CONTACT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DC-DC Converters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POWR-CNV-DCDC</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Power Distribution</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POWR-CNV-PDU</w:t>
            </w:r>
          </w:p>
        </w:tc>
      </w:tr>
    </w:tbl>
    <w:p>
      <w:pPr>
        <w:spacing w:after="80"/>
      </w:pPr>
    </w:p>
    <w:p>
      <w:pPr>
        <w:spacing w:before="200" w:after="120"/>
      </w:pPr>
      <w:r>
        <w:rPr>
          <w:rFonts w:ascii="Arial" w:cs="Arial" w:eastAsia="Arial" w:hAnsi="Arial"/>
          <w:b/>
          <w:bCs/>
          <w:color w:val="2874A6"/>
          <w:sz w:val="22"/>
          <w:szCs w:val="22"/>
        </w:rPr>
        <w:t xml:space="preserve">Mechanical Raw (MECH) — ~6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1</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2</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3</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Mechanical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Structural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Sheet Metal Parts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MECH-STR-SHEET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Aluminum Extrusions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MECH-STR-EXTR</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Brackets &amp; Mounts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MECH-STR-BRACKET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Fasteners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Screws &amp; Bolts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MECH-FST-SCREW</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Nuts &amp; Washers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MECH-FST-NUT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Wire &amp; Cable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Cable Assemblies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MECH-WIR-CABLE</w:t>
            </w:r>
          </w:p>
        </w:tc>
      </w:tr>
    </w:tbl>
    <w:p>
      <w:pPr>
        <w:spacing w:after="80"/>
      </w:pPr>
    </w:p>
    <w:p>
      <w:pPr>
        <w:spacing w:before="200" w:after="120"/>
      </w:pPr>
      <w:r>
        <w:rPr>
          <w:rFonts w:ascii="Arial" w:cs="Arial" w:eastAsia="Arial" w:hAnsi="Arial"/>
          <w:b/>
          <w:bCs/>
          <w:color w:val="2874A6"/>
          <w:sz w:val="22"/>
          <w:szCs w:val="22"/>
        </w:rPr>
        <w:t xml:space="preserve">Packaging (PACK) — ~5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1</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2</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3</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Packaging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Primary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Cartons &amp; Boxes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PACK-PRI-CARTON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Foam Inserts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PACK-PRI-FOAM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Secondary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Pallets &amp; Wrapping</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PACK-SEC-PALLET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Labeling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Product Labels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PACK-LBL-PRODUCT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Shipping Labels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PACK-LBL-SHIP</w:t>
            </w:r>
          </w:p>
        </w:tc>
      </w:tr>
    </w:tbl>
    <w:p>
      <w:pPr>
        <w:spacing w:after="80"/>
      </w:pPr>
    </w:p>
    <w:p>
      <w:pPr>
        <w:spacing w:before="200" w:after="120"/>
      </w:pPr>
      <w:r>
        <w:rPr>
          <w:rFonts w:ascii="Arial" w:cs="Arial" w:eastAsia="Arial" w:hAnsi="Arial"/>
          <w:b/>
          <w:bCs/>
          <w:color w:val="2874A6"/>
          <w:sz w:val="22"/>
          <w:szCs w:val="22"/>
        </w:rPr>
        <w:t xml:space="preserve">Services (SRVC) — ~5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1</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2</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3</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Services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Technical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Calibration Services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SRVC-TECH-CALIB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Testing &amp; Certification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SRVC-TECH-TEST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Logistics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Freight &amp; Shipping</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SRVC-LOG-FREIGHT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Customs Brokerage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SRVC-LOG-CUSTOMS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Software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Software Licenses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SRVC-SW-LICENSE</w:t>
            </w:r>
          </w:p>
        </w:tc>
      </w:tr>
    </w:tbl>
    <w:p>
      <w:pPr>
        <w:spacing w:after="80"/>
      </w:pPr>
    </w:p>
    <w:p>
      <w:pPr>
        <w:spacing w:before="200" w:after="120"/>
      </w:pPr>
      <w:r>
        <w:rPr>
          <w:rFonts w:ascii="Arial" w:cs="Arial" w:eastAsia="Arial" w:hAnsi="Arial"/>
          <w:b/>
          <w:bCs/>
          <w:color w:val="2874A6"/>
          <w:sz w:val="22"/>
          <w:szCs w:val="22"/>
        </w:rPr>
        <w:t xml:space="preserve">MRO (MRO) — ~4 leaf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1</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2</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 3</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MRO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Facility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Cleaning Supplies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MRO-FAC-CLEAN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Equipment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MRO-FAC-SAFETY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Tools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Hand Tools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MRO-TOOL-HAND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Power Tools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MRO-TOOL-POWER</w:t>
            </w:r>
          </w:p>
        </w:tc>
      </w:tr>
    </w:tbl>
    <w:p>
      <w:pPr>
        <w:spacing w:after="80"/>
      </w:pPr>
    </w:p>
    <w:p>
      <w:pPr>
        <w:spacing w:after="140" w:line="300"/>
      </w:pPr>
      <w:r>
        <w:rPr>
          <w:rFonts w:ascii="Arial" w:cs="Arial" w:eastAsia="Arial" w:hAnsi="Arial"/>
          <w:sz w:val="21"/>
          <w:szCs w:val="21"/>
        </w:rPr>
        <w:t xml:space="preserve">Total leaf nodes: approximately 51. This meets the ~50 target and ensures every top-level category has at least 4 leaf nodes.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B3. Material Master (~800 Materials)</w:t>
      </w:r>
    </w:p>
    <w:p>
      <w:pPr>
        <w:spacing w:after="60"/>
      </w:pPr>
    </w:p>
    <w:p>
      <w:pPr>
        <w:pStyle w:val="Heading2"/>
        <w:spacing w:before="280" w:after="160"/>
      </w:pPr>
      <w:r>
        <w:rPr>
          <w:rFonts w:ascii="Arial" w:cs="Arial" w:eastAsia="Arial" w:hAnsi="Arial"/>
          <w:b/>
          <w:bCs/>
          <w:color w:val="2E86C1"/>
          <w:sz w:val="26"/>
          <w:szCs w:val="26"/>
        </w:rPr>
        <w:t xml:space="preserve">B3.1 material_master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System identifier (e.g., MAT-00001)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display_code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UNIQUE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Human-readable code (e.g., LIDAR-2D-HOKUYO)</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Full material 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COMPONENT | RAW | ASSEMBLY | MRO | SERVICE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category_hierarchy (level 3)</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Leaf-level commodity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base_uom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 KG, M, L, BOX, SET, HR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standard_cost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unit cost in base currency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 currency (typically USD or SGD)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criticality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 | MEDIUM | 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criticality_reason_code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 (nullable)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 SUPPLY_RISK | LEAD_TIME | REGULATORY (required if HIGH)</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hazmat_flag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TRUE if hazardous material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default_lead_time_days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Typical procurement lead time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make_or_buy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MAKE | BUY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confidentiality_tier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PUBLIC | INTERNAL | RESTRICTED (default: INTERNAL)</w:t>
            </w:r>
          </w:p>
        </w:tc>
      </w:tr>
    </w:tbl>
    <w:p>
      <w:pPr>
        <w:spacing w:after="100"/>
      </w:pPr>
    </w:p>
    <w:p>
      <w:pPr>
        <w:pStyle w:val="Heading2"/>
        <w:spacing w:before="280" w:after="160"/>
      </w:pPr>
      <w:r>
        <w:rPr>
          <w:rFonts w:ascii="Arial" w:cs="Arial" w:eastAsia="Arial" w:hAnsi="Arial"/>
          <w:b/>
          <w:bCs/>
          <w:color w:val="2E86C1"/>
          <w:sz w:val="26"/>
          <w:szCs w:val="26"/>
        </w:rPr>
        <w:t xml:space="preserve">B3.2 material_plant_extension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material_master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 FK → plant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reorder_point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Inventory level triggering reorder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lot_size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Standard order quantity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min_order_qty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Minimum order quantity at this plant</w:t>
            </w:r>
          </w:p>
        </w:tc>
      </w:tr>
    </w:tbl>
    <w:p>
      <w:pPr>
        <w:spacing w:after="100"/>
      </w:pPr>
    </w:p>
    <w:p>
      <w:pPr>
        <w:pStyle w:val="Heading2"/>
        <w:spacing w:before="280" w:after="160"/>
      </w:pPr>
      <w:r>
        <w:rPr>
          <w:rFonts w:ascii="Arial" w:cs="Arial" w:eastAsia="Arial" w:hAnsi="Arial"/>
          <w:b/>
          <w:bCs/>
          <w:color w:val="2E86C1"/>
          <w:sz w:val="26"/>
          <w:szCs w:val="26"/>
        </w:rPr>
        <w:t xml:space="preserve">B3.3 Guaranteed Demo Materials (20 Defined)</w:t>
      </w:r>
    </w:p>
    <w:p>
      <w:pPr>
        <w:spacing w:after="140" w:line="300"/>
      </w:pPr>
      <w:r>
        <w:rPr>
          <w:rFonts w:ascii="Arial" w:cs="Arial" w:eastAsia="Arial" w:hAnsi="Arial"/>
          <w:sz w:val="21"/>
          <w:szCs w:val="21"/>
        </w:rPr>
        <w:t xml:space="preserve">These materials are explicitly defined and must be present in every generated dataset. They are the materials referenced by scenario seeds and used in demo scripts.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1800"/>
        <w:gridCol w:w="1160"/>
        <w:gridCol w:w="6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display_code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Hazmat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LIDAR-2D-HOKUYO</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2D LiDAR Scanner, Hokuyo UST-10LX</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ELEC-SENS-LIDAR2D</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 (SAFETY)</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CAM-DEPTH-INTEL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3D Depth Camera, Intel RealSense D455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ELEC-SENS-CAM3D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(LEAD_TIME)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SBC-NVIDIA-JETSON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Industrial SBC, NVIDIA Jetson Orin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ELEC-COMP-SBC</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 (SUPPLY_RISK)</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IMU-BOSCH-BNO055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9-axis IMU, Bosch BNO055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ELEC-SENS-IMU</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ENCODER-WHEEL-512</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Wheel Encoder 512 PPR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ELEC-SENS-ENCODER</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MCU-STM32-F4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Microcontroller STM32F407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ELEC-COMP-MCU</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MOTOR-BLDC-200W</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BLDC Motor 200W 48V</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MOTN-MOT-BLDC</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MOTOR-BLDC-400W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BLDC Motor 400W 48V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MOTN-MOT-BLDC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MOTOR-BLDC-INTG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BLDC Motor Integrated w/ Driver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ASSEMBLY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MOTN-MOT-BLDC</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GBOX-PLAN-50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Planetary Gearbox 50:1 Ratio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MOTN-DRV-GBOX</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BATCELL-21700</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Li-ion Battery Cell 21700 4800mAh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POWR-BAT-CELL</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 (REGULATORY)</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BATPACK-48V-30AH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Battery Pack 48V 30Ah Assembly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ASSEMBLY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POWR-BAT-PACK</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(SAFETY)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BMS-MAIN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Battery Management System Main Board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POWR-BAT-BMS</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 (SAFETY)</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CHARGER-48V-15A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Charger 48V 15A Intelligent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POWR-CHG-UNIT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DCDC-48-12</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DC-DC Converter 48V to 12V 20A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POWR-CNV-DCDC</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SHEET-CHASSIS-TOP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Sheet Metal, Chassis Top Plate 2mm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MECH-STR-SHEET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CONN-24P-MOLEX</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Industrial Connector 24-pin Molex</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COMPONENT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MECH-WIR-CABLE</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FOAM-INSERT-AMR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Foam Insert, AMR Shipping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PACK-PRI-FOAM</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SVC-CALIB-SENSOR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Sensor Calibration Service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SERVICE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SRVC-TECH-CALIB</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SVC-FREIGHT-SEA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Sea Freight Service, APAC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SRVC-LOG-FREIGHT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bl>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B4. Legal Entity Master (~80–110)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legal_entity_id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Canonical legal entity identifier (e.g., LE-00001)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legal_name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VARCHAR(200)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Official registered name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country_of_incorporation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registration_id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Business registration or DUNS number</w:t>
            </w:r>
          </w:p>
        </w:tc>
      </w:tr>
    </w:tbl>
    <w:p>
      <w:pPr>
        <w:spacing w:after="80"/>
      </w:pPr>
    </w:p>
    <w:p>
      <w:pPr>
        <w:spacing w:before="200" w:after="120"/>
      </w:pPr>
      <w:r>
        <w:rPr>
          <w:rFonts w:ascii="Arial" w:cs="Arial" w:eastAsia="Arial" w:hAnsi="Arial"/>
          <w:b/>
          <w:bCs/>
          <w:color w:val="2874A6"/>
          <w:sz w:val="22"/>
          <w:szCs w:val="22"/>
        </w:rPr>
        <w:t xml:space="preserve">Alias Group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Alias Group</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Legal Entity</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Vendor Records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ALIAS-001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LE-NIDEC (Nidec Corporation)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VND-NIDEC-JP, VND-NIDEC-MY</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Japan HQ + Malaysia subsidiary; supplies motors to different plants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ALIAS-002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LE-MOLEX (Molex LLC)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VND-MOLEX-SG, VND-MOLEX-CN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Singapore distribution arm + China manufacturing entity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ALIAS-003</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LE-TDK (TDK Corporation)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VND-TDK-JP, VND-TDK-TW</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Japan HQ + Taiwan sensors division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ALIAS-004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LE-SIEMENS (Siemens AG)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VND-SIEMENS-DE, VND-SIEMENS-SG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Germany HQ + Singapore regional services</w:t>
            </w:r>
          </w:p>
        </w:tc>
      </w:tr>
    </w:tbl>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B5. Vendor Master (~120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System identifier (e.g., VND-00001)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display_code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UNIQUE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Human-friendly code (e.g., HOKUYO-JP)</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legal_entity_id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legal_entity</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Canonical legal entity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Trading name as used in POs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 of 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OEM | DISTRIBUTOR | CONTRACT_MFG | LOGISTICS | SERVICE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supported_categories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Comma-separated top-level category IDs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preferred_flag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TRUE if preferred vendor</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incoterms_default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FOB | CIF | DDP | EXW | FCA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payment_terms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NET30 | NET60 | NET90 | 2/10NET30</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currency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Default transaction currency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lead_time_days_typical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Overall typical lead time (vendor-level)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on_time_delivery_rate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DECIMAL(5,2)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Percentage (0–100)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quality_score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Score 1–100</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risk_score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Score 1–100 (higher = more risk)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esg_score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 (nullable)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Score 1–100 (optional)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 | BLOCKED | CONDITIONAL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bank_account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IBAN or account number (always RESTRICTED)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confidentiality_tier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PUBLIC | INTERNAL | RESTRICTED (default: INTERNAL)</w:t>
            </w:r>
          </w:p>
        </w:tc>
      </w:tr>
    </w:tbl>
    <w:p>
      <w:pPr>
        <w:spacing w:after="100"/>
      </w:pPr>
    </w:p>
    <w:p>
      <w:pPr>
        <w:pStyle w:val="Heading2"/>
        <w:spacing w:before="280" w:after="160"/>
      </w:pPr>
      <w:r>
        <w:rPr>
          <w:rFonts w:ascii="Arial" w:cs="Arial" w:eastAsia="Arial" w:hAnsi="Arial"/>
          <w:b/>
          <w:bCs/>
          <w:color w:val="2E86C1"/>
          <w:sz w:val="26"/>
          <w:szCs w:val="26"/>
        </w:rPr>
        <w:t xml:space="preserve">B5.1 Distribution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High-risk vendors (risk_score &gt; 70)</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5–10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Supplier risk scenario seeds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Single-source vendors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8–15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Supply concentration risk demos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Alias groups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3–5 groups, ~8–12 vendor records total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Entity resolution demos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Blocked vendors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Status-based filtering demos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Conditional vendors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Quality concern scenarios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 type distribution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 OEM, ~25% Distributor, ~15% CM, ~10% Logistics, ~10% Service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Realistic market structure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Country distribution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JP, CN, KR, TW, SG, MY, VN, DE, US, TH</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Geographic diversity reflecting APAC electronics supply chain</w:t>
            </w:r>
          </w:p>
        </w:tc>
      </w:tr>
    </w:tbl>
    <w:p>
      <w:pPr>
        <w:spacing w:after="100"/>
      </w:pPr>
    </w:p>
    <w:p>
      <w:pPr>
        <w:pStyle w:val="Heading2"/>
        <w:spacing w:before="280" w:after="160"/>
      </w:pPr>
      <w:r>
        <w:rPr>
          <w:rFonts w:ascii="Arial" w:cs="Arial" w:eastAsia="Arial" w:hAnsi="Arial"/>
          <w:b/>
          <w:bCs/>
          <w:color w:val="2E86C1"/>
          <w:sz w:val="26"/>
          <w:szCs w:val="26"/>
        </w:rPr>
        <w:t xml:space="preserve">B5.2 Sample Vendor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900"/>
        <w:gridCol w:w="1100"/>
        <w:gridCol w:w="700"/>
        <w:gridCol w:w="800"/>
        <w:gridCol w:w="700"/>
        <w:gridCol w:w="11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display_code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vendor_name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risk_score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quality_score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OTD%</w:t>
            </w:r>
          </w:p>
        </w:tc>
        <w:tc>
          <w:tcPr>
            <w:tcW w:type="dxa" w:w="1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HOKUYO-JP</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Hokuyo Automatic Co., Ltd.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JP</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OEM</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72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88.5</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CATL-CN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CATL Energy Co., Ltd.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OEM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92.0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EVE-CN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 Energy Co., Ltd.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CN</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OEM</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58</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71</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84.3</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CONDITIONAL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NIDEC-JP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Nidec Corporation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OEM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95.2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NIDEC-MY</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Nidec Precision (Malaysia) Sdn Bhd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MY</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OEM</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87</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91.0</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INTEL-US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Intel Corporation (RealSense)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OEM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89.5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MOLEX-SG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Molex Singapore Pte Ltd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DISTRIBUTOR</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92</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96.1</w:t>
            </w:r>
          </w:p>
        </w:tc>
        <w:tc>
          <w:tcPr>
            <w:tcW w:type="dxa" w:w="1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SHEETPRO-MY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SheetPro Industries Sdn Bhd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CONTRACT_MFG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78.2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CONDITIONAL</w:t>
            </w:r>
          </w:p>
        </w:tc>
      </w:tr>
    </w:tbl>
    <w:p>
      <w:r>
        <w:br w:type="page"/>
      </w:r>
    </w:p>
    <w:p>
      <w:pPr>
        <w:pStyle w:val="Heading2"/>
        <w:spacing w:before="280" w:after="160"/>
      </w:pPr>
      <w:r>
        <w:rPr>
          <w:rFonts w:ascii="Arial" w:cs="Arial" w:eastAsia="Arial" w:hAnsi="Arial"/>
          <w:b/>
          <w:bCs/>
          <w:color w:val="2E86C1"/>
          <w:sz w:val="26"/>
          <w:szCs w:val="26"/>
        </w:rPr>
        <w:t xml:space="preserve">B5.3 vendor_category (Normalized Junction Table)</w:t>
      </w:r>
    </w:p>
    <w:p>
      <w:pPr>
        <w:spacing w:after="140" w:line="300"/>
      </w:pPr>
      <w:r>
        <w:rPr>
          <w:rFonts w:ascii="Arial" w:cs="Arial" w:eastAsia="Arial" w:hAnsi="Arial"/>
          <w:sz w:val="21"/>
          <w:szCs w:val="21"/>
        </w:rPr>
        <w:t xml:space="preserve">This table normalizes the vendor-to-category relationship, replacing the comma-separated supported_categories string for query and graph purposes. The string field is retained on vendor_master for human readability; this table is the system-of-record for category-based vendor filtering and SUPPLIES edge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vendor_master</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 FK → category_hierarchy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Supported category (any level, typically level 1 or 2)</w:t>
            </w:r>
          </w:p>
        </w:tc>
      </w:tr>
    </w:tbl>
    <w:p>
      <w:pPr>
        <w:spacing w:after="60"/>
      </w:pPr>
    </w:p>
    <w:p>
      <w:pPr>
        <w:spacing w:before="200" w:after="120"/>
      </w:pPr>
      <w:r>
        <w:rPr>
          <w:rFonts w:ascii="Arial" w:cs="Arial" w:eastAsia="Arial" w:hAnsi="Arial"/>
          <w:b/>
          <w:bCs/>
          <w:color w:val="2874A6"/>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vendor (display)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category_id</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 Name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HOKUYO-JP</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ELEC-SENS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Sensors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CATL-CN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POWR-BAT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Batteries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EVE-CN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POWR-BAT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Batteries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NIDEC-JP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MOTN-MOT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Motors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NIDEC-JP</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MOTN-DRV</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Drive Train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NIDEC-MY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MOTN-MOT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Motors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MOLEX-SG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MECH-WIR</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Wire &amp; Cable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MOLEX-SG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ELEC-CONN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Connectivity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INTEL-US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ELEC-SENS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Sensors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SHEETPRO-MY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Structural</w:t>
            </w:r>
          </w:p>
        </w:tc>
      </w:tr>
    </w:tbl>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Vendors typically map to subcategory level (level 2), not leaf commodity level. This reflects reality: a sensor OEM supplies multiple sensor types, not just one specific commodity. The mapping also enables graph queries: "Find all vendors in the Electronics → Sensors subcategory" without parsing strings.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B6. Vendor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vendor_master</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address_type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REGISTERED | SHIPPING | BILLING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street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Street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City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state_province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VARCHAR(50)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State or province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Country code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postal_code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Postal/ZIP code</w:t>
            </w:r>
          </w:p>
        </w:tc>
      </w:tr>
    </w:tbl>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B7. Vendor Contact (PII Layer)</w:t>
      </w:r>
    </w:p>
    <w:p>
      <w:pPr>
        <w:spacing w:after="140" w:line="300"/>
      </w:pPr>
      <w:r>
        <w:rPr>
          <w:rFonts w:ascii="Arial" w:cs="Arial" w:eastAsia="Arial" w:hAnsi="Arial"/>
          <w:sz w:val="21"/>
          <w:szCs w:val="21"/>
        </w:rPr>
        <w:t xml:space="preserve">All fields in this table are classified as RESTRICTED and subject to mandatory masking in LLM responses unless the requesting user has an authorized role (PROCUREMENT_MANAGER or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contact_id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Contact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vendor_master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Parent vendor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contact_name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Full name (PII)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 address (PII)</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phone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VARCHAR(20)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Phone number (PII)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Account Manager, Sales Rep, Quality Contact, Logistics Contact</w:t>
            </w:r>
          </w:p>
        </w:tc>
      </w:tr>
    </w:tbl>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The observability dashboard should show field-level masking decisions for this table: contact_name: REDACTED, email: REDACTED, phone: REDACTED, role: PASSED. This makes the governance demo concrete and visible.</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B8. Source List (Extended)</w:t>
      </w:r>
    </w:p>
    <w:p>
      <w:pPr>
        <w:spacing w:after="140" w:line="300"/>
      </w:pPr>
      <w:r>
        <w:rPr>
          <w:rFonts w:ascii="Arial" w:cs="Arial" w:eastAsia="Arial" w:hAnsi="Arial"/>
          <w:sz w:val="21"/>
          <w:szCs w:val="21"/>
        </w:rPr>
        <w:t xml:space="preserve">The source list has been extended with lane-level attributes to make sourcing queries richer and more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material_master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 FK → plant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Destination plant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vendor_master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Supplier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preferred_rank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 primary, 2 = secondary, 3 = tertiary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contract_covered_flag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TRUE if active contract exists for this combination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approval_status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 | CONDITIONAL | NOT_APPROVED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lane_lead_time_days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Lead time for this specific vendor → plant lane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vendor_material_code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Supplier’s part number for this material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min_order_qty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 (nullable)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Minimum order quantity for this lane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confidentiality_tier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PUBLIC | INTERNAL | RESTRICTED (propagation rule applies)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valid_from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DATE (nullable)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Optional: when this source was approved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valid_to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 (nullable)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Optional: when this source expires</w:t>
            </w:r>
          </w:p>
        </w:tc>
      </w:tr>
    </w:tbl>
    <w:p>
      <w:pPr>
        <w:spacing w:after="100"/>
      </w:pPr>
    </w:p>
    <w:p>
      <w:pPr>
        <w:pStyle w:val="Heading2"/>
        <w:spacing w:before="280" w:after="160"/>
      </w:pPr>
      <w:r>
        <w:rPr>
          <w:rFonts w:ascii="Arial" w:cs="Arial" w:eastAsia="Arial" w:hAnsi="Arial"/>
          <w:b/>
          <w:bCs/>
          <w:color w:val="2E86C1"/>
          <w:sz w:val="26"/>
          <w:szCs w:val="26"/>
        </w:rPr>
        <w:t xml:space="preserve">B8.1 Source List Rules</w:t>
      </w:r>
    </w:p>
    <w:p>
      <w:pPr>
        <w:pStyle w:val="ListParagraph"/>
        <w:numPr>
          <w:ilvl w:val="0"/>
          <w:numId w:val="9"/>
        </w:numPr>
        <w:spacing w:after="80" w:line="280"/>
      </w:pPr>
      <w:r>
        <w:rPr>
          <w:rFonts w:ascii="Arial" w:cs="Arial" w:eastAsia="Arial" w:hAnsi="Arial"/>
          <w:sz w:val="21"/>
          <w:szCs w:val="21"/>
        </w:rPr>
        <w:t xml:space="preserve">Most materials: 2–3 source list entries per plant where the material is extended</w:t>
      </w:r>
    </w:p>
    <w:p>
      <w:pPr>
        <w:pStyle w:val="ListParagraph"/>
        <w:numPr>
          <w:ilvl w:val="0"/>
          <w:numId w:val="9"/>
        </w:numPr>
        <w:spacing w:after="80" w:line="280"/>
      </w:pPr>
      <w:r>
        <w:rPr>
          <w:rFonts w:ascii="Arial" w:cs="Arial" w:eastAsia="Arial" w:hAnsi="Arial"/>
          <w:sz w:val="21"/>
          <w:szCs w:val="21"/>
        </w:rPr>
        <w:t xml:space="preserve">8–15 materials must be single-source (exactly 1 entry per plant) — aligned with scenario seeds</w:t>
      </w:r>
    </w:p>
    <w:p>
      <w:pPr>
        <w:pStyle w:val="ListParagraph"/>
        <w:numPr>
          <w:ilvl w:val="0"/>
          <w:numId w:val="9"/>
        </w:numPr>
        <w:spacing w:after="80" w:line="280"/>
      </w:pPr>
      <w:r>
        <w:rPr>
          <w:rFonts w:ascii="Arial" w:cs="Arial" w:eastAsia="Arial" w:hAnsi="Arial"/>
          <w:sz w:val="21"/>
          <w:szCs w:val="21"/>
        </w:rPr>
        <w:t xml:space="preserve">approval_status must be consistent with vendor.status (a BLOCKED vendor cannot have APPROVED source list entries)</w:t>
      </w:r>
    </w:p>
    <w:p>
      <w:pPr>
        <w:pStyle w:val="ListParagraph"/>
        <w:numPr>
          <w:ilvl w:val="0"/>
          <w:numId w:val="9"/>
        </w:numPr>
        <w:spacing w:after="80" w:line="280"/>
      </w:pPr>
      <w:r>
        <w:rPr>
          <w:rFonts w:ascii="Arial" w:cs="Arial" w:eastAsia="Arial" w:hAnsi="Arial"/>
          <w:sz w:val="21"/>
          <w:szCs w:val="21"/>
        </w:rPr>
        <w:t xml:space="preserve">lane_lead_time_days typically differs from vendor.lead_time_days_typical — it accounts for shipping distance</w:t>
      </w:r>
    </w:p>
    <w:p>
      <w:pPr>
        <w:pStyle w:val="ListParagraph"/>
        <w:numPr>
          <w:ilvl w:val="0"/>
          <w:numId w:val="9"/>
        </w:numPr>
        <w:spacing w:after="80" w:line="280"/>
      </w:pPr>
      <w:r>
        <w:rPr>
          <w:rFonts w:ascii="Arial" w:cs="Arial" w:eastAsia="Arial" w:hAnsi="Arial"/>
          <w:sz w:val="21"/>
          <w:szCs w:val="21"/>
        </w:rPr>
        <w:t xml:space="preserve">contract_covered_flag must be verifiable: if TRUE, a matching active contract must exist in contract_master</w:t>
      </w:r>
    </w:p>
    <w:p>
      <w:pPr>
        <w:pStyle w:val="ListParagraph"/>
        <w:numPr>
          <w:ilvl w:val="0"/>
          <w:numId w:val="9"/>
        </w:numPr>
        <w:spacing w:after="80" w:line="280"/>
      </w:pPr>
      <w:r>
        <w:rPr>
          <w:rFonts w:ascii="Arial" w:cs="Arial" w:eastAsia="Arial" w:hAnsi="Arial"/>
          <w:sz w:val="21"/>
          <w:szCs w:val="21"/>
        </w:rPr>
        <w:t xml:space="preserve">confidentiality_tier must satisfy propagation rule: ≥ max(vendor.tier, material.tier)</w:t>
      </w:r>
    </w:p>
    <w:p>
      <w:pPr>
        <w:spacing w:after="80"/>
      </w:pPr>
    </w:p>
    <w:p>
      <w:pPr>
        <w:pStyle w:val="Heading2"/>
        <w:spacing w:before="280" w:after="160"/>
      </w:pPr>
      <w:r>
        <w:rPr>
          <w:rFonts w:ascii="Arial" w:cs="Arial" w:eastAsia="Arial" w:hAnsi="Arial"/>
          <w:b/>
          <w:bCs/>
          <w:color w:val="2E86C1"/>
          <w:sz w:val="26"/>
          <w:szCs w:val="26"/>
        </w:rPr>
        <w:t xml:space="preserve">B8.2 Sample Source List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600"/>
        <w:gridCol w:w="600"/>
        <w:gridCol w:w="900"/>
        <w:gridCol w:w="1100"/>
        <w:gridCol w:w="7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material (display)</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vendor (display)</w:t>
            </w:r>
          </w:p>
        </w:tc>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approval</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lane LT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vendor_material_code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LIDAR-2D-HOKUYO</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HOKUYO-JP</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21</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UST-10LX-01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LIDAR-2D-HOKUYO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HOKUYO-JP</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UST-10LX-01</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MOTOR-BLDC-200W</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NIDEC-JP</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18</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M200-48V-A1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MOTOR-BLDC-200W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NIDEC-MY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M200-48V-MY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MOTOR-BLDC-200W</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VN01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NIDEC-MY</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M200-48V-MY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BATCELL-21700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CATL-CN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CATL-21700-48</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BATCELL-21700</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EVE-CN</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CONDITIONAL</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EVE-21700-P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BMS-MAIN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VENDOR-BMS (restricted)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BMS-V3-MAIN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CONN-24P-MOLEX</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VN01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MOLEX-SG</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APPROVED</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MLX-24P-IND</w:t>
            </w:r>
          </w:p>
        </w:tc>
      </w:tr>
    </w:tbl>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B9. Contract Master (~40 Contracts)</w:t>
      </w:r>
    </w:p>
    <w:p>
      <w:pPr>
        <w:spacing w:after="60"/>
      </w:pPr>
    </w:p>
    <w:p>
      <w:pPr>
        <w:pStyle w:val="Heading2"/>
        <w:spacing w:before="280" w:after="160"/>
      </w:pPr>
      <w:r>
        <w:rPr>
          <w:rFonts w:ascii="Arial" w:cs="Arial" w:eastAsia="Arial" w:hAnsi="Arial"/>
          <w:b/>
          <w:bCs/>
          <w:color w:val="2E86C1"/>
          <w:sz w:val="26"/>
          <w:szCs w:val="26"/>
        </w:rPr>
        <w:t xml:space="preserve">B9.1 contract_header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 identifier (e.g., CTR-00001)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display_code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Human-readable code (e.g., CTR-NIDEC-2025-01)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vendor_master</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Contracted supplier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valid_from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 start date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valid_to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 end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 | VALUE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 | EXPIRED | 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 currency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incoterms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Contract-level trade terms (FOB, DDP,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confidentiality_tier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PUBLIC | INTERNAL | RESTRICTED</w:t>
            </w:r>
          </w:p>
        </w:tc>
      </w:tr>
    </w:tbl>
    <w:p>
      <w:pPr>
        <w:spacing w:after="100"/>
      </w:pPr>
    </w:p>
    <w:p>
      <w:pPr>
        <w:pStyle w:val="Heading2"/>
        <w:spacing w:before="280" w:after="160"/>
      </w:pPr>
      <w:r>
        <w:rPr>
          <w:rFonts w:ascii="Arial" w:cs="Arial" w:eastAsia="Arial" w:hAnsi="Arial"/>
          <w:b/>
          <w:bCs/>
          <w:color w:val="2E86C1"/>
          <w:sz w:val="26"/>
          <w:szCs w:val="26"/>
        </w:rPr>
        <w:t xml:space="preserve">B9.2 contract_item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contract_id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contract_header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Parent contract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item_number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Line item sequence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material_master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Contracted material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agreed_price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Negotiated unit price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price_uom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match material.base_uom (unless intentional mismatch)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max_quantity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 (nullable)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 QUANTITY contracts: committed volume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target_value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 (nullable)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For VALUE contracts: committed spend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consumed_quantity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 (nullable)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Current consumption against max_quantity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consumed_value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 (nullable)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Current consumption against target_value</w:t>
            </w:r>
          </w:p>
        </w:tc>
      </w:tr>
    </w:tbl>
    <w:p>
      <w:pPr>
        <w:spacing w:after="100"/>
      </w:pPr>
    </w:p>
    <w:p>
      <w:pPr>
        <w:pStyle w:val="Heading2"/>
        <w:spacing w:before="280" w:after="160"/>
      </w:pPr>
      <w:r>
        <w:rPr>
          <w:rFonts w:ascii="Arial" w:cs="Arial" w:eastAsia="Arial" w:hAnsi="Arial"/>
          <w:b/>
          <w:bCs/>
          <w:color w:val="2E86C1"/>
          <w:sz w:val="26"/>
          <w:szCs w:val="26"/>
        </w:rPr>
        <w:t xml:space="preserve">B9.3 Contract Distribution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Count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 healthy contracts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~20–25</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Normal baseline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Contracts expiring within 60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Expiry monitoring demos (SEED-001)</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Contracts &gt; 80% consumed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Exhaustion risk demos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Expired contracts (still referenced)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Historical analysis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Materials with NO contract coverage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~30–40% of materials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Off-contract / maverick spend demos (SEED-005)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RESTRICTED confidentiality contracts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Governance demos (SEED-003, SEED-004)</w:t>
            </w:r>
          </w:p>
        </w:tc>
      </w:tr>
    </w:tbl>
    <w:p>
      <w:pPr>
        <w:spacing w:after="100"/>
      </w:pPr>
    </w:p>
    <w:p>
      <w:pPr>
        <w:pStyle w:val="Heading2"/>
        <w:spacing w:before="280" w:after="160"/>
      </w:pPr>
      <w:r>
        <w:rPr>
          <w:rFonts w:ascii="Arial" w:cs="Arial" w:eastAsia="Arial" w:hAnsi="Arial"/>
          <w:b/>
          <w:bCs/>
          <w:color w:val="2E86C1"/>
          <w:sz w:val="26"/>
          <w:szCs w:val="26"/>
        </w:rPr>
        <w:t xml:space="preserve">B9.4 Sample Contract Data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200"/>
        <w:gridCol w:w="1000"/>
        <w:gridCol w:w="2160"/>
        <w:gridCol w:w="15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display_code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valid_to</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item</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consumption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CTR-HOKUYO-2025-01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HOKUYO-JP</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2025-08-15</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LIDAR-2D-HOKUYO @ $142</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85% consumed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CTR-CATL-2025-01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CATL-CN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2025-12-31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BATCELL-21700 @ $4.80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60% consumed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CTR-NIDEC-2025-01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NIDEC-JP</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2026-03-31</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MOTOR-BLDC-200W @ $85</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45% consumed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CTR-MOLEX-2025-01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MOLEX-SG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2025-09-30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CONN-24P-MOLEX @ $4.85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72% consumed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CTR-INTEL-2024-01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INTEL-US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2025-01-31</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EXPIRED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CAM-DEPTH-INTEL @ $189</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100% consumed</w:t>
            </w:r>
          </w:p>
        </w:tc>
      </w:tr>
    </w:tbl>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B10. Validation Framework</w:t>
      </w:r>
    </w:p>
    <w:p>
      <w:pPr>
        <w:spacing w:after="140" w:line="300"/>
      </w:pPr>
      <w:r>
        <w:rPr>
          <w:rFonts w:ascii="Arial" w:cs="Arial" w:eastAsia="Arial" w:hAnsi="Arial"/>
          <w:sz w:val="21"/>
          <w:szCs w:val="21"/>
        </w:rPr>
        <w:t xml:space="preserve">The validation framework implements the integrity gate defined in A2. It consists of three layers: structural integrity checks, business rule checks, and scenario seed verification.</w:t>
      </w:r>
    </w:p>
    <w:p>
      <w:pPr>
        <w:spacing w:after="80"/>
      </w:pPr>
    </w:p>
    <w:p>
      <w:pPr>
        <w:pStyle w:val="Heading2"/>
        <w:spacing w:before="280" w:after="160"/>
      </w:pPr>
      <w:r>
        <w:rPr>
          <w:rFonts w:ascii="Arial" w:cs="Arial" w:eastAsia="Arial" w:hAnsi="Arial"/>
          <w:b/>
          <w:bCs/>
          <w:color w:val="2E86C1"/>
          <w:sz w:val="26"/>
          <w:szCs w:val="26"/>
        </w:rPr>
        <w:t xml:space="preserve">B10.1 Structural Integrity Checks (SQL-style)</w:t>
      </w:r>
    </w:p>
    <w:p>
      <w:pPr>
        <w:spacing w:after="140" w:line="300"/>
      </w:pPr>
      <w:r>
        <w:rPr>
          <w:rFonts w:ascii="Arial" w:cs="Arial" w:eastAsia="Arial" w:hAnsi="Arial"/>
          <w:sz w:val="21"/>
          <w:szCs w:val="21"/>
        </w:rPr>
        <w:t xml:space="preserve">These queries must return zero rows. Any non-zero result is a FATAL validation failure:</w:t>
      </w:r>
    </w:p>
    <w:p>
      <w:pPr>
        <w:spacing w:after="60"/>
      </w:pPr>
    </w:p>
    <w:p>
      <w:pPr>
        <w:spacing w:before="200" w:after="120"/>
      </w:pPr>
      <w:r>
        <w:rPr>
          <w:rFonts w:ascii="Arial" w:cs="Arial" w:eastAsia="Arial" w:hAnsi="Arial"/>
          <w:b/>
          <w:bCs/>
          <w:color w:val="2874A6"/>
          <w:sz w:val="22"/>
          <w:szCs w:val="22"/>
        </w:rPr>
        <w:t xml:space="preserve">Orphan material categories</w:t>
      </w:r>
    </w:p>
    <w:p>
      <w:pPr>
        <w:spacing w:after="140" w:line="300"/>
      </w:pPr>
      <w:r>
        <w:rPr>
          <w:rFonts w:ascii="Arial" w:cs="Arial" w:eastAsia="Arial" w:hAnsi="Arial"/>
          <w:sz w:val="21"/>
          <w:szCs w:val="21"/>
        </w:rPr>
        <w:t xml:space="preserve">SELECT m.material_id FROM material_master m LEFT JOIN category_hierarchy c ON m.category_id = c.category_id WHERE c.category_id IS NULL</w:t>
      </w:r>
    </w:p>
    <w:p>
      <w:pPr>
        <w:spacing w:after="60"/>
      </w:pPr>
    </w:p>
    <w:p>
      <w:pPr>
        <w:spacing w:before="200" w:after="120"/>
      </w:pPr>
      <w:r>
        <w:rPr>
          <w:rFonts w:ascii="Arial" w:cs="Arial" w:eastAsia="Arial" w:hAnsi="Arial"/>
          <w:b/>
          <w:bCs/>
          <w:color w:val="2874A6"/>
          <w:sz w:val="22"/>
          <w:szCs w:val="22"/>
        </w:rPr>
        <w:t xml:space="preserve">Orphan source list materials</w:t>
      </w:r>
    </w:p>
    <w:p>
      <w:pPr>
        <w:spacing w:after="140" w:line="300"/>
      </w:pPr>
      <w:r>
        <w:rPr>
          <w:rFonts w:ascii="Arial" w:cs="Arial" w:eastAsia="Arial" w:hAnsi="Arial"/>
          <w:sz w:val="21"/>
          <w:szCs w:val="21"/>
        </w:rPr>
        <w:t xml:space="preserve">SELECT s.material_id FROM source_list s LEFT JOIN material_master m ON s.material_id = m.material_id WHERE m.material_id IS NULL</w:t>
      </w:r>
    </w:p>
    <w:p>
      <w:pPr>
        <w:spacing w:after="60"/>
      </w:pPr>
    </w:p>
    <w:p>
      <w:pPr>
        <w:spacing w:before="200" w:after="120"/>
      </w:pPr>
      <w:r>
        <w:rPr>
          <w:rFonts w:ascii="Arial" w:cs="Arial" w:eastAsia="Arial" w:hAnsi="Arial"/>
          <w:b/>
          <w:bCs/>
          <w:color w:val="2874A6"/>
          <w:sz w:val="22"/>
          <w:szCs w:val="22"/>
        </w:rPr>
        <w:t xml:space="preserve">Orphan source list vendors</w:t>
      </w:r>
    </w:p>
    <w:p>
      <w:pPr>
        <w:spacing w:after="140" w:line="300"/>
      </w:pPr>
      <w:r>
        <w:rPr>
          <w:rFonts w:ascii="Arial" w:cs="Arial" w:eastAsia="Arial" w:hAnsi="Arial"/>
          <w:sz w:val="21"/>
          <w:szCs w:val="21"/>
        </w:rPr>
        <w:t xml:space="preserve">SELECT s.vendor_id FROM source_list s LEFT JOIN vendor_master v ON s.vendor_id = v.vendor_id WHERE v.vendor_id IS NULL</w:t>
      </w:r>
    </w:p>
    <w:p>
      <w:pPr>
        <w:spacing w:after="60"/>
      </w:pPr>
    </w:p>
    <w:p>
      <w:pPr>
        <w:spacing w:before="200" w:after="120"/>
      </w:pPr>
      <w:r>
        <w:rPr>
          <w:rFonts w:ascii="Arial" w:cs="Arial" w:eastAsia="Arial" w:hAnsi="Arial"/>
          <w:b/>
          <w:bCs/>
          <w:color w:val="2874A6"/>
          <w:sz w:val="22"/>
          <w:szCs w:val="22"/>
        </w:rPr>
        <w:t xml:space="preserve">Contract-source alignment</w:t>
      </w:r>
    </w:p>
    <w:p>
      <w:pPr>
        <w:spacing w:after="140" w:line="300"/>
      </w:pPr>
      <w:r>
        <w:rPr>
          <w:rFonts w:ascii="Arial" w:cs="Arial" w:eastAsia="Arial" w:hAnsi="Arial"/>
          <w:sz w:val="21"/>
          <w:szCs w:val="21"/>
        </w:rPr>
        <w:t xml:space="preserve">SELECT s.* FROM source_list s WHERE s.contract_covered_flag = TRUE AND NOT EXISTS (SELECT 1 FROM contract_item ci JOIN contract_header ch ON ci.contract_id = ch.contract_id WHERE ci.material_id = s.material_id AND ch.vendor_id = s.vendor_id AND ch.status = 'ACTIVE')</w:t>
      </w:r>
    </w:p>
    <w:p>
      <w:pPr>
        <w:spacing w:after="60"/>
      </w:pPr>
    </w:p>
    <w:p>
      <w:pPr>
        <w:spacing w:before="200" w:after="120"/>
      </w:pPr>
      <w:r>
        <w:rPr>
          <w:rFonts w:ascii="Arial" w:cs="Arial" w:eastAsia="Arial" w:hAnsi="Arial"/>
          <w:b/>
          <w:bCs/>
          <w:color w:val="2874A6"/>
          <w:sz w:val="22"/>
          <w:szCs w:val="22"/>
        </w:rPr>
        <w:t xml:space="preserve">Confidentiality propagation</w:t>
      </w:r>
    </w:p>
    <w:p>
      <w:pPr>
        <w:spacing w:after="140" w:line="300"/>
      </w:pPr>
      <w:r>
        <w:rPr>
          <w:rFonts w:ascii="Arial" w:cs="Arial" w:eastAsia="Arial" w:hAnsi="Arial"/>
          <w:sz w:val="21"/>
          <w:szCs w:val="21"/>
        </w:rPr>
        <w:t xml:space="preserve">SELECT s.* FROM source_list s JOIN vendor_master v ON s.vendor_id = v.vendor_id JOIN material_master m ON s.material_id = m.material_id WHERE s.confidentiality_tier &lt; GREATEST(v.confidentiality_tier, m.confidentiality_tier)</w:t>
      </w:r>
    </w:p>
    <w:p>
      <w:pPr>
        <w:spacing w:after="60"/>
      </w:pPr>
    </w:p>
    <w:p>
      <w:pPr>
        <w:spacing w:after="140" w:line="300"/>
      </w:pPr>
      <w:r>
        <w:rPr>
          <w:rFonts w:ascii="Arial" w:cs="Arial" w:eastAsia="Arial" w:hAnsi="Arial"/>
          <w:sz w:val="21"/>
          <w:szCs w:val="21"/>
        </w:rPr>
        <w:t xml:space="preserve">(Note: tier comparison uses ordinal encoding: PUBLIC=1, INTERNAL=2, RESTRICTED=3)</w:t>
      </w:r>
    </w:p>
    <w:p>
      <w:pPr>
        <w:spacing w:after="100"/>
      </w:pPr>
    </w:p>
    <w:p>
      <w:pPr>
        <w:pStyle w:val="Heading2"/>
        <w:spacing w:before="280" w:after="160"/>
      </w:pPr>
      <w:r>
        <w:rPr>
          <w:rFonts w:ascii="Arial" w:cs="Arial" w:eastAsia="Arial" w:hAnsi="Arial"/>
          <w:b/>
          <w:bCs/>
          <w:color w:val="2E86C1"/>
          <w:sz w:val="26"/>
          <w:szCs w:val="26"/>
        </w:rPr>
        <w:t xml:space="preserve">B10.2 Business Rule Checks</w:t>
      </w:r>
    </w:p>
    <w:p>
      <w:pPr>
        <w:pStyle w:val="ListParagraph"/>
        <w:numPr>
          <w:ilvl w:val="0"/>
          <w:numId w:val="10"/>
        </w:numPr>
        <w:spacing w:after="80" w:line="280"/>
      </w:pPr>
      <w:r>
        <w:rPr>
          <w:rFonts w:ascii="Arial" w:cs="Arial" w:eastAsia="Arial" w:hAnsi="Arial"/>
          <w:sz w:val="21"/>
          <w:szCs w:val="21"/>
        </w:rPr>
        <w:t xml:space="preserve">Single-source materials must have exactly 1 source_list entry per plant where extended</w:t>
      </w:r>
    </w:p>
    <w:p>
      <w:pPr>
        <w:pStyle w:val="ListParagraph"/>
        <w:numPr>
          <w:ilvl w:val="0"/>
          <w:numId w:val="10"/>
        </w:numPr>
        <w:spacing w:after="80" w:line="280"/>
      </w:pPr>
      <w:r>
        <w:rPr>
          <w:rFonts w:ascii="Arial" w:cs="Arial" w:eastAsia="Arial" w:hAnsi="Arial"/>
          <w:sz w:val="21"/>
          <w:szCs w:val="21"/>
        </w:rPr>
        <w:t xml:space="preserve">HIGH criticality materials must have a non-null criticality_reason_code</w:t>
      </w:r>
    </w:p>
    <w:p>
      <w:pPr>
        <w:pStyle w:val="ListParagraph"/>
        <w:numPr>
          <w:ilvl w:val="0"/>
          <w:numId w:val="10"/>
        </w:numPr>
        <w:spacing w:after="80" w:line="280"/>
      </w:pPr>
      <w:r>
        <w:rPr>
          <w:rFonts w:ascii="Arial" w:cs="Arial" w:eastAsia="Arial" w:hAnsi="Arial"/>
          <w:sz w:val="21"/>
          <w:szCs w:val="21"/>
        </w:rPr>
        <w:t xml:space="preserve">BLOCKED vendors must not have APPROVED source_list entries</w:t>
      </w:r>
    </w:p>
    <w:p>
      <w:pPr>
        <w:pStyle w:val="ListParagraph"/>
        <w:numPr>
          <w:ilvl w:val="0"/>
          <w:numId w:val="10"/>
        </w:numPr>
        <w:spacing w:after="80" w:line="280"/>
      </w:pPr>
      <w:r>
        <w:rPr>
          <w:rFonts w:ascii="Arial" w:cs="Arial" w:eastAsia="Arial" w:hAnsi="Arial"/>
          <w:sz w:val="21"/>
          <w:szCs w:val="21"/>
        </w:rPr>
        <w:t xml:space="preserve">Plant-material extensions must conform to affinity rules (A6)</w:t>
      </w:r>
    </w:p>
    <w:p>
      <w:pPr>
        <w:pStyle w:val="ListParagraph"/>
        <w:numPr>
          <w:ilvl w:val="0"/>
          <w:numId w:val="10"/>
        </w:numPr>
        <w:spacing w:after="80" w:line="280"/>
      </w:pPr>
      <w:r>
        <w:rPr>
          <w:rFonts w:ascii="Arial" w:cs="Arial" w:eastAsia="Arial" w:hAnsi="Arial"/>
          <w:sz w:val="21"/>
          <w:szCs w:val="21"/>
        </w:rPr>
        <w:t xml:space="preserve">UOM mismatches must only exist for materials listed in uom_conversion table</w:t>
      </w:r>
    </w:p>
    <w:p>
      <w:pPr>
        <w:pStyle w:val="ListParagraph"/>
        <w:numPr>
          <w:ilvl w:val="0"/>
          <w:numId w:val="10"/>
        </w:numPr>
        <w:spacing w:after="80" w:line="280"/>
      </w:pPr>
      <w:r>
        <w:rPr>
          <w:rFonts w:ascii="Arial" w:cs="Arial" w:eastAsia="Arial" w:hAnsi="Arial"/>
          <w:sz w:val="21"/>
          <w:szCs w:val="21"/>
        </w:rPr>
        <w:t xml:space="preserve">Alias group vendors must share the same legal_entity_id</w:t>
      </w:r>
    </w:p>
    <w:p>
      <w:pPr>
        <w:spacing w:after="100"/>
      </w:pPr>
    </w:p>
    <w:p>
      <w:pPr>
        <w:pStyle w:val="Heading2"/>
        <w:spacing w:before="280" w:after="160"/>
      </w:pPr>
      <w:r>
        <w:rPr>
          <w:rFonts w:ascii="Arial" w:cs="Arial" w:eastAsia="Arial" w:hAnsi="Arial"/>
          <w:b/>
          <w:bCs/>
          <w:color w:val="2E86C1"/>
          <w:sz w:val="26"/>
          <w:szCs w:val="26"/>
        </w:rPr>
        <w:t xml:space="preserve">B10.3 Scenario Seed Verification</w:t>
      </w:r>
    </w:p>
    <w:p>
      <w:pPr>
        <w:spacing w:after="140" w:line="300"/>
      </w:pPr>
      <w:r>
        <w:rPr>
          <w:rFonts w:ascii="Arial" w:cs="Arial" w:eastAsia="Arial" w:hAnsi="Arial"/>
          <w:sz w:val="21"/>
          <w:szCs w:val="21"/>
        </w:rPr>
        <w:t xml:space="preserve">For each of the 12 seeds defined in A5, verify that all required attributes are present and aligned:</w:t>
      </w:r>
    </w:p>
    <w:p>
      <w:pPr>
        <w:pStyle w:val="ListParagraph"/>
        <w:numPr>
          <w:ilvl w:val="0"/>
          <w:numId w:val="11"/>
        </w:numPr>
        <w:spacing w:after="80" w:line="280"/>
      </w:pPr>
      <w:r>
        <w:rPr>
          <w:rFonts w:ascii="Arial" w:cs="Arial" w:eastAsia="Arial" w:hAnsi="Arial"/>
          <w:sz w:val="21"/>
          <w:szCs w:val="21"/>
        </w:rPr>
        <w:t xml:space="preserve">SEED-001: MAT exists, is HIGH criticality, has single source, vendor risk_score &gt; 70, contract expiry &lt; 60 days, consumed &gt; 80%</w:t>
      </w:r>
    </w:p>
    <w:p>
      <w:pPr>
        <w:pStyle w:val="ListParagraph"/>
        <w:numPr>
          <w:ilvl w:val="0"/>
          <w:numId w:val="11"/>
        </w:numPr>
        <w:spacing w:after="80" w:line="280"/>
      </w:pPr>
      <w:r>
        <w:rPr>
          <w:rFonts w:ascii="Arial" w:cs="Arial" w:eastAsia="Arial" w:hAnsi="Arial"/>
          <w:sz w:val="21"/>
          <w:szCs w:val="21"/>
        </w:rPr>
        <w:t xml:space="preserve">SEED-002: Both vendors exist, both CN, quality scores differ, one on contract, one off</w:t>
      </w:r>
    </w:p>
    <w:p>
      <w:pPr>
        <w:pStyle w:val="ListParagraph"/>
        <w:numPr>
          <w:ilvl w:val="0"/>
          <w:numId w:val="11"/>
        </w:numPr>
        <w:spacing w:after="80" w:line="280"/>
      </w:pPr>
      <w:r>
        <w:rPr>
          <w:rFonts w:ascii="Arial" w:cs="Arial" w:eastAsia="Arial" w:hAnsi="Arial"/>
          <w:sz w:val="21"/>
          <w:szCs w:val="21"/>
        </w:rPr>
        <w:t xml:space="preserve">SEED-003: Vendor has RESTRICTED tier, bank_account is populated</w:t>
      </w:r>
    </w:p>
    <w:p>
      <w:pPr>
        <w:pStyle w:val="ListParagraph"/>
        <w:numPr>
          <w:ilvl w:val="0"/>
          <w:numId w:val="11"/>
        </w:numPr>
        <w:spacing w:after="80" w:line="280"/>
      </w:pPr>
      <w:r>
        <w:rPr>
          <w:rFonts w:ascii="Arial" w:cs="Arial" w:eastAsia="Arial" w:hAnsi="Arial"/>
          <w:sz w:val="21"/>
          <w:szCs w:val="21"/>
        </w:rPr>
        <w:t xml:space="preserve">SEED-004: Material has 2 source entries with different confidentiality tiers</w:t>
      </w:r>
    </w:p>
    <w:p>
      <w:pPr>
        <w:pStyle w:val="ListParagraph"/>
        <w:numPr>
          <w:ilvl w:val="0"/>
          <w:numId w:val="11"/>
        </w:numPr>
        <w:spacing w:after="80" w:line="280"/>
      </w:pPr>
      <w:r>
        <w:rPr>
          <w:rFonts w:ascii="Arial" w:cs="Arial" w:eastAsia="Arial" w:hAnsi="Arial"/>
          <w:sz w:val="21"/>
          <w:szCs w:val="21"/>
        </w:rPr>
        <w:t xml:space="preserve">SEED-005: 3 motor materials exist, only 1 has contract_covered_flag = TRUE</w:t>
      </w:r>
    </w:p>
    <w:p>
      <w:pPr>
        <w:pStyle w:val="ListParagraph"/>
        <w:numPr>
          <w:ilvl w:val="0"/>
          <w:numId w:val="11"/>
        </w:numPr>
        <w:spacing w:after="80" w:line="280"/>
      </w:pPr>
      <w:r>
        <w:rPr>
          <w:rFonts w:ascii="Arial" w:cs="Arial" w:eastAsia="Arial" w:hAnsi="Arial"/>
          <w:sz w:val="21"/>
          <w:szCs w:val="21"/>
        </w:rPr>
        <w:t xml:space="preserve">SEED-006: 2 vendor records share same legal_entity_id and alias_group</w:t>
      </w:r>
    </w:p>
    <w:p>
      <w:pPr>
        <w:pStyle w:val="ListParagraph"/>
        <w:numPr>
          <w:ilvl w:val="0"/>
          <w:numId w:val="11"/>
        </w:numPr>
        <w:spacing w:after="80" w:line="280"/>
      </w:pPr>
      <w:r>
        <w:rPr>
          <w:rFonts w:ascii="Arial" w:cs="Arial" w:eastAsia="Arial" w:hAnsi="Arial"/>
          <w:sz w:val="21"/>
          <w:szCs w:val="21"/>
        </w:rPr>
        <w:t xml:space="preserve">SEED-007: Material has plant extension for MY01 but NOT SG01</w:t>
      </w:r>
    </w:p>
    <w:p>
      <w:pPr>
        <w:pStyle w:val="ListParagraph"/>
        <w:numPr>
          <w:ilvl w:val="0"/>
          <w:numId w:val="11"/>
        </w:numPr>
        <w:spacing w:after="80" w:line="280"/>
      </w:pPr>
      <w:r>
        <w:rPr>
          <w:rFonts w:ascii="Arial" w:cs="Arial" w:eastAsia="Arial" w:hAnsi="Arial"/>
          <w:sz w:val="21"/>
          <w:szCs w:val="21"/>
        </w:rPr>
        <w:t xml:space="preserve">SEED-008: Source list entry has lane_lead_time &gt; 60 days for MY01</w:t>
      </w:r>
    </w:p>
    <w:p>
      <w:pPr>
        <w:pStyle w:val="ListParagraph"/>
        <w:numPr>
          <w:ilvl w:val="0"/>
          <w:numId w:val="11"/>
        </w:numPr>
        <w:spacing w:after="80" w:line="280"/>
      </w:pPr>
      <w:r>
        <w:rPr>
          <w:rFonts w:ascii="Arial" w:cs="Arial" w:eastAsia="Arial" w:hAnsi="Arial"/>
          <w:sz w:val="21"/>
          <w:szCs w:val="21"/>
        </w:rPr>
        <w:t xml:space="preserve">SEED-009: PG-MECH does NOT have ELEC categories in pg_category mapping</w:t>
      </w:r>
    </w:p>
    <w:p>
      <w:pPr>
        <w:pStyle w:val="ListParagraph"/>
        <w:numPr>
          <w:ilvl w:val="0"/>
          <w:numId w:val="11"/>
        </w:numPr>
        <w:spacing w:after="80" w:line="280"/>
      </w:pPr>
      <w:r>
        <w:rPr>
          <w:rFonts w:ascii="Arial" w:cs="Arial" w:eastAsia="Arial" w:hAnsi="Arial"/>
          <w:sz w:val="21"/>
          <w:szCs w:val="21"/>
        </w:rPr>
        <w:t xml:space="preserve">SEED-010: Contract price &gt; 1.2 × standard_cost for the material</w:t>
      </w:r>
    </w:p>
    <w:p>
      <w:pPr>
        <w:pStyle w:val="ListParagraph"/>
        <w:numPr>
          <w:ilvl w:val="0"/>
          <w:numId w:val="11"/>
        </w:numPr>
        <w:spacing w:after="80" w:line="280"/>
      </w:pPr>
      <w:r>
        <w:rPr>
          <w:rFonts w:ascii="Arial" w:cs="Arial" w:eastAsia="Arial" w:hAnsi="Arial"/>
          <w:sz w:val="21"/>
          <w:szCs w:val="21"/>
        </w:rPr>
        <w:t xml:space="preserve">SEED-011: Vendor status = CONDITIONAL, quality_score &lt; 70</w:t>
      </w:r>
    </w:p>
    <w:p>
      <w:pPr>
        <w:pStyle w:val="ListParagraph"/>
        <w:numPr>
          <w:ilvl w:val="0"/>
          <w:numId w:val="11"/>
        </w:numPr>
        <w:spacing w:after="80" w:line="280"/>
      </w:pPr>
      <w:r>
        <w:rPr>
          <w:rFonts w:ascii="Arial" w:cs="Arial" w:eastAsia="Arial" w:hAnsi="Arial"/>
          <w:sz w:val="21"/>
          <w:szCs w:val="21"/>
        </w:rPr>
        <w:t xml:space="preserve">SEED-012: Same material sourced at different plants with different prices/lead times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B11. UOM Conversion Table (Optional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1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material_master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 with UOM mismatch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from_uom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 base_uom</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to_uom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 or order UOM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conversion_factor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Multiply from_uom quantity by this to get to_uom</w:t>
            </w:r>
          </w:p>
        </w:tc>
      </w:tr>
    </w:tbl>
    <w:p>
      <w:pPr>
        <w:spacing w:after="60"/>
      </w:pPr>
    </w:p>
    <w:p>
      <w:pPr>
        <w:spacing w:before="200" w:after="120"/>
      </w:pPr>
      <w:r>
        <w:rPr>
          <w:rFonts w:ascii="Arial" w:cs="Arial" w:eastAsia="Arial" w:hAnsi="Arial"/>
          <w:b/>
          <w:bCs/>
          <w:color w:val="2874A6"/>
          <w:sz w:val="22"/>
          <w:szCs w:val="22"/>
        </w:rPr>
        <w:t xml:space="preserve">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000"/>
        <w:gridCol w:w="3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material (display)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from_uom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to_uom</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BATCELL-21700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BOX</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0.01</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 BOX = 100 cells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CONN-24P-MOLEX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REEL = 500 connectors</w:t>
            </w:r>
          </w:p>
        </w:tc>
      </w:tr>
    </w:tbl>
    <w:p>
      <w:r>
        <w:br w:type="page"/>
      </w:r>
    </w:p>
    <w:p>
      <w:pPr>
        <w:spacing w:before="600" w:after="80"/>
        <w:jc w:val="center"/>
      </w:pPr>
      <w:r>
        <w:rPr>
          <w:rFonts w:ascii="Arial" w:cs="Arial" w:eastAsia="Arial" w:hAnsi="Arial"/>
          <w:b/>
          <w:bCs/>
          <w:color w:val="1B4F72"/>
          <w:sz w:val="44"/>
          <w:szCs w:val="44"/>
        </w:rPr>
        <w:t xml:space="preserve">SECTION C</w:t>
      </w:r>
    </w:p>
    <w:p>
      <w:pPr>
        <w:pBdr>
          <w:bottom w:val="single" w:color="1B4F72" w:sz="4" w:space="8"/>
        </w:pBdr>
        <w:spacing w:after="200"/>
        <w:jc w:val="center"/>
      </w:pPr>
      <w:r>
        <w:rPr>
          <w:rFonts w:ascii="Arial" w:cs="Arial" w:eastAsia="Arial" w:hAnsi="Arial"/>
          <w:color w:val="2E86C1"/>
          <w:sz w:val="30"/>
          <w:szCs w:val="30"/>
        </w:rPr>
        <w:t xml:space="preserve">Procurement Domain Primer (Human Reference)</w:t>
      </w:r>
    </w:p>
    <w:p>
      <w:pPr>
        <w:spacing w:after="140" w:line="300"/>
      </w:pPr>
      <w:r>
        <w:rPr>
          <w:rFonts w:ascii="Arial" w:cs="Arial" w:eastAsia="Arial" w:hAnsi="Arial"/>
          <w:sz w:val="21"/>
          <w:szCs w:val="21"/>
        </w:rPr>
        <w:t xml:space="preserve">This section provides business context for anyone working on this project who does not have a procurement background. It is not a generation instruction — it is domain grounding. Every design decision in Sections A and B is rooted in how real procurement organizations operate.</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C1. How Procurement Works</w:t>
      </w:r>
    </w:p>
    <w:p>
      <w:pPr>
        <w:pStyle w:val="Heading2"/>
        <w:spacing w:before="280" w:after="160"/>
      </w:pPr>
      <w:r>
        <w:rPr>
          <w:rFonts w:ascii="Arial" w:cs="Arial" w:eastAsia="Arial" w:hAnsi="Arial"/>
          <w:b/>
          <w:bCs/>
          <w:color w:val="2E86C1"/>
          <w:sz w:val="26"/>
          <w:szCs w:val="26"/>
        </w:rPr>
        <w:t xml:space="preserve">C1.1 The Procure-to-Pay Lifecycle</w:t>
      </w:r>
    </w:p>
    <w:p>
      <w:pPr>
        <w:spacing w:after="140" w:line="300"/>
      </w:pPr>
      <w:r>
        <w:rPr>
          <w:rFonts w:ascii="Arial" w:cs="Arial" w:eastAsia="Arial" w:hAnsi="Arial"/>
          <w:sz w:val="21"/>
          <w:szCs w:val="21"/>
        </w:rPr>
        <w:t xml:space="preserve">Procurement is the function responsible for acquiring goods and services that a company needs to operate. In a manufacturing company like our AMR manufacturer, procurement bridges engineering (which designs the product), production (which builds it), and the external supplier market (which provides the components).</w:t>
      </w:r>
    </w:p>
    <w:p>
      <w:pPr>
        <w:spacing w:after="140" w:line="300"/>
      </w:pPr>
      <w:r>
        <w:rPr>
          <w:rFonts w:ascii="Arial" w:cs="Arial" w:eastAsia="Arial" w:hAnsi="Arial"/>
          <w:sz w:val="21"/>
          <w:szCs w:val="21"/>
        </w:rPr>
        <w:t xml:space="preserve">The core procurement process is called Procure-to-Pay (P2P). It describes the full lifecycle from recognizing a need through to paying the supplier. Every piece of master data we design exists to support one or more steps in this process.</w:t>
      </w:r>
    </w:p>
    <w:p>
      <w:pPr>
        <w:spacing w:after="60"/>
      </w:pPr>
    </w:p>
    <w:p>
      <w:pPr>
        <w:spacing w:after="140" w:line="300"/>
      </w:pPr>
      <w:r>
        <w:rPr>
          <w:rFonts w:ascii="Arial" w:cs="Arial" w:eastAsia="Arial" w:hAnsi="Arial"/>
          <w:b/>
          <w:bCs/>
          <w:sz w:val="21"/>
          <w:szCs w:val="21"/>
        </w:rPr>
        <w:t xml:space="preserve">Step 1 – Demand identification. </w:t>
      </w:r>
      <w:r>
        <w:rPr>
          <w:rFonts w:ascii="Arial" w:cs="Arial" w:eastAsia="Arial" w:hAnsi="Arial"/>
          <w:sz w:val="21"/>
          <w:szCs w:val="21"/>
        </w:rPr>
        <w:t xml:space="preserve">Someone in the organization recognizes a need. This could be a production planner who sees that LiDAR sensor inventory is running low, an engineer who needs a new motor for a prototype, or a facilities manager who needs maintenance supplies. In SAP, this need is formalized as a Purchase Requisition (PR), which specifies what is needed, how much, when, and at which plant.</w:t>
      </w:r>
    </w:p>
    <w:p>
      <w:pPr>
        <w:spacing w:after="140" w:line="300"/>
      </w:pPr>
      <w:r>
        <w:rPr>
          <w:rFonts w:ascii="Arial" w:cs="Arial" w:eastAsia="Arial" w:hAnsi="Arial"/>
          <w:b/>
          <w:bCs/>
          <w:sz w:val="21"/>
          <w:szCs w:val="21"/>
        </w:rPr>
        <w:t xml:space="preserve">Step 2 – Sourcing and supplier selection. </w:t>
      </w:r>
      <w:r>
        <w:rPr>
          <w:rFonts w:ascii="Arial" w:cs="Arial" w:eastAsia="Arial" w:hAnsi="Arial"/>
          <w:sz w:val="21"/>
          <w:szCs w:val="21"/>
        </w:rPr>
        <w:t xml:space="preserve">The procurement team determines where to buy. They consult the source list (which suppliers are approved for this material at this plant), check whether a contract exists (pre-negotiated pricing), and evaluate supplier attributes like lead time, quality score, and risk rating. If no existing source exists, they may run a competitive bidding process.</w:t>
      </w:r>
    </w:p>
    <w:p>
      <w:pPr>
        <w:spacing w:after="140" w:line="300"/>
      </w:pPr>
      <w:r>
        <w:rPr>
          <w:rFonts w:ascii="Arial" w:cs="Arial" w:eastAsia="Arial" w:hAnsi="Arial"/>
          <w:b/>
          <w:bCs/>
          <w:sz w:val="21"/>
          <w:szCs w:val="21"/>
        </w:rPr>
        <w:t xml:space="preserve">Step 3 – Purchase Order creation. </w:t>
      </w:r>
      <w:r>
        <w:rPr>
          <w:rFonts w:ascii="Arial" w:cs="Arial" w:eastAsia="Arial" w:hAnsi="Arial"/>
          <w:sz w:val="21"/>
          <w:szCs w:val="21"/>
        </w:rPr>
        <w:t xml:space="preserve">Once a supplier is selected, a Purchase Order (PO) is created. The PO is a legally binding document sent to the supplier that says: deliver X quantity of material Y to plant Z by date D at price P. If a contract exists, the PO references it and pulls the agreed price.</w:t>
      </w:r>
    </w:p>
    <w:p>
      <w:pPr>
        <w:spacing w:after="140" w:line="300"/>
      </w:pPr>
      <w:r>
        <w:rPr>
          <w:rFonts w:ascii="Arial" w:cs="Arial" w:eastAsia="Arial" w:hAnsi="Arial"/>
          <w:b/>
          <w:bCs/>
          <w:sz w:val="21"/>
          <w:szCs w:val="21"/>
        </w:rPr>
        <w:t xml:space="preserve">Step 4 – Goods Receipt. </w:t>
      </w:r>
      <w:r>
        <w:rPr>
          <w:rFonts w:ascii="Arial" w:cs="Arial" w:eastAsia="Arial" w:hAnsi="Arial"/>
          <w:sz w:val="21"/>
          <w:szCs w:val="21"/>
        </w:rPr>
        <w:t xml:space="preserve">When the supplier delivers, the warehouse team records a Goods Receipt (GR). This confirms what was actually received, checks it against what was ordered, and updates inventory. Discrepancies – wrong quantity, damaged goods, late delivery – are flagged here.</w:t>
      </w:r>
    </w:p>
    <w:p>
      <w:pPr>
        <w:spacing w:after="140" w:line="300"/>
      </w:pPr>
      <w:r>
        <w:rPr>
          <w:rFonts w:ascii="Arial" w:cs="Arial" w:eastAsia="Arial" w:hAnsi="Arial"/>
          <w:b/>
          <w:bCs/>
          <w:sz w:val="21"/>
          <w:szCs w:val="21"/>
        </w:rPr>
        <w:t xml:space="preserve">Step 5 – Invoice Receipt and Verification. </w:t>
      </w:r>
      <w:r>
        <w:rPr>
          <w:rFonts w:ascii="Arial" w:cs="Arial" w:eastAsia="Arial" w:hAnsi="Arial"/>
          <w:sz w:val="21"/>
          <w:szCs w:val="21"/>
        </w:rPr>
        <w:t xml:space="preserve">The supplier sends an invoice requesting payment. The system performs a three-way match: does the invoice match the PO (what was ordered) and the GR (what was received)? Mismatches trigger exceptions requiring manual resolution.</w:t>
      </w:r>
    </w:p>
    <w:p>
      <w:pPr>
        <w:spacing w:after="140" w:line="300"/>
      </w:pPr>
      <w:r>
        <w:rPr>
          <w:rFonts w:ascii="Arial" w:cs="Arial" w:eastAsia="Arial" w:hAnsi="Arial"/>
          <w:b/>
          <w:bCs/>
          <w:sz w:val="21"/>
          <w:szCs w:val="21"/>
        </w:rPr>
        <w:t xml:space="preserve">Step 6 – Payment. </w:t>
      </w:r>
      <w:r>
        <w:rPr>
          <w:rFonts w:ascii="Arial" w:cs="Arial" w:eastAsia="Arial" w:hAnsi="Arial"/>
          <w:sz w:val="21"/>
          <w:szCs w:val="21"/>
        </w:rPr>
        <w:t xml:space="preserve">Once the invoice is verified, payment is scheduled according to the payment terms agreed with the supplier. A supplier with "Net 30" terms gets paid 30 days after invoice approval.</w:t>
      </w:r>
    </w:p>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Why this matters for our demo: Every master data entity exists to enable one or more P2P steps. Materials define what can be purchased. Vendors define who can supply. Contracts define at what terms. Source lists define who is approved for what at which plant. The AI must reason across all of these.</w:t>
      </w:r>
    </w:p>
    <w:p>
      <w:pPr>
        <w:spacing w:after="100"/>
      </w:pPr>
    </w:p>
    <w:p>
      <w:pPr>
        <w:pStyle w:val="Heading2"/>
        <w:spacing w:before="280" w:after="160"/>
      </w:pPr>
      <w:r>
        <w:rPr>
          <w:rFonts w:ascii="Arial" w:cs="Arial" w:eastAsia="Arial" w:hAnsi="Arial"/>
          <w:b/>
          <w:bCs/>
          <w:color w:val="2E86C1"/>
          <w:sz w:val="26"/>
          <w:szCs w:val="26"/>
        </w:rPr>
        <w:t xml:space="preserve">C1.2 Organizational Structure in Procurement</w:t>
      </w:r>
    </w:p>
    <w:p>
      <w:pPr>
        <w:spacing w:after="140" w:line="300"/>
      </w:pPr>
      <w:r>
        <w:rPr>
          <w:rFonts w:ascii="Arial" w:cs="Arial" w:eastAsia="Arial" w:hAnsi="Arial"/>
          <w:sz w:val="21"/>
          <w:szCs w:val="21"/>
        </w:rPr>
        <w:t xml:space="preserve">Procurement sits within an organizational structure that determines who can buy what, where budgets are tracked, and how spend is reported.</w:t>
      </w:r>
    </w:p>
    <w:p>
      <w:pPr>
        <w:spacing w:after="140" w:line="300"/>
      </w:pPr>
      <w:r>
        <w:rPr>
          <w:rFonts w:ascii="Arial" w:cs="Arial" w:eastAsia="Arial" w:hAnsi="Arial"/>
          <w:b/>
          <w:bCs/>
          <w:sz w:val="21"/>
          <w:szCs w:val="21"/>
        </w:rPr>
        <w:t xml:space="preserve">Company Code </w:t>
      </w:r>
      <w:r>
        <w:rPr>
          <w:rFonts w:ascii="Arial" w:cs="Arial" w:eastAsia="Arial" w:hAnsi="Arial"/>
          <w:sz w:val="21"/>
          <w:szCs w:val="21"/>
        </w:rPr>
        <w:t xml:space="preserve">is the highest-level legal entity. All financial transactions are posted against it.</w:t>
      </w:r>
    </w:p>
    <w:p>
      <w:pPr>
        <w:spacing w:after="140" w:line="300"/>
      </w:pPr>
      <w:r>
        <w:rPr>
          <w:rFonts w:ascii="Arial" w:cs="Arial" w:eastAsia="Arial" w:hAnsi="Arial"/>
          <w:b/>
          <w:bCs/>
          <w:sz w:val="21"/>
          <w:szCs w:val="21"/>
        </w:rPr>
        <w:t xml:space="preserve">Purchasing Organization </w:t>
      </w:r>
      <w:r>
        <w:rPr>
          <w:rFonts w:ascii="Arial" w:cs="Arial" w:eastAsia="Arial" w:hAnsi="Arial"/>
          <w:sz w:val="21"/>
          <w:szCs w:val="21"/>
        </w:rPr>
        <w:t xml:space="preserve">handles supplier negotiations, contract management, and purchasing policies. It "owns" vendor relationships and contracts.</w:t>
      </w:r>
    </w:p>
    <w:p>
      <w:pPr>
        <w:spacing w:after="140" w:line="300"/>
      </w:pPr>
      <w:r>
        <w:rPr>
          <w:rFonts w:ascii="Arial" w:cs="Arial" w:eastAsia="Arial" w:hAnsi="Arial"/>
          <w:b/>
          <w:bCs/>
          <w:sz w:val="21"/>
          <w:szCs w:val="21"/>
        </w:rPr>
        <w:t xml:space="preserve">Purchasing Group </w:t>
      </w:r>
      <w:r>
        <w:rPr>
          <w:rFonts w:ascii="Arial" w:cs="Arial" w:eastAsia="Arial" w:hAnsi="Arial"/>
          <w:sz w:val="21"/>
          <w:szCs w:val="21"/>
        </w:rPr>
        <w:t xml:space="preserve">represents a buyer or buyer team responsible for specific commodities. Groups are mapped to material categories, which is how the system routes requisitions to the right buyer.</w:t>
      </w:r>
    </w:p>
    <w:p>
      <w:pPr>
        <w:spacing w:after="140" w:line="300"/>
      </w:pPr>
      <w:r>
        <w:rPr>
          <w:rFonts w:ascii="Arial" w:cs="Arial" w:eastAsia="Arial" w:hAnsi="Arial"/>
          <w:b/>
          <w:bCs/>
          <w:sz w:val="21"/>
          <w:szCs w:val="21"/>
        </w:rPr>
        <w:t xml:space="preserve">Plant </w:t>
      </w:r>
      <w:r>
        <w:rPr>
          <w:rFonts w:ascii="Arial" w:cs="Arial" w:eastAsia="Arial" w:hAnsi="Arial"/>
          <w:sz w:val="21"/>
          <w:szCs w:val="21"/>
        </w:rPr>
        <w:t xml:space="preserve">is a physical manufacturing or logistics site. Each has distinct material footprints and sourcing needs.</w:t>
      </w:r>
    </w:p>
    <w:p>
      <w:pPr>
        <w:spacing w:after="140" w:line="300"/>
      </w:pPr>
      <w:r>
        <w:rPr>
          <w:rFonts w:ascii="Arial" w:cs="Arial" w:eastAsia="Arial" w:hAnsi="Arial"/>
          <w:b/>
          <w:bCs/>
          <w:sz w:val="21"/>
          <w:szCs w:val="21"/>
        </w:rPr>
        <w:t xml:space="preserve">Storage Location </w:t>
      </w:r>
      <w:r>
        <w:rPr>
          <w:rFonts w:ascii="Arial" w:cs="Arial" w:eastAsia="Arial" w:hAnsi="Arial"/>
          <w:sz w:val="21"/>
          <w:szCs w:val="21"/>
        </w:rPr>
        <w:t xml:space="preserve">is a subdivision within a plant where inventory is physically kept.</w:t>
      </w:r>
    </w:p>
    <w:p>
      <w:pPr>
        <w:spacing w:after="140" w:line="300"/>
      </w:pPr>
      <w:r>
        <w:rPr>
          <w:rFonts w:ascii="Arial" w:cs="Arial" w:eastAsia="Arial" w:hAnsi="Arial"/>
          <w:b/>
          <w:bCs/>
          <w:sz w:val="21"/>
          <w:szCs w:val="21"/>
        </w:rPr>
        <w:t xml:space="preserve">Cost Center </w:t>
      </w:r>
      <w:r>
        <w:rPr>
          <w:rFonts w:ascii="Arial" w:cs="Arial" w:eastAsia="Arial" w:hAnsi="Arial"/>
          <w:sz w:val="21"/>
          <w:szCs w:val="21"/>
        </w:rPr>
        <w:t xml:space="preserve">accumulates costs for a department or function, enabling spend reporting by organizational unit.</w:t>
      </w:r>
    </w:p>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Why this matters for our demo: The organizational structure enables RBAC. A buyer in purchasing group PG-ELEC should only see vendors and contracts for electronics. The purchasing_group_category mapping table makes this enforceable from master data, not hardcoded rules.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C2. Master Data Entities Explained</w:t>
      </w:r>
    </w:p>
    <w:p>
      <w:pPr>
        <w:pStyle w:val="Heading2"/>
        <w:spacing w:before="280" w:after="160"/>
      </w:pPr>
      <w:r>
        <w:rPr>
          <w:rFonts w:ascii="Arial" w:cs="Arial" w:eastAsia="Arial" w:hAnsi="Arial"/>
          <w:b/>
          <w:bCs/>
          <w:color w:val="2E86C1"/>
          <w:sz w:val="26"/>
          <w:szCs w:val="26"/>
        </w:rPr>
        <w:t xml:space="preserve">C2.1 Material Master</w:t>
      </w:r>
    </w:p>
    <w:p>
      <w:pPr>
        <w:spacing w:after="140" w:line="300"/>
      </w:pPr>
      <w:r>
        <w:rPr>
          <w:rFonts w:ascii="Arial" w:cs="Arial" w:eastAsia="Arial" w:hAnsi="Arial"/>
          <w:sz w:val="21"/>
          <w:szCs w:val="21"/>
        </w:rPr>
        <w:t xml:space="preserve">The material master is the central record for everything the company buys, makes, or stocks. In an AMR manufacturer, materials range from high-value electronics (LiDAR sensors, industrial SBCs) to commodity items (fasteners, packaging foam) to services (freight, calibration).</w:t>
      </w:r>
    </w:p>
    <w:p>
      <w:pPr>
        <w:spacing w:after="140" w:line="300"/>
      </w:pPr>
      <w:r>
        <w:rPr>
          <w:rFonts w:ascii="Arial" w:cs="Arial" w:eastAsia="Arial" w:hAnsi="Arial"/>
          <w:b/>
          <w:bCs/>
          <w:sz w:val="21"/>
          <w:szCs w:val="21"/>
        </w:rPr>
        <w:t xml:space="preserve">Material type </w:t>
      </w:r>
      <w:r>
        <w:rPr>
          <w:rFonts w:ascii="Arial" w:cs="Arial" w:eastAsia="Arial" w:hAnsi="Arial"/>
          <w:sz w:val="21"/>
          <w:szCs w:val="21"/>
        </w:rPr>
        <w:t xml:space="preserve">classifies materials: components (product inputs), raw materials (processed further), assemblies (pre-built sub-units), MRO (facility maintenance), and services (intangible purchases).</w:t>
      </w:r>
    </w:p>
    <w:p>
      <w:pPr>
        <w:spacing w:after="140" w:line="300"/>
      </w:pPr>
      <w:r>
        <w:rPr>
          <w:rFonts w:ascii="Arial" w:cs="Arial" w:eastAsia="Arial" w:hAnsi="Arial"/>
          <w:b/>
          <w:bCs/>
          <w:sz w:val="21"/>
          <w:szCs w:val="21"/>
        </w:rPr>
        <w:t xml:space="preserve">Category </w:t>
      </w:r>
      <w:r>
        <w:rPr>
          <w:rFonts w:ascii="Arial" w:cs="Arial" w:eastAsia="Arial" w:hAnsi="Arial"/>
          <w:sz w:val="21"/>
          <w:szCs w:val="21"/>
        </w:rPr>
        <w:t xml:space="preserve">places the material into the spend taxonomy. Categories are hierarchical and enable spend rollups and buyer assignment.</w:t>
      </w:r>
    </w:p>
    <w:p>
      <w:pPr>
        <w:spacing w:after="140" w:line="300"/>
      </w:pPr>
      <w:r>
        <w:rPr>
          <w:rFonts w:ascii="Arial" w:cs="Arial" w:eastAsia="Arial" w:hAnsi="Arial"/>
          <w:b/>
          <w:bCs/>
          <w:sz w:val="21"/>
          <w:szCs w:val="21"/>
        </w:rPr>
        <w:t xml:space="preserve">Criticality </w:t>
      </w:r>
      <w:r>
        <w:rPr>
          <w:rFonts w:ascii="Arial" w:cs="Arial" w:eastAsia="Arial" w:hAnsi="Arial"/>
          <w:sz w:val="21"/>
          <w:szCs w:val="21"/>
        </w:rPr>
        <w:t xml:space="preserve">indicates importance to production continuity. HIGH-criticality materials have explicit reason codes (SAFETY, SUPPLY_RISK, LEAD_TIME, REGULATORY) to prevent narrative drift.</w:t>
      </w:r>
    </w:p>
    <w:p>
      <w:pPr>
        <w:spacing w:after="140" w:line="300"/>
      </w:pPr>
      <w:r>
        <w:rPr>
          <w:rFonts w:ascii="Arial" w:cs="Arial" w:eastAsia="Arial" w:hAnsi="Arial"/>
          <w:b/>
          <w:bCs/>
          <w:sz w:val="21"/>
          <w:szCs w:val="21"/>
        </w:rPr>
        <w:t xml:space="preserve">Make or buy </w:t>
      </w:r>
      <w:r>
        <w:rPr>
          <w:rFonts w:ascii="Arial" w:cs="Arial" w:eastAsia="Arial" w:hAnsi="Arial"/>
          <w:sz w:val="21"/>
          <w:szCs w:val="21"/>
        </w:rPr>
        <w:t xml:space="preserve">indicates internal fabrication vs. external purchase. Our AMR manufacturer is primarily "buy."</w:t>
      </w:r>
    </w:p>
    <w:p>
      <w:pPr>
        <w:spacing w:after="140" w:line="300"/>
      </w:pPr>
      <w:r>
        <w:rPr>
          <w:rFonts w:ascii="Arial" w:cs="Arial" w:eastAsia="Arial" w:hAnsi="Arial"/>
          <w:b/>
          <w:bCs/>
          <w:sz w:val="21"/>
          <w:szCs w:val="21"/>
        </w:rPr>
        <w:t xml:space="preserve">Standard cost </w:t>
      </w:r>
      <w:r>
        <w:rPr>
          <w:rFonts w:ascii="Arial" w:cs="Arial" w:eastAsia="Arial" w:hAnsi="Arial"/>
          <w:sz w:val="21"/>
          <w:szCs w:val="21"/>
        </w:rPr>
        <w:t xml:space="preserve">is the expected unit cost, used for variance analysis. Typically confidential.</w:t>
      </w:r>
    </w:p>
    <w:p>
      <w:pPr>
        <w:spacing w:after="140" w:line="300"/>
      </w:pPr>
      <w:r>
        <w:rPr>
          <w:rFonts w:ascii="Arial" w:cs="Arial" w:eastAsia="Arial" w:hAnsi="Arial"/>
          <w:sz w:val="21"/>
          <w:szCs w:val="21"/>
        </w:rPr>
        <w:t xml:space="preserve">Plant-level extensions capture location-specific parameters (reorder points, lot sizes) because the same material behaves differently at different plants.</w:t>
      </w:r>
    </w:p>
    <w:p>
      <w:pPr>
        <w:spacing w:after="100"/>
      </w:pPr>
    </w:p>
    <w:p>
      <w:pPr>
        <w:pStyle w:val="Heading2"/>
        <w:spacing w:before="280" w:after="160"/>
      </w:pPr>
      <w:r>
        <w:rPr>
          <w:rFonts w:ascii="Arial" w:cs="Arial" w:eastAsia="Arial" w:hAnsi="Arial"/>
          <w:b/>
          <w:bCs/>
          <w:color w:val="2E86C1"/>
          <w:sz w:val="26"/>
          <w:szCs w:val="26"/>
        </w:rPr>
        <w:t xml:space="preserve">C2.2 Category Hierarchy</w:t>
      </w:r>
    </w:p>
    <w:p>
      <w:pPr>
        <w:spacing w:after="140" w:line="300"/>
      </w:pPr>
      <w:r>
        <w:rPr>
          <w:rFonts w:ascii="Arial" w:cs="Arial" w:eastAsia="Arial" w:hAnsi="Arial"/>
          <w:sz w:val="21"/>
          <w:szCs w:val="21"/>
        </w:rPr>
        <w:t xml:space="preserve">The 3-level hierarchy (Category → Subcategory → Commodity) enables spend aggregation, buyer assignment via purchasing group mapping, and category-level benchmarking. It is the backbone of spend intelligence queries.</w:t>
      </w:r>
    </w:p>
    <w:p>
      <w:pPr>
        <w:spacing w:after="100"/>
      </w:pPr>
    </w:p>
    <w:p>
      <w:pPr>
        <w:pStyle w:val="Heading2"/>
        <w:spacing w:before="280" w:after="160"/>
      </w:pPr>
      <w:r>
        <w:rPr>
          <w:rFonts w:ascii="Arial" w:cs="Arial" w:eastAsia="Arial" w:hAnsi="Arial"/>
          <w:b/>
          <w:bCs/>
          <w:color w:val="2E86C1"/>
          <w:sz w:val="26"/>
          <w:szCs w:val="26"/>
        </w:rPr>
        <w:t xml:space="preserve">C2.3 Vendor Master and Legal Entity</w:t>
      </w:r>
    </w:p>
    <w:p>
      <w:pPr>
        <w:spacing w:after="140" w:line="300"/>
      </w:pPr>
      <w:r>
        <w:rPr>
          <w:rFonts w:ascii="Arial" w:cs="Arial" w:eastAsia="Arial" w:hAnsi="Arial"/>
          <w:sz w:val="21"/>
          <w:szCs w:val="21"/>
        </w:rPr>
        <w:t xml:space="preserve">The vendor master records every supplier with identity, commercial terms, performance metrics, and risk profile. The legal entity table provides canonical identity resolution – multiple vendor records can point to the same real-world company, enabling exposure consolidation.</w:t>
      </w:r>
    </w:p>
    <w:p>
      <w:pPr>
        <w:spacing w:after="140" w:line="300"/>
      </w:pPr>
      <w:r>
        <w:rPr>
          <w:rFonts w:ascii="Arial" w:cs="Arial" w:eastAsia="Arial" w:hAnsi="Arial"/>
          <w:b/>
          <w:bCs/>
          <w:sz w:val="21"/>
          <w:szCs w:val="21"/>
        </w:rPr>
        <w:t xml:space="preserve">On-time delivery rate </w:t>
      </w:r>
      <w:r>
        <w:rPr>
          <w:rFonts w:ascii="Arial" w:cs="Arial" w:eastAsia="Arial" w:hAnsi="Arial"/>
          <w:sz w:val="21"/>
          <w:szCs w:val="21"/>
        </w:rPr>
        <w:t xml:space="preserve">measures delivery reliability. Below 85% is generally considered poor.</w:t>
      </w:r>
    </w:p>
    <w:p>
      <w:pPr>
        <w:spacing w:after="140" w:line="300"/>
      </w:pPr>
      <w:r>
        <w:rPr>
          <w:rFonts w:ascii="Arial" w:cs="Arial" w:eastAsia="Arial" w:hAnsi="Arial"/>
          <w:b/>
          <w:bCs/>
          <w:sz w:val="21"/>
          <w:szCs w:val="21"/>
        </w:rPr>
        <w:t xml:space="preserve">Quality score </w:t>
      </w:r>
      <w:r>
        <w:rPr>
          <w:rFonts w:ascii="Arial" w:cs="Arial" w:eastAsia="Arial" w:hAnsi="Arial"/>
          <w:sz w:val="21"/>
          <w:szCs w:val="21"/>
        </w:rPr>
        <w:t xml:space="preserve">reflects defect rates and consistency.</w:t>
      </w:r>
    </w:p>
    <w:p>
      <w:pPr>
        <w:spacing w:after="140" w:line="300"/>
      </w:pPr>
      <w:r>
        <w:rPr>
          <w:rFonts w:ascii="Arial" w:cs="Arial" w:eastAsia="Arial" w:hAnsi="Arial"/>
          <w:b/>
          <w:bCs/>
          <w:sz w:val="21"/>
          <w:szCs w:val="21"/>
        </w:rPr>
        <w:t xml:space="preserve">Risk score </w:t>
      </w:r>
      <w:r>
        <w:rPr>
          <w:rFonts w:ascii="Arial" w:cs="Arial" w:eastAsia="Arial" w:hAnsi="Arial"/>
          <w:sz w:val="21"/>
          <w:szCs w:val="21"/>
        </w:rPr>
        <w:t xml:space="preserve">is a composite of financial stability, geographic risk, dependency concentration, and compliance history.</w:t>
      </w:r>
    </w:p>
    <w:p>
      <w:pPr>
        <w:spacing w:after="140" w:line="300"/>
      </w:pPr>
      <w:r>
        <w:rPr>
          <w:rFonts w:ascii="Arial" w:cs="Arial" w:eastAsia="Arial" w:hAnsi="Arial"/>
          <w:b/>
          <w:bCs/>
          <w:sz w:val="21"/>
          <w:szCs w:val="21"/>
        </w:rPr>
        <w:t xml:space="preserve">Payment terms </w:t>
      </w:r>
      <w:r>
        <w:rPr>
          <w:rFonts w:ascii="Arial" w:cs="Arial" w:eastAsia="Arial" w:hAnsi="Arial"/>
          <w:sz w:val="21"/>
          <w:szCs w:val="21"/>
        </w:rPr>
        <w:t xml:space="preserve">define when the supplier gets paid (Net 30, Net 60, etc.) and affect working capital.</w:t>
      </w:r>
    </w:p>
    <w:p>
      <w:pPr>
        <w:spacing w:after="140" w:line="300"/>
      </w:pPr>
      <w:r>
        <w:rPr>
          <w:rFonts w:ascii="Arial" w:cs="Arial" w:eastAsia="Arial" w:hAnsi="Arial"/>
          <w:b/>
          <w:bCs/>
          <w:sz w:val="21"/>
          <w:szCs w:val="21"/>
        </w:rPr>
        <w:t xml:space="preserve">Incoterms </w:t>
      </w:r>
      <w:r>
        <w:rPr>
          <w:rFonts w:ascii="Arial" w:cs="Arial" w:eastAsia="Arial" w:hAnsi="Arial"/>
          <w:sz w:val="21"/>
          <w:szCs w:val="21"/>
        </w:rPr>
        <w:t xml:space="preserve">are standardized trade terms defining logistics responsibilities. FOB means the buyer pays freight from port. DDP means the supplier handles everything including import duties.</w:t>
      </w:r>
    </w:p>
    <w:p>
      <w:pPr>
        <w:spacing w:after="100"/>
      </w:pPr>
    </w:p>
    <w:p>
      <w:pPr>
        <w:pStyle w:val="Heading2"/>
        <w:spacing w:before="280" w:after="160"/>
      </w:pPr>
      <w:r>
        <w:rPr>
          <w:rFonts w:ascii="Arial" w:cs="Arial" w:eastAsia="Arial" w:hAnsi="Arial"/>
          <w:b/>
          <w:bCs/>
          <w:color w:val="2E86C1"/>
          <w:sz w:val="26"/>
          <w:szCs w:val="26"/>
        </w:rPr>
        <w:t xml:space="preserve">C2.4 Source List</w:t>
      </w:r>
    </w:p>
    <w:p>
      <w:pPr>
        <w:spacing w:after="140" w:line="300"/>
      </w:pPr>
      <w:r>
        <w:rPr>
          <w:rFonts w:ascii="Arial" w:cs="Arial" w:eastAsia="Arial" w:hAnsi="Arial"/>
          <w:sz w:val="21"/>
          <w:szCs w:val="21"/>
        </w:rPr>
        <w:t xml:space="preserve">The source list answers: "Who is approved to supply this material at this plant?" It includes preferred rank, contract coverage, approval status, and lane-specific lead times. The source list is the primary graph traversal table connecting Material → Vendor → Plant.</w:t>
      </w:r>
    </w:p>
    <w:p>
      <w:pPr>
        <w:spacing w:after="140" w:line="300"/>
      </w:pPr>
      <w:r>
        <w:rPr>
          <w:rFonts w:ascii="Arial" w:cs="Arial" w:eastAsia="Arial" w:hAnsi="Arial"/>
          <w:sz w:val="21"/>
          <w:szCs w:val="21"/>
        </w:rPr>
        <w:t xml:space="preserve">Single-source materials (only one approved supplier per plant) represent significant supply risk. Lane-level lead times capture the reality that shipping from Japan to Malaysia differs from Japan to Vietnam.</w:t>
      </w:r>
    </w:p>
    <w:p>
      <w:pPr>
        <w:spacing w:after="100"/>
      </w:pPr>
    </w:p>
    <w:p>
      <w:pPr>
        <w:pStyle w:val="Heading2"/>
        <w:spacing w:before="280" w:after="160"/>
      </w:pPr>
      <w:r>
        <w:rPr>
          <w:rFonts w:ascii="Arial" w:cs="Arial" w:eastAsia="Arial" w:hAnsi="Arial"/>
          <w:b/>
          <w:bCs/>
          <w:color w:val="2E86C1"/>
          <w:sz w:val="26"/>
          <w:szCs w:val="26"/>
        </w:rPr>
        <w:t xml:space="preserve">C2.5 Contract Master</w:t>
      </w:r>
    </w:p>
    <w:p>
      <w:pPr>
        <w:spacing w:after="140" w:line="300"/>
      </w:pPr>
      <w:r>
        <w:rPr>
          <w:rFonts w:ascii="Arial" w:cs="Arial" w:eastAsia="Arial" w:hAnsi="Arial"/>
          <w:sz w:val="21"/>
          <w:szCs w:val="21"/>
        </w:rPr>
        <w:t xml:space="preserve">Contracts establish pre-negotiated pricing and volume commitments. They run for fixed periods and have quantity or value limits. Key monitoring dimensions: time remaining (is it expiring?) and commitment remaining (is it exhausted?). Both create procurement risk when they trigger without renewal in progress.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C3. Procurement Risks and Intelligence</w:t>
      </w:r>
    </w:p>
    <w:p>
      <w:pPr>
        <w:pStyle w:val="Heading2"/>
        <w:spacing w:before="280" w:after="160"/>
      </w:pPr>
      <w:r>
        <w:rPr>
          <w:rFonts w:ascii="Arial" w:cs="Arial" w:eastAsia="Arial" w:hAnsi="Arial"/>
          <w:b/>
          <w:bCs/>
          <w:color w:val="2E86C1"/>
          <w:sz w:val="26"/>
          <w:szCs w:val="26"/>
        </w:rPr>
        <w:t xml:space="preserve">C3.1 Supplier Risk</w:t>
      </w:r>
    </w:p>
    <w:p>
      <w:pPr>
        <w:spacing w:after="140" w:line="300"/>
      </w:pPr>
      <w:r>
        <w:rPr>
          <w:rFonts w:ascii="Arial" w:cs="Arial" w:eastAsia="Arial" w:hAnsi="Arial"/>
          <w:sz w:val="21"/>
          <w:szCs w:val="21"/>
        </w:rPr>
        <w:t xml:space="preserve">Supplier risk is the probability that a supplier fails to meet obligations. Key dimensions include financial risk (can they stay in business?), geographic/geopolitical risk (natural disasters, trade restrictions), concentration risk (over-dependence on one supplier), quality risk (consistent defect-free delivery), and compliance risk (regulatory adherence).</w:t>
      </w:r>
    </w:p>
    <w:p>
      <w:pPr>
        <w:spacing w:after="100"/>
      </w:pPr>
    </w:p>
    <w:p>
      <w:pPr>
        <w:pStyle w:val="Heading2"/>
        <w:spacing w:before="280" w:after="160"/>
      </w:pPr>
      <w:r>
        <w:rPr>
          <w:rFonts w:ascii="Arial" w:cs="Arial" w:eastAsia="Arial" w:hAnsi="Arial"/>
          <w:b/>
          <w:bCs/>
          <w:color w:val="2E86C1"/>
          <w:sz w:val="26"/>
          <w:szCs w:val="26"/>
        </w:rPr>
        <w:t xml:space="preserve">C3.2 Maverick Spend</w:t>
      </w:r>
    </w:p>
    <w:p>
      <w:pPr>
        <w:spacing w:after="140" w:line="300"/>
      </w:pPr>
      <w:r>
        <w:rPr>
          <w:rFonts w:ascii="Arial" w:cs="Arial" w:eastAsia="Arial" w:hAnsi="Arial"/>
          <w:sz w:val="21"/>
          <w:szCs w:val="21"/>
        </w:rPr>
        <w:t xml:space="preserve">Maverick spend refers to purchases made outside established contracts or preferred supplier agreements. It means higher prices, undermined volume commitments, and lost procurement visibility. Detection requires comparing actual POs against source lists and contracts.</w:t>
      </w:r>
    </w:p>
    <w:p>
      <w:pPr>
        <w:spacing w:after="100"/>
      </w:pPr>
    </w:p>
    <w:p>
      <w:pPr>
        <w:pStyle w:val="Heading2"/>
        <w:spacing w:before="280" w:after="160"/>
      </w:pPr>
      <w:r>
        <w:rPr>
          <w:rFonts w:ascii="Arial" w:cs="Arial" w:eastAsia="Arial" w:hAnsi="Arial"/>
          <w:b/>
          <w:bCs/>
          <w:color w:val="2E86C1"/>
          <w:sz w:val="26"/>
          <w:szCs w:val="26"/>
        </w:rPr>
        <w:t xml:space="preserve">C3.3 Late Delivery and Lead Time Analysis</w:t>
      </w:r>
    </w:p>
    <w:p>
      <w:pPr>
        <w:spacing w:after="140" w:line="300"/>
      </w:pPr>
      <w:r>
        <w:rPr>
          <w:rFonts w:ascii="Arial" w:cs="Arial" w:eastAsia="Arial" w:hAnsi="Arial"/>
          <w:sz w:val="21"/>
          <w:szCs w:val="21"/>
        </w:rPr>
        <w:t xml:space="preserve">Late delivery analysis requires reasoning about root causes: was the order placed too late? Is the master data lead time unrealistic? Is the vendor consistently late for specific materials? For an AMR manufacturer, late delivery of a LiDAR sensor halts assembly; late delivery of labels is an inconvenience. Criticality drives risk-based prioritization.</w:t>
      </w:r>
    </w:p>
    <w:p>
      <w:pPr>
        <w:spacing w:after="100"/>
      </w:pPr>
    </w:p>
    <w:p>
      <w:pPr>
        <w:pStyle w:val="Heading2"/>
        <w:spacing w:before="280" w:after="160"/>
      </w:pPr>
      <w:r>
        <w:rPr>
          <w:rFonts w:ascii="Arial" w:cs="Arial" w:eastAsia="Arial" w:hAnsi="Arial"/>
          <w:b/>
          <w:bCs/>
          <w:color w:val="2E86C1"/>
          <w:sz w:val="26"/>
          <w:szCs w:val="26"/>
        </w:rPr>
        <w:t xml:space="preserve">C3.4 Contract Coverage and Spend Leakage</w:t>
      </w:r>
    </w:p>
    <w:p>
      <w:pPr>
        <w:spacing w:after="140" w:line="300"/>
      </w:pPr>
      <w:r>
        <w:rPr>
          <w:rFonts w:ascii="Arial" w:cs="Arial" w:eastAsia="Arial" w:hAnsi="Arial"/>
          <w:sz w:val="21"/>
          <w:szCs w:val="21"/>
        </w:rPr>
        <w:t xml:space="preserve">Contract coverage is the percentage of spend under formal contracts. High coverage (above 80%) indicates procurement maturity. Spend leakage encompasses off-contract purchasing, failure to use preferred suppliers, and missed volume consolidation opportunities.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C4. Why Confidentiality Matters in Procurement</w:t>
      </w:r>
    </w:p>
    <w:p>
      <w:pPr>
        <w:spacing w:after="140" w:line="300"/>
      </w:pPr>
      <w:r>
        <w:rPr>
          <w:rFonts w:ascii="Arial" w:cs="Arial" w:eastAsia="Arial" w:hAnsi="Arial"/>
          <w:sz w:val="21"/>
          <w:szCs w:val="21"/>
        </w:rPr>
        <w:t xml:space="preserve">Procurement data is among the most commercially sensitive information in an enterprise. Contract prices reveal negotiation outcomes. Supplier identities reveal strategic sourcing decisions. Vendor bank accounts are fraud targets. Risk assessments are sensitive in both directions – sharing them externally could damage relationships or expose methodology.</w:t>
      </w:r>
    </w:p>
    <w:p>
      <w:pPr>
        <w:spacing w:after="140" w:line="300"/>
      </w:pPr>
      <w:r>
        <w:rPr>
          <w:rFonts w:ascii="Arial" w:cs="Arial" w:eastAsia="Arial" w:hAnsi="Arial"/>
          <w:sz w:val="21"/>
          <w:szCs w:val="21"/>
        </w:rPr>
        <w:t xml:space="preserve">Our confidentiality model applies at three levels: entity-level (vendor or contract tier), relationship-level (source list tier), and attribute-level (bank account masking, PII redaction). The propagation rule ensures that restricted information cannot leak through less-protected relationship tables.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C5. Why Design Principles Matter</w:t>
      </w:r>
    </w:p>
    <w:p>
      <w:pPr>
        <w:spacing w:after="140" w:line="300"/>
      </w:pPr>
      <w:r>
        <w:rPr>
          <w:rFonts w:ascii="Arial" w:cs="Arial" w:eastAsia="Arial" w:hAnsi="Arial"/>
          <w:sz w:val="21"/>
          <w:szCs w:val="21"/>
        </w:rPr>
        <w:t xml:space="preserve">Synthetic datasets fail when referential integrity breaks (the AI hits dead ends), when scenarios are narratively incoherent (data attributes tell conflicting stories), when plant-material relationships are unrealistic (every material at every plant), and when confidentiality rules are implicit rather than explicit (governance feels hand-wavy). The design principles in Section A exist to prevent each of these failure modes systematically.</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C6. Knowledge Graph: Design, Implementation, and Query Patterns</w:t>
      </w:r>
    </w:p>
    <w:p>
      <w:pPr>
        <w:spacing w:after="140" w:line="300"/>
      </w:pPr>
      <w:r>
        <w:rPr>
          <w:rFonts w:ascii="Arial" w:cs="Arial" w:eastAsia="Arial" w:hAnsi="Arial"/>
          <w:sz w:val="21"/>
          <w:szCs w:val="21"/>
        </w:rPr>
        <w:t xml:space="preserve">This section provides a comprehensive guide to the knowledge graph that underpins the AI reasoning layer. It defines every node type, every edge relationship, the properties carried on each, and the specific graph traversal patterns that power demo scenarios. This is the single most important section for anyone building the tool-based retrieval layer or designing LLM prompts.</w:t>
      </w:r>
    </w:p>
    <w:p>
      <w:r>
        <w:br w:type="page"/>
      </w:r>
    </w:p>
    <w:p>
      <w:pPr>
        <w:pStyle w:val="Heading2"/>
        <w:spacing w:before="280" w:after="160"/>
      </w:pPr>
      <w:r>
        <w:rPr>
          <w:rFonts w:ascii="Arial" w:cs="Arial" w:eastAsia="Arial" w:hAnsi="Arial"/>
          <w:b/>
          <w:bCs/>
          <w:color w:val="2E86C1"/>
          <w:sz w:val="26"/>
          <w:szCs w:val="26"/>
        </w:rPr>
        <w:t xml:space="preserve">C6.1 What Is a Knowledge Graph and Why We Need One</w:t>
      </w:r>
    </w:p>
    <w:p>
      <w:pPr>
        <w:spacing w:after="140" w:line="300"/>
      </w:pPr>
      <w:r>
        <w:rPr>
          <w:rFonts w:ascii="Arial" w:cs="Arial" w:eastAsia="Arial" w:hAnsi="Arial"/>
          <w:sz w:val="21"/>
          <w:szCs w:val="21"/>
        </w:rPr>
        <w:t xml:space="preserve">A knowledge graph is a data structure that represents information as a network of entities (nodes) connected by typed relationships (edges). Unlike a relational database where data lives in flat tables joined by foreign keys, a knowledge graph makes relationships first-class citizens. You can traverse from one entity to another by following edges, and each hop reveals new context.</w:t>
      </w:r>
    </w:p>
    <w:p>
      <w:pPr>
        <w:spacing w:after="140" w:line="300"/>
      </w:pPr>
      <w:r>
        <w:rPr>
          <w:rFonts w:ascii="Arial" w:cs="Arial" w:eastAsia="Arial" w:hAnsi="Arial"/>
          <w:sz w:val="21"/>
          <w:szCs w:val="21"/>
        </w:rPr>
        <w:t xml:space="preserve">In procurement, this matters because the questions stakeholders ask are inherently graph questions. When a procurement director asks “What is our exposure to Nidec?” they are not asking for a single table lookup. They are asking the system to find a legal entity, discover all its vendor aliases, follow each alias to every material it supplies, check which plants are affected, assess contract coverage for each, and aggregate the result. That is a multi-hop graph traversal across six entity types.</w:t>
      </w:r>
    </w:p>
    <w:p>
      <w:pPr>
        <w:spacing w:after="140" w:line="300"/>
      </w:pPr>
      <w:r>
        <w:rPr>
          <w:rFonts w:ascii="Arial" w:cs="Arial" w:eastAsia="Arial" w:hAnsi="Arial"/>
          <w:sz w:val="21"/>
          <w:szCs w:val="21"/>
        </w:rPr>
        <w:t xml:space="preserve">Relational SQL can answer these questions, but the queries become deeply nested joins that are brittle and hard for an LLM to generate reliably. A graph representation makes these traversals natural: each step is an edge follow, and the LLM’s reasoning can mirror the graph structure step by step.</w:t>
      </w:r>
    </w:p>
    <w:p>
      <w:pPr>
        <w:spacing w:after="80"/>
      </w:pPr>
    </w:p>
    <w:p>
      <w:pPr>
        <w:pBdr>
          <w:left w:val="single" w:color="2E86C1" w:sz="8" w:space="8"/>
        </w:pBdr>
        <w:spacing w:before="100" w:after="160" w:line="280"/>
        <w:ind w:left="360" w:right="360"/>
      </w:pPr>
      <w:r>
        <w:rPr>
          <w:rFonts w:ascii="Arial" w:cs="Arial" w:eastAsia="Arial" w:hAnsi="Arial"/>
          <w:i/>
          <w:iCs/>
          <w:color w:val="1A5276"/>
          <w:sz w:val="20"/>
          <w:szCs w:val="20"/>
        </w:rPr>
        <w:t xml:space="preserve">For SAP HANA Cloud implementation: HANA supports property graph workspaces natively (Graph Engine). Tables become node/edge sources, and Cypher-like queries can traverse them. The tool-based retrieval layer can expose graph traversal as structured API calls that the GenAI Hub orchestrates.</w:t>
      </w:r>
    </w:p>
    <w:p>
      <w:r>
        <w:br w:type="page"/>
      </w:r>
    </w:p>
    <w:p>
      <w:pPr>
        <w:pStyle w:val="Heading2"/>
        <w:spacing w:before="280" w:after="160"/>
      </w:pPr>
      <w:r>
        <w:rPr>
          <w:rFonts w:ascii="Arial" w:cs="Arial" w:eastAsia="Arial" w:hAnsi="Arial"/>
          <w:b/>
          <w:bCs/>
          <w:color w:val="2E86C1"/>
          <w:sz w:val="26"/>
          <w:szCs w:val="26"/>
        </w:rPr>
        <w:t xml:space="preserve">C6.2 Node Catalog</w:t>
      </w:r>
    </w:p>
    <w:p>
      <w:pPr>
        <w:spacing w:after="140" w:line="300"/>
      </w:pPr>
      <w:r>
        <w:rPr>
          <w:rFonts w:ascii="Arial" w:cs="Arial" w:eastAsia="Arial" w:hAnsi="Arial"/>
          <w:sz w:val="21"/>
          <w:szCs w:val="21"/>
        </w:rPr>
        <w:t xml:space="preserve">Every master data and transactional entity maps to a node type in the graph. Each node carries properties derived from the table fields. Below is the complete catalog:</w:t>
      </w:r>
    </w:p>
    <w:p>
      <w:pPr>
        <w:spacing w:after="60"/>
      </w:pPr>
    </w:p>
    <w:p>
      <w:pPr>
        <w:spacing w:before="200" w:after="120"/>
      </w:pPr>
      <w:r>
        <w:rPr>
          <w:rFonts w:ascii="Arial" w:cs="Arial" w:eastAsia="Arial" w:hAnsi="Arial"/>
          <w:b/>
          <w:bCs/>
          <w:color w:val="2874A6"/>
          <w:sz w:val="22"/>
          <w:szCs w:val="22"/>
        </w:rPr>
        <w:t xml:space="preserve">Master Data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800"/>
        <w:gridCol w:w="1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Table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Approx. Count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LegalEntity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legal_entity</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legal_entity_id, legal_name, country_of_incorporation, registration_id</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~80–110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vendor_master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vendor_id, display_code, vendor_name, country, vendor_type, risk_score, quality_score, on_time_delivery_rate, status, confidentiality_tier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VendorContact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vendor_contact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contact_id, contact_name, email, phone, role [ALL PII – RESTRICTED]</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~150–200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material_master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material_id, display_code, description, material_type, criticality, criticality_reason_code, hazmat_flag, standard_cost, confidentiality_tier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category_hierarchy</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category_id, category_name, level (1/2/3)</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~70 (including parents)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plant_id, plant_name, country, city, function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StorageLocation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storage_location</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storage_loc_id, plant_id, storage_loc_name, storage_type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CostCenter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cost_center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cost_center_id, cost_center_name, department, plant_id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~20–60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PurchasingGroup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purchasing_group</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purch_group_id, display_code, purch_group_name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~6–8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PurchasingOrg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purchasing_org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purch_org_id, purch_org_name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CompanyCode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company_code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company_code, company_name, country, currency</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contract_header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contract_id, display_code, contract_type, valid_from, valid_to, status, currency, incoterms, confidentiality_tier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ContractItem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contract_item</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contract_id, item_number, agreed_price, price_uom, max_quantity, consumed_quantity, target_value, consumed_value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~60–100</w:t>
            </w:r>
          </w:p>
        </w:tc>
      </w:tr>
    </w:tbl>
    <w:p>
      <w:pPr>
        <w:spacing w:after="80"/>
      </w:pPr>
    </w:p>
    <w:p>
      <w:pPr>
        <w:spacing w:before="200" w:after="120"/>
      </w:pPr>
      <w:r>
        <w:rPr>
          <w:rFonts w:ascii="Arial" w:cs="Arial" w:eastAsia="Arial" w:hAnsi="Arial"/>
          <w:b/>
          <w:bCs/>
          <w:color w:val="2874A6"/>
          <w:sz w:val="22"/>
          <w:szCs w:val="22"/>
        </w:rPr>
        <w:t xml:space="preserve">Transactional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800"/>
        <w:gridCol w:w="1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Table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Approx. Count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PurchaseRequisition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pr_header</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pr_id, pr_date, requester_name, pr_type, status, priority</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PRLineItem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pr_line_item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pr_id, pr_line_number, quantity, requested_delivery_date, status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~800–1,200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PurchaseOrder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po_header</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po_id, po_date, po_type, status, total_net_value, maverick_flag</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POLineItem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po_line_item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po_id, po_line_number, quantity, unit_price, net_value, requested_delivery_date, actual_delivery_date, gr_status, invoice_status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~800–1,200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GoodsReceipt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gr_header</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gr_id, gr_date, status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GRLineItem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gr_line_item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gr_id, gr_line_number, quantity_received, quantity_accepted, quantity_rejected, rejection_reason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~700–1,000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invoice_header</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invoice_id, invoice_date, total_gross_amount, status, match_status, payment_due_date, payment_block</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InvoiceLineItem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invoice_line_item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invoice_id, invoice_line_number, quantity_invoiced, unit_price_invoiced, price_variance, quantity_variance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~650–950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payment_id, payment_date, payment_method, total_amount, status, bank_account_ref [RESTRICTED]</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~280</w:t>
            </w:r>
          </w:p>
        </w:tc>
      </w:tr>
    </w:tbl>
    <w:p>
      <w:pPr>
        <w:spacing w:after="80"/>
      </w:pPr>
    </w:p>
    <w:p>
      <w:pPr>
        <w:spacing w:before="200" w:after="120"/>
      </w:pPr>
      <w:r>
        <w:rPr>
          <w:rFonts w:ascii="Arial" w:cs="Arial" w:eastAsia="Arial" w:hAnsi="Arial"/>
          <w:b/>
          <w:bCs/>
          <w:color w:val="2874A6"/>
          <w:sz w:val="22"/>
          <w:szCs w:val="22"/>
        </w:rPr>
        <w:t xml:space="preserve">Virtual / Derived Nodes</w:t>
      </w:r>
    </w:p>
    <w:p>
      <w:pPr>
        <w:spacing w:after="140" w:line="300"/>
      </w:pPr>
      <w:r>
        <w:rPr>
          <w:rFonts w:ascii="Arial" w:cs="Arial" w:eastAsia="Arial" w:hAnsi="Arial"/>
          <w:sz w:val="21"/>
          <w:szCs w:val="21"/>
        </w:rPr>
        <w:t xml:space="preserve">Some graph queries benefit from virtual nodes that do not correspond to a single table but represent computed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Virtual Node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Derived From</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AliasGroup</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Vendors sharing the same legal_entity_id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Entity resolution — represents the consolidated view of a multi-alias supplier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SourceRelationship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source_list row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edge between Vendor and Material at a Plant, carrying approval_status, lane_lead_time, preferred_rank, confidentiality_tier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SpendBucket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Aggregated PO line values by category/vendor/period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Enables pre-computed spend rollups without traversing every PO line</w:t>
            </w:r>
          </w:p>
        </w:tc>
      </w:tr>
    </w:tbl>
    <w:p>
      <w:r>
        <w:br w:type="page"/>
      </w:r>
    </w:p>
    <w:p>
      <w:pPr>
        <w:pStyle w:val="Heading2"/>
        <w:spacing w:before="280" w:after="160"/>
      </w:pPr>
      <w:r>
        <w:rPr>
          <w:rFonts w:ascii="Arial" w:cs="Arial" w:eastAsia="Arial" w:hAnsi="Arial"/>
          <w:b/>
          <w:bCs/>
          <w:color w:val="2E86C1"/>
          <w:sz w:val="26"/>
          <w:szCs w:val="26"/>
        </w:rPr>
        <w:t xml:space="preserve">C6.3 Edge Catalog</w:t>
      </w:r>
    </w:p>
    <w:p>
      <w:pPr>
        <w:spacing w:after="140" w:line="300"/>
      </w:pPr>
      <w:r>
        <w:rPr>
          <w:rFonts w:ascii="Arial" w:cs="Arial" w:eastAsia="Arial" w:hAnsi="Arial"/>
          <w:sz w:val="21"/>
          <w:szCs w:val="21"/>
        </w:rPr>
        <w:t xml:space="preserve">Edges represent the typed relationships between nodes. Each edge has a direction, a label, and properties. The direction matters for traversal — some queries traverse forward (from vendor to materials they supply) while others traverse backward (from a material to vendors that can supply it).</w:t>
      </w:r>
    </w:p>
    <w:p>
      <w:pPr>
        <w:spacing w:after="60"/>
      </w:pPr>
    </w:p>
    <w:p>
      <w:pPr>
        <w:spacing w:before="200" w:after="120"/>
      </w:pPr>
      <w:r>
        <w:rPr>
          <w:rFonts w:ascii="Arial" w:cs="Arial" w:eastAsia="Arial" w:hAnsi="Arial"/>
          <w:b/>
          <w:bCs/>
          <w:color w:val="2874A6"/>
          <w:sz w:val="22"/>
          <w:szCs w:val="22"/>
        </w:rPr>
        <w:t xml:space="preserve">Master Data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3000"/>
        <w:gridCol w:w="23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Edge Label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From Node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 Node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OPERATES_AS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LegalEntity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alias_group_id</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1:N (one legal entity, many vendor records)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SUPPLIES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preferred_rank, approval_status, lane_lead_time_days, vendor_material_code, contract_covered_flag, confidentiality_tier, min_order_qty [via source_list]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M:N (scoped by Plant)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AVAILABLE_AT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reorder_point, lot_size, min_order_qty [via material_plant_extension]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BELONGS_TO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 direct FK)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PARENT_OF</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(none — self-referential hierarchy)</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CONTRACTED_WITH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 FK on contract_header)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COVERS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ContractItem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agreed_price, max_quantity, consumed_quantity</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PART_OF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 FK)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HAS_CONTACT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VendorContact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StorageLocation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RESPONSIBLE_FOR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PurchasingGroup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Category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[via pg_category junction]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REPORTS_TO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PurchasingGroup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PurchasingOrg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BELONGS_TO_COMPANY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Plant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CompanyCode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CHARGES_TO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CostCenter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department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bl>
    <w:p>
      <w:pPr>
        <w:spacing w:after="80"/>
      </w:pPr>
    </w:p>
    <w:p>
      <w:pPr>
        <w:spacing w:before="200" w:after="120"/>
      </w:pPr>
      <w:r>
        <w:rPr>
          <w:rFonts w:ascii="Arial" w:cs="Arial" w:eastAsia="Arial" w:hAnsi="Arial"/>
          <w:b/>
          <w:bCs/>
          <w:color w:val="2874A6"/>
          <w:sz w:val="22"/>
          <w:szCs w:val="22"/>
        </w:rPr>
        <w:t xml:space="preserve">Transactional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800"/>
        <w:gridCol w:w="1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Edge Label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From Node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 Node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REQUESTS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PRLineItem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 requested_delivery_date)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ORIGINATES_FROM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PRLineItem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 via pr_header.plant_id)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CHARGED_TO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PurchaseRequisition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CostCenter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CONVERTS_TO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PRLineItem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POLineItem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 pr_id + pr_line_number link)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 or 1:N (consolidation)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ORDERED_FROM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PurchaseOrder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POLineItem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 unit_price, net_value)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REFERENCES_CONTRACT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POLineItem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ContractItem</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(none — nullable FK)</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N:1 (nullable)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DELIVERED_BY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GoodsReceipt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PurchaseOrder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RECEIVES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GRLineItem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POLineItem</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(quantity_received, quantity_accepted, quantity_rejected)</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GoodsReceipt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StorageLocation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PurchaseOrder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MATCHES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InvoiceLineItem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GRLineItem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(price_variance, quantity_variance)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 (nullable)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SETTLES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(amount_applied) [via junction table]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PAYS_TO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(bank_account_ref [RESTRICTED])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w:t>
            </w:r>
          </w:p>
        </w:tc>
      </w:tr>
    </w:tbl>
    <w:p>
      <w:pPr>
        <w:spacing w:after="80"/>
      </w:pPr>
    </w:p>
    <w:p>
      <w:pPr>
        <w:spacing w:before="200" w:after="120"/>
      </w:pPr>
      <w:r>
        <w:rPr>
          <w:rFonts w:ascii="Arial" w:cs="Arial" w:eastAsia="Arial" w:hAnsi="Arial"/>
          <w:b/>
          <w:bCs/>
          <w:color w:val="2874A6"/>
          <w:sz w:val="22"/>
          <w:szCs w:val="22"/>
        </w:rPr>
        <w:t xml:space="preserve">Confidentiality Edges</w:t>
      </w:r>
    </w:p>
    <w:p>
      <w:pPr>
        <w:spacing w:after="140" w:line="300"/>
      </w:pPr>
      <w:r>
        <w:rPr>
          <w:rFonts w:ascii="Arial" w:cs="Arial" w:eastAsia="Arial" w:hAnsi="Arial"/>
          <w:sz w:val="21"/>
          <w:szCs w:val="21"/>
        </w:rPr>
        <w:t xml:space="preserve">In addition to the data relationship edges, the graph includes confidentiality metadata that governs traversal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Edge Concept</w:t>
            </w:r>
          </w:p>
        </w:tc>
        <w:tc>
          <w:tcPr>
            <w:tcW w:type="dxa" w:w="4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Node-level tier</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Every Vendor, Material, Contract, and SourceRelationship node carries a confidentiality_tier property</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Filter nodes by user role before returning results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Edge-level tier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SUPPLIES edge (source list) carries its own confidentiality_tier that may be more restrictive than either endpoint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 edge tier during traversal; if RESTRICTED, suppress the relationship for unauthorized users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Attribute-level masking</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Specific properties on nodes (bank_account, contact_name, email, phone, agreed_price) are flagged as sensitive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Mask individual properties in the response while allowing the node itself to be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Inherited tier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Transactional nodes inherit the max tier of their master data references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 inherits max(vendor.tier, material.tier); Payment inherits RESTRICTED for bank_account_ref always</w:t>
            </w:r>
          </w:p>
        </w:tc>
      </w:tr>
    </w:tbl>
    <w:p>
      <w:r>
        <w:br w:type="page"/>
      </w:r>
    </w:p>
    <w:p>
      <w:pPr>
        <w:pStyle w:val="Heading2"/>
        <w:spacing w:before="280" w:after="160"/>
      </w:pPr>
      <w:r>
        <w:rPr>
          <w:rFonts w:ascii="Arial" w:cs="Arial" w:eastAsia="Arial" w:hAnsi="Arial"/>
          <w:b/>
          <w:bCs/>
          <w:color w:val="2E86C1"/>
          <w:sz w:val="26"/>
          <w:szCs w:val="26"/>
        </w:rPr>
        <w:t xml:space="preserve">C6.4 Graph Traversal Patterns</w:t>
      </w:r>
    </w:p>
    <w:p>
      <w:pPr>
        <w:spacing w:after="140" w:line="300"/>
      </w:pPr>
      <w:r>
        <w:rPr>
          <w:rFonts w:ascii="Arial" w:cs="Arial" w:eastAsia="Arial" w:hAnsi="Arial"/>
          <w:sz w:val="21"/>
          <w:szCs w:val="21"/>
        </w:rPr>
        <w:t xml:space="preserve">This section catalogs the specific traversal patterns that the AI agent must support. Each pattern describes a query type, the starting node, the traversal path, the aggregation or filtering logic, and the expected output. These patterns directly map to tool calls in the API/MCP gateway.</w:t>
      </w:r>
    </w:p>
    <w:p>
      <w:pPr>
        <w:spacing w:after="80"/>
      </w:pPr>
    </w:p>
    <w:p>
      <w:pPr>
        <w:spacing w:before="200" w:after="120"/>
      </w:pPr>
      <w:r>
        <w:rPr>
          <w:rFonts w:ascii="Arial" w:cs="Arial" w:eastAsia="Arial" w:hAnsi="Arial"/>
          <w:b/>
          <w:bCs/>
          <w:color w:val="2874A6"/>
          <w:sz w:val="22"/>
          <w:szCs w:val="22"/>
        </w:rPr>
        <w:t xml:space="preserve">Pattern 1: Single-Hop Lookup</w:t>
      </w:r>
    </w:p>
    <w:p>
      <w:pPr>
        <w:spacing w:after="140" w:line="300"/>
      </w:pPr>
      <w:r>
        <w:rPr>
          <w:rFonts w:ascii="Arial" w:cs="Arial" w:eastAsia="Arial" w:hAnsi="Arial"/>
          <w:sz w:val="21"/>
          <w:szCs w:val="21"/>
        </w:rPr>
        <w:t xml:space="preserve">The simplest pattern: start at one node, follow one edge, return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000"/>
        <w:gridCol w:w="2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Query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Edge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Filter/Aggregate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"Who supplies this material?"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Material(LIDAR-2D-HOKUYO)</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SUPPLIES (reverse)</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Return all vendors with approval_status = APPROVED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materials does Nidec supply?"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Vendor(NIDEC-JP)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SUPPLIES (forward)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 all materials with preferred_rank, lane_lead_time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"What contracts does this vendor have?"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Vendor(HOKUYO-JP)</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CONTRACTED_WITH</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Return contracts with status, valid_to, consumption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category does this material belong 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Material(MOTOR-BLDC-200W)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BELONGS_TO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 full category path: MOTN → MOTN-MOT → MOTN-MOT-BLDC</w:t>
            </w:r>
          </w:p>
        </w:tc>
      </w:tr>
    </w:tbl>
    <w:p>
      <w:pPr>
        <w:spacing w:after="100"/>
      </w:pPr>
    </w:p>
    <w:p>
      <w:pPr>
        <w:spacing w:before="200" w:after="120"/>
      </w:pPr>
      <w:r>
        <w:rPr>
          <w:rFonts w:ascii="Arial" w:cs="Arial" w:eastAsia="Arial" w:hAnsi="Arial"/>
          <w:b/>
          <w:bCs/>
          <w:color w:val="2874A6"/>
          <w:sz w:val="22"/>
          <w:szCs w:val="22"/>
        </w:rPr>
        <w:t xml:space="preserve">Pattern 2: Multi-Hop Chain Traversal</w:t>
      </w:r>
    </w:p>
    <w:p>
      <w:pPr>
        <w:spacing w:after="140" w:line="300"/>
      </w:pPr>
      <w:r>
        <w:rPr>
          <w:rFonts w:ascii="Arial" w:cs="Arial" w:eastAsia="Arial" w:hAnsi="Arial"/>
          <w:sz w:val="21"/>
          <w:szCs w:val="21"/>
        </w:rPr>
        <w:t xml:space="preserve">Follow a sequence of edges to connect distant entities. This is the most common pattern for procurement intelligence queries.</w:t>
      </w:r>
    </w:p>
    <w:p>
      <w:pPr>
        <w:spacing w:after="60"/>
      </w:pPr>
    </w:p>
    <w:p>
      <w:pPr>
        <w:spacing w:after="140" w:line="300"/>
      </w:pPr>
      <w:r>
        <w:rPr>
          <w:rFonts w:ascii="Arial" w:cs="Arial" w:eastAsia="Arial" w:hAnsi="Arial"/>
          <w:b/>
          <w:bCs/>
          <w:i/>
          <w:iCs/>
          <w:sz w:val="21"/>
          <w:szCs w:val="21"/>
        </w:rPr>
        <w:t xml:space="preserve">Query: "What critical materials at MY01 have expiring contracts with high-risk vendors?"</w:t>
      </w:r>
    </w:p>
    <w:p>
      <w:pPr>
        <w:spacing w:after="140" w:line="300"/>
      </w:pPr>
      <w:r>
        <w:rPr>
          <w:rFonts w:ascii="Arial" w:cs="Arial" w:eastAsia="Arial" w:hAnsi="Arial"/>
          <w:sz w:val="21"/>
          <w:szCs w:val="21"/>
        </w:rPr>
        <w:t xml:space="preserve">This requires 5 hops with filtering at each step:</w:t>
      </w:r>
    </w:p>
    <w:p>
      <w:pPr>
        <w:pStyle w:val="ListParagraph"/>
        <w:numPr>
          <w:ilvl w:val="0"/>
          <w:numId w:val="12"/>
        </w:numPr>
        <w:spacing w:after="80" w:line="280"/>
      </w:pPr>
      <w:r>
        <w:rPr>
          <w:rFonts w:ascii="Arial" w:cs="Arial" w:eastAsia="Arial" w:hAnsi="Arial"/>
          <w:sz w:val="21"/>
          <w:szCs w:val="21"/>
        </w:rPr>
        <w:t xml:space="preserve">Start: Plant(MY01)</w:t>
      </w:r>
    </w:p>
    <w:p>
      <w:pPr>
        <w:pStyle w:val="ListParagraph"/>
        <w:numPr>
          <w:ilvl w:val="0"/>
          <w:numId w:val="12"/>
        </w:numPr>
        <w:spacing w:after="80" w:line="280"/>
      </w:pPr>
      <w:r>
        <w:rPr>
          <w:rFonts w:ascii="Arial" w:cs="Arial" w:eastAsia="Arial" w:hAnsi="Arial"/>
          <w:sz w:val="21"/>
          <w:szCs w:val="21"/>
        </w:rPr>
        <w:t xml:space="preserve">Hop 1: Plant ← AVAILABLE_AT ← Material [filter: criticality = HIGH]</w:t>
      </w:r>
    </w:p>
    <w:p>
      <w:pPr>
        <w:pStyle w:val="ListParagraph"/>
        <w:numPr>
          <w:ilvl w:val="0"/>
          <w:numId w:val="12"/>
        </w:numPr>
        <w:spacing w:after="80" w:line="280"/>
      </w:pPr>
      <w:r>
        <w:rPr>
          <w:rFonts w:ascii="Arial" w:cs="Arial" w:eastAsia="Arial" w:hAnsi="Arial"/>
          <w:sz w:val="21"/>
          <w:szCs w:val="21"/>
        </w:rPr>
        <w:t xml:space="preserve">Hop 2: Material ← SUPPLIES (reverse) ← Vendor [filter: risk_score &gt; 70]</w:t>
      </w:r>
    </w:p>
    <w:p>
      <w:pPr>
        <w:pStyle w:val="ListParagraph"/>
        <w:numPr>
          <w:ilvl w:val="0"/>
          <w:numId w:val="12"/>
        </w:numPr>
        <w:spacing w:after="80" w:line="280"/>
      </w:pPr>
      <w:r>
        <w:rPr>
          <w:rFonts w:ascii="Arial" w:cs="Arial" w:eastAsia="Arial" w:hAnsi="Arial"/>
          <w:sz w:val="21"/>
          <w:szCs w:val="21"/>
        </w:rPr>
        <w:t xml:space="preserve">Hop 3: Vendor → CONTRACTED_WITH → Contract [filter: valid_to within 60 days]</w:t>
      </w:r>
    </w:p>
    <w:p>
      <w:pPr>
        <w:pStyle w:val="ListParagraph"/>
        <w:numPr>
          <w:ilvl w:val="0"/>
          <w:numId w:val="12"/>
        </w:numPr>
        <w:spacing w:after="80" w:line="280"/>
      </w:pPr>
      <w:r>
        <w:rPr>
          <w:rFonts w:ascii="Arial" w:cs="Arial" w:eastAsia="Arial" w:hAnsi="Arial"/>
          <w:sz w:val="21"/>
          <w:szCs w:val="21"/>
        </w:rPr>
        <w:t xml:space="preserve">Hop 4: Contract → PART_OF (reverse) → ContractItem → COVERS → Material [verify material from step 2]</w:t>
      </w:r>
    </w:p>
    <w:p>
      <w:pPr>
        <w:pStyle w:val="ListParagraph"/>
        <w:numPr>
          <w:ilvl w:val="0"/>
          <w:numId w:val="12"/>
        </w:numPr>
        <w:spacing w:after="80" w:line="280"/>
      </w:pPr>
      <w:r>
        <w:rPr>
          <w:rFonts w:ascii="Arial" w:cs="Arial" w:eastAsia="Arial" w:hAnsi="Arial"/>
          <w:sz w:val="21"/>
          <w:szCs w:val="21"/>
        </w:rPr>
        <w:t xml:space="preserve">Output: List of (material, vendor, contract, expiry_date, consumption_%) tuples</w:t>
      </w:r>
    </w:p>
    <w:p>
      <w:pPr>
        <w:spacing w:after="80"/>
      </w:pPr>
    </w:p>
    <w:p>
      <w:pPr>
        <w:spacing w:after="140" w:line="300"/>
      </w:pPr>
      <w:r>
        <w:rPr>
          <w:rFonts w:ascii="Arial" w:cs="Arial" w:eastAsia="Arial" w:hAnsi="Arial"/>
          <w:b/>
          <w:bCs/>
          <w:i/>
          <w:iCs/>
          <w:sz w:val="21"/>
          <w:szCs w:val="21"/>
        </w:rPr>
        <w:t xml:space="preserve">Query: "What is our total exposure to Nidec?"</w:t>
      </w:r>
    </w:p>
    <w:p>
      <w:pPr>
        <w:spacing w:after="140" w:line="300"/>
      </w:pPr>
      <w:r>
        <w:rPr>
          <w:rFonts w:ascii="Arial" w:cs="Arial" w:eastAsia="Arial" w:hAnsi="Arial"/>
          <w:sz w:val="21"/>
          <w:szCs w:val="21"/>
        </w:rPr>
        <w:t xml:space="preserve">This requires entity resolution plus aggregation:</w:t>
      </w:r>
    </w:p>
    <w:p>
      <w:pPr>
        <w:pStyle w:val="ListParagraph"/>
        <w:numPr>
          <w:ilvl w:val="0"/>
          <w:numId w:val="13"/>
        </w:numPr>
        <w:spacing w:after="80" w:line="280"/>
      </w:pPr>
      <w:r>
        <w:rPr>
          <w:rFonts w:ascii="Arial" w:cs="Arial" w:eastAsia="Arial" w:hAnsi="Arial"/>
          <w:sz w:val="21"/>
          <w:szCs w:val="21"/>
        </w:rPr>
        <w:t xml:space="preserve">Start: Search for LegalEntity where legal_name contains “Nidec”</w:t>
      </w:r>
    </w:p>
    <w:p>
      <w:pPr>
        <w:pStyle w:val="ListParagraph"/>
        <w:numPr>
          <w:ilvl w:val="0"/>
          <w:numId w:val="13"/>
        </w:numPr>
        <w:spacing w:after="80" w:line="280"/>
      </w:pPr>
      <w:r>
        <w:rPr>
          <w:rFonts w:ascii="Arial" w:cs="Arial" w:eastAsia="Arial" w:hAnsi="Arial"/>
          <w:sz w:val="21"/>
          <w:szCs w:val="21"/>
        </w:rPr>
        <w:t xml:space="preserve">Hop 1: LegalEntity → OPERATES_AS → Vendor [collect all aliases: NIDEC-JP, NIDEC-MY]</w:t>
      </w:r>
    </w:p>
    <w:p>
      <w:pPr>
        <w:pStyle w:val="ListParagraph"/>
        <w:numPr>
          <w:ilvl w:val="0"/>
          <w:numId w:val="13"/>
        </w:numPr>
        <w:spacing w:after="80" w:line="280"/>
      </w:pPr>
      <w:r>
        <w:rPr>
          <w:rFonts w:ascii="Arial" w:cs="Arial" w:eastAsia="Arial" w:hAnsi="Arial"/>
          <w:sz w:val="21"/>
          <w:szCs w:val="21"/>
        </w:rPr>
        <w:t xml:space="preserve">Hop 2: For each Vendor → SUPPLIES → Material [collect all materials]</w:t>
      </w:r>
    </w:p>
    <w:p>
      <w:pPr>
        <w:pStyle w:val="ListParagraph"/>
        <w:numPr>
          <w:ilvl w:val="0"/>
          <w:numId w:val="13"/>
        </w:numPr>
        <w:spacing w:after="80" w:line="280"/>
      </w:pPr>
      <w:r>
        <w:rPr>
          <w:rFonts w:ascii="Arial" w:cs="Arial" w:eastAsia="Arial" w:hAnsi="Arial"/>
          <w:sz w:val="21"/>
          <w:szCs w:val="21"/>
        </w:rPr>
        <w:t xml:space="preserve">Hop 3: For each Material → BELONGS_TO → Category [group by category]</w:t>
      </w:r>
    </w:p>
    <w:p>
      <w:pPr>
        <w:pStyle w:val="ListParagraph"/>
        <w:numPr>
          <w:ilvl w:val="0"/>
          <w:numId w:val="13"/>
        </w:numPr>
        <w:spacing w:after="80" w:line="280"/>
      </w:pPr>
      <w:r>
        <w:rPr>
          <w:rFonts w:ascii="Arial" w:cs="Arial" w:eastAsia="Arial" w:hAnsi="Arial"/>
          <w:sz w:val="21"/>
          <w:szCs w:val="21"/>
        </w:rPr>
        <w:t xml:space="preserve">Hop 4: For each Vendor → CONTRACTED_WITH → Contract [collect contract values]</w:t>
      </w:r>
    </w:p>
    <w:p>
      <w:pPr>
        <w:pStyle w:val="ListParagraph"/>
        <w:numPr>
          <w:ilvl w:val="0"/>
          <w:numId w:val="13"/>
        </w:numPr>
        <w:spacing w:after="80" w:line="280"/>
      </w:pPr>
      <w:r>
        <w:rPr>
          <w:rFonts w:ascii="Arial" w:cs="Arial" w:eastAsia="Arial" w:hAnsi="Arial"/>
          <w:sz w:val="21"/>
          <w:szCs w:val="21"/>
        </w:rPr>
        <w:t xml:space="preserve">Aggregate: Total materials supplied, total contract value, category breakdown, plant distribution</w:t>
      </w:r>
    </w:p>
    <w:p>
      <w:pPr>
        <w:pStyle w:val="ListParagraph"/>
        <w:numPr>
          <w:ilvl w:val="0"/>
          <w:numId w:val="13"/>
        </w:numPr>
        <w:spacing w:after="80" w:line="280"/>
      </w:pPr>
      <w:r>
        <w:rPr>
          <w:rFonts w:ascii="Arial" w:cs="Arial" w:eastAsia="Arial" w:hAnsi="Arial"/>
          <w:sz w:val="21"/>
          <w:szCs w:val="21"/>
        </w:rPr>
        <w:t xml:space="preserve">Output: Consolidated exposure report with alias breakdown</w:t>
      </w:r>
    </w:p>
    <w:p>
      <w:pPr>
        <w:spacing w:after="100"/>
      </w:pPr>
    </w:p>
    <w:p>
      <w:pPr>
        <w:spacing w:before="200" w:after="120"/>
      </w:pPr>
      <w:r>
        <w:rPr>
          <w:rFonts w:ascii="Arial" w:cs="Arial" w:eastAsia="Arial" w:hAnsi="Arial"/>
          <w:b/>
          <w:bCs/>
          <w:color w:val="2874A6"/>
          <w:sz w:val="22"/>
          <w:szCs w:val="22"/>
        </w:rPr>
        <w:t xml:space="preserve">Pattern 3: Reverse Path Discovery</w:t>
      </w:r>
    </w:p>
    <w:p>
      <w:pPr>
        <w:spacing w:after="140" w:line="300"/>
      </w:pPr>
      <w:r>
        <w:rPr>
          <w:rFonts w:ascii="Arial" w:cs="Arial" w:eastAsia="Arial" w:hAnsi="Arial"/>
          <w:sz w:val="21"/>
          <w:szCs w:val="21"/>
        </w:rPr>
        <w:t xml:space="preserve">Start from a symptom or observation and trace backward to find root causes.</w:t>
      </w:r>
    </w:p>
    <w:p>
      <w:pPr>
        <w:spacing w:after="60"/>
      </w:pPr>
    </w:p>
    <w:p>
      <w:pPr>
        <w:spacing w:after="140" w:line="300"/>
      </w:pPr>
      <w:r>
        <w:rPr>
          <w:rFonts w:ascii="Arial" w:cs="Arial" w:eastAsia="Arial" w:hAnsi="Arial"/>
          <w:b/>
          <w:bCs/>
          <w:i/>
          <w:iCs/>
          <w:sz w:val="21"/>
          <w:szCs w:val="21"/>
        </w:rPr>
        <w:t xml:space="preserve">Query: "Why is this invoice blocked?"</w:t>
      </w:r>
    </w:p>
    <w:p>
      <w:pPr>
        <w:pStyle w:val="ListParagraph"/>
        <w:numPr>
          <w:ilvl w:val="0"/>
          <w:numId w:val="14"/>
        </w:numPr>
        <w:spacing w:after="80" w:line="280"/>
      </w:pPr>
      <w:r>
        <w:rPr>
          <w:rFonts w:ascii="Arial" w:cs="Arial" w:eastAsia="Arial" w:hAnsi="Arial"/>
          <w:sz w:val="21"/>
          <w:szCs w:val="21"/>
        </w:rPr>
        <w:t xml:space="preserve">Start: Invoice(INV-000042) [match_status = PRICE_VARIANCE, payment_block = TRUE]</w:t>
      </w:r>
    </w:p>
    <w:p>
      <w:pPr>
        <w:pStyle w:val="ListParagraph"/>
        <w:numPr>
          <w:ilvl w:val="0"/>
          <w:numId w:val="14"/>
        </w:numPr>
        <w:spacing w:after="80" w:line="280"/>
      </w:pPr>
      <w:r>
        <w:rPr>
          <w:rFonts w:ascii="Arial" w:cs="Arial" w:eastAsia="Arial" w:hAnsi="Arial"/>
          <w:sz w:val="21"/>
          <w:szCs w:val="21"/>
        </w:rPr>
        <w:t xml:space="preserve">Hop 1: Invoice → INVOICES → PurchaseOrder → POLineItem [get unit_price = $4.85]</w:t>
      </w:r>
    </w:p>
    <w:p>
      <w:pPr>
        <w:pStyle w:val="ListParagraph"/>
        <w:numPr>
          <w:ilvl w:val="0"/>
          <w:numId w:val="14"/>
        </w:numPr>
        <w:spacing w:after="80" w:line="280"/>
      </w:pPr>
      <w:r>
        <w:rPr>
          <w:rFonts w:ascii="Arial" w:cs="Arial" w:eastAsia="Arial" w:hAnsi="Arial"/>
          <w:sz w:val="21"/>
          <w:szCs w:val="21"/>
        </w:rPr>
        <w:t xml:space="preserve">Hop 2: InvoiceLineItem → read unit_price_invoiced [$5.24] → calculate variance [+$0.39, +8%]</w:t>
      </w:r>
    </w:p>
    <w:p>
      <w:pPr>
        <w:pStyle w:val="ListParagraph"/>
        <w:numPr>
          <w:ilvl w:val="0"/>
          <w:numId w:val="14"/>
        </w:numPr>
        <w:spacing w:after="80" w:line="280"/>
      </w:pPr>
      <w:r>
        <w:rPr>
          <w:rFonts w:ascii="Arial" w:cs="Arial" w:eastAsia="Arial" w:hAnsi="Arial"/>
          <w:sz w:val="21"/>
          <w:szCs w:val="21"/>
        </w:rPr>
        <w:t xml:space="preserve">Hop 3: POLineItem → REFERENCES_CONTRACT → ContractItem [agreed_price = $4.85]</w:t>
      </w:r>
    </w:p>
    <w:p>
      <w:pPr>
        <w:pStyle w:val="ListParagraph"/>
        <w:numPr>
          <w:ilvl w:val="0"/>
          <w:numId w:val="14"/>
        </w:numPr>
        <w:spacing w:after="80" w:line="280"/>
      </w:pPr>
      <w:r>
        <w:rPr>
          <w:rFonts w:ascii="Arial" w:cs="Arial" w:eastAsia="Arial" w:hAnsi="Arial"/>
          <w:sz w:val="21"/>
          <w:szCs w:val="21"/>
        </w:rPr>
        <w:t xml:space="preserve">Conclusion: Supplier invoiced at $5.24, but contract price is $4.85. Variance exceeds 2% tolerance.</w:t>
      </w:r>
    </w:p>
    <w:p>
      <w:pPr>
        <w:pStyle w:val="ListParagraph"/>
        <w:numPr>
          <w:ilvl w:val="0"/>
          <w:numId w:val="14"/>
        </w:numPr>
        <w:spacing w:after="80" w:line="280"/>
      </w:pPr>
      <w:r>
        <w:rPr>
          <w:rFonts w:ascii="Arial" w:cs="Arial" w:eastAsia="Arial" w:hAnsi="Arial"/>
          <w:sz w:val="21"/>
          <w:szCs w:val="21"/>
        </w:rPr>
        <w:t xml:space="preserve">Output: Root cause explanation with supporting data at each hop</w:t>
      </w:r>
    </w:p>
    <w:p>
      <w:pPr>
        <w:spacing w:after="100"/>
      </w:pPr>
    </w:p>
    <w:p>
      <w:pPr>
        <w:spacing w:before="200" w:after="120"/>
      </w:pPr>
      <w:r>
        <w:rPr>
          <w:rFonts w:ascii="Arial" w:cs="Arial" w:eastAsia="Arial" w:hAnsi="Arial"/>
          <w:b/>
          <w:bCs/>
          <w:color w:val="2874A6"/>
          <w:sz w:val="22"/>
          <w:szCs w:val="22"/>
        </w:rPr>
        <w:t xml:space="preserve">Pattern 4: Fan-Out Aggregation</w:t>
      </w:r>
    </w:p>
    <w:p>
      <w:pPr>
        <w:spacing w:after="140" w:line="300"/>
      </w:pPr>
      <w:r>
        <w:rPr>
          <w:rFonts w:ascii="Arial" w:cs="Arial" w:eastAsia="Arial" w:hAnsi="Arial"/>
          <w:sz w:val="21"/>
          <w:szCs w:val="21"/>
        </w:rPr>
        <w:t xml:space="preserve">Start from one node and fan out across multiple edges to aggregate a metric.</w:t>
      </w:r>
    </w:p>
    <w:p>
      <w:pPr>
        <w:spacing w:after="60"/>
      </w:pPr>
    </w:p>
    <w:p>
      <w:pPr>
        <w:spacing w:after="140" w:line="300"/>
      </w:pPr>
      <w:r>
        <w:rPr>
          <w:rFonts w:ascii="Arial" w:cs="Arial" w:eastAsia="Arial" w:hAnsi="Arial"/>
          <w:b/>
          <w:bCs/>
          <w:i/>
          <w:iCs/>
          <w:sz w:val="21"/>
          <w:szCs w:val="21"/>
        </w:rPr>
        <w:t xml:space="preserve">Query: "What is our spend by category this quarter?"</w:t>
      </w:r>
    </w:p>
    <w:p>
      <w:pPr>
        <w:pStyle w:val="ListParagraph"/>
        <w:numPr>
          <w:ilvl w:val="0"/>
          <w:numId w:val="15"/>
        </w:numPr>
        <w:spacing w:after="80" w:line="280"/>
      </w:pPr>
      <w:r>
        <w:rPr>
          <w:rFonts w:ascii="Arial" w:cs="Arial" w:eastAsia="Arial" w:hAnsi="Arial"/>
          <w:sz w:val="21"/>
          <w:szCs w:val="21"/>
        </w:rPr>
        <w:t xml:space="preserve">Start: All Category nodes at level 1 (top-level categories)</w:t>
      </w:r>
    </w:p>
    <w:p>
      <w:pPr>
        <w:pStyle w:val="ListParagraph"/>
        <w:numPr>
          <w:ilvl w:val="0"/>
          <w:numId w:val="15"/>
        </w:numPr>
        <w:spacing w:after="80" w:line="280"/>
      </w:pPr>
      <w:r>
        <w:rPr>
          <w:rFonts w:ascii="Arial" w:cs="Arial" w:eastAsia="Arial" w:hAnsi="Arial"/>
          <w:sz w:val="21"/>
          <w:szCs w:val="21"/>
        </w:rPr>
        <w:t xml:space="preserve">Fan-out: Category ← PARENT_OF* ← Category (level 3) ← BELONGS_TO ← Material</w:t>
      </w:r>
    </w:p>
    <w:p>
      <w:pPr>
        <w:pStyle w:val="ListParagraph"/>
        <w:numPr>
          <w:ilvl w:val="0"/>
          <w:numId w:val="15"/>
        </w:numPr>
        <w:spacing w:after="80" w:line="280"/>
      </w:pPr>
      <w:r>
        <w:rPr>
          <w:rFonts w:ascii="Arial" w:cs="Arial" w:eastAsia="Arial" w:hAnsi="Arial"/>
          <w:sz w:val="21"/>
          <w:szCs w:val="21"/>
        </w:rPr>
        <w:t xml:space="preserve">Fan-out: Each Material ← ORDERS (reverse) ← POLineItem [filter: po_date in current quarter]</w:t>
      </w:r>
    </w:p>
    <w:p>
      <w:pPr>
        <w:pStyle w:val="ListParagraph"/>
        <w:numPr>
          <w:ilvl w:val="0"/>
          <w:numId w:val="15"/>
        </w:numPr>
        <w:spacing w:after="80" w:line="280"/>
      </w:pPr>
      <w:r>
        <w:rPr>
          <w:rFonts w:ascii="Arial" w:cs="Arial" w:eastAsia="Arial" w:hAnsi="Arial"/>
          <w:sz w:val="21"/>
          <w:szCs w:val="21"/>
        </w:rPr>
        <w:t xml:space="preserve">Aggregate: SUM(net_value) per top-level category</w:t>
      </w:r>
    </w:p>
    <w:p>
      <w:pPr>
        <w:pStyle w:val="ListParagraph"/>
        <w:numPr>
          <w:ilvl w:val="0"/>
          <w:numId w:val="15"/>
        </w:numPr>
        <w:spacing w:after="80" w:line="280"/>
      </w:pPr>
      <w:r>
        <w:rPr>
          <w:rFonts w:ascii="Arial" w:cs="Arial" w:eastAsia="Arial" w:hAnsi="Arial"/>
          <w:sz w:val="21"/>
          <w:szCs w:val="21"/>
        </w:rPr>
        <w:t xml:space="preserve">Output: Spend rollup table: Electronics $X, Motion $Y, Power $Z, etc.</w:t>
      </w:r>
    </w:p>
    <w:p>
      <w:pPr>
        <w:spacing w:after="80"/>
      </w:pPr>
    </w:p>
    <w:p>
      <w:pPr>
        <w:pBdr>
          <w:left w:val="single" w:color="2E86C1" w:sz="8" w:space="8"/>
        </w:pBdr>
        <w:spacing w:before="100" w:after="160" w:line="280"/>
        <w:ind w:left="360" w:right="360"/>
      </w:pPr>
      <w:r>
        <w:rPr>
          <w:rFonts w:ascii="Arial" w:cs="Arial" w:eastAsia="Arial" w:hAnsi="Arial"/>
          <w:i/>
          <w:iCs/>
          <w:color w:val="1A5276"/>
          <w:sz w:val="20"/>
          <w:szCs w:val="20"/>
        </w:rPr>
        <w:t xml:space="preserve">Fan-out aggregation is expensive in large graphs. For the demo dataset (800 materials, 400 POs), this is manageable. At the 10× scale, consider pre-computed SpendBucket virtual nodes to avoid real-time aggregation of 4,000 POs.</w:t>
      </w:r>
    </w:p>
    <w:p>
      <w:pPr>
        <w:spacing w:after="100"/>
      </w:pPr>
    </w:p>
    <w:p>
      <w:pPr>
        <w:spacing w:before="200" w:after="120"/>
      </w:pPr>
      <w:r>
        <w:rPr>
          <w:rFonts w:ascii="Arial" w:cs="Arial" w:eastAsia="Arial" w:hAnsi="Arial"/>
          <w:b/>
          <w:bCs/>
          <w:color w:val="2874A6"/>
          <w:sz w:val="22"/>
          <w:szCs w:val="22"/>
        </w:rPr>
        <w:t xml:space="preserve">Pattern 5: Subgraph Extraction</w:t>
      </w:r>
    </w:p>
    <w:p>
      <w:pPr>
        <w:spacing w:after="140" w:line="300"/>
      </w:pPr>
      <w:r>
        <w:rPr>
          <w:rFonts w:ascii="Arial" w:cs="Arial" w:eastAsia="Arial" w:hAnsi="Arial"/>
          <w:sz w:val="21"/>
          <w:szCs w:val="21"/>
        </w:rPr>
        <w:t xml:space="preserve">Extract a bounded subgraph around a focal entity to provide full context for reasoning.</w:t>
      </w:r>
    </w:p>
    <w:p>
      <w:pPr>
        <w:spacing w:after="60"/>
      </w:pPr>
    </w:p>
    <w:p>
      <w:pPr>
        <w:spacing w:after="140" w:line="300"/>
      </w:pPr>
      <w:r>
        <w:rPr>
          <w:rFonts w:ascii="Arial" w:cs="Arial" w:eastAsia="Arial" w:hAnsi="Arial"/>
          <w:b/>
          <w:bCs/>
          <w:i/>
          <w:iCs/>
          <w:sz w:val="21"/>
          <w:szCs w:val="21"/>
        </w:rPr>
        <w:t xml:space="preserve">Query: "Give me the full sourcing picture for battery cells"</w:t>
      </w:r>
    </w:p>
    <w:p>
      <w:pPr>
        <w:spacing w:after="140" w:line="300"/>
      </w:pPr>
      <w:r>
        <w:rPr>
          <w:rFonts w:ascii="Arial" w:cs="Arial" w:eastAsia="Arial" w:hAnsi="Arial"/>
          <w:sz w:val="21"/>
          <w:szCs w:val="21"/>
        </w:rPr>
        <w:t xml:space="preserve">This extracts the complete 2-hop neighborhood around a material:</w:t>
      </w:r>
    </w:p>
    <w:p>
      <w:pPr>
        <w:pStyle w:val="ListParagraph"/>
        <w:numPr>
          <w:ilvl w:val="0"/>
          <w:numId w:val="16"/>
        </w:numPr>
        <w:spacing w:after="80" w:line="280"/>
      </w:pPr>
      <w:r>
        <w:rPr>
          <w:rFonts w:ascii="Arial" w:cs="Arial" w:eastAsia="Arial" w:hAnsi="Arial"/>
          <w:sz w:val="21"/>
          <w:szCs w:val="21"/>
        </w:rPr>
        <w:t xml:space="preserve">Center: Material(BATCELL-21700)</w:t>
      </w:r>
    </w:p>
    <w:p>
      <w:pPr>
        <w:pStyle w:val="ListParagraph"/>
        <w:numPr>
          <w:ilvl w:val="0"/>
          <w:numId w:val="16"/>
        </w:numPr>
        <w:spacing w:after="80" w:line="280"/>
      </w:pPr>
      <w:r>
        <w:rPr>
          <w:rFonts w:ascii="Arial" w:cs="Arial" w:eastAsia="Arial" w:hAnsi="Arial"/>
          <w:sz w:val="21"/>
          <w:szCs w:val="21"/>
        </w:rPr>
        <w:t xml:space="preserve">Expand 1 hop: SUPPLIES (reverse) → Vendors [CATL-CN, EVE-CN]</w:t>
      </w:r>
    </w:p>
    <w:p>
      <w:pPr>
        <w:pStyle w:val="ListParagraph"/>
        <w:numPr>
          <w:ilvl w:val="0"/>
          <w:numId w:val="16"/>
        </w:numPr>
        <w:spacing w:after="80" w:line="280"/>
      </w:pPr>
      <w:r>
        <w:rPr>
          <w:rFonts w:ascii="Arial" w:cs="Arial" w:eastAsia="Arial" w:hAnsi="Arial"/>
          <w:sz w:val="21"/>
          <w:szCs w:val="21"/>
        </w:rPr>
        <w:t xml:space="preserve">Expand 1 hop: BELONGS_TO → Category [POWR-BAT-CELL → POWR-BAT → POWR]</w:t>
      </w:r>
    </w:p>
    <w:p>
      <w:pPr>
        <w:pStyle w:val="ListParagraph"/>
        <w:numPr>
          <w:ilvl w:val="0"/>
          <w:numId w:val="16"/>
        </w:numPr>
        <w:spacing w:after="80" w:line="280"/>
      </w:pPr>
      <w:r>
        <w:rPr>
          <w:rFonts w:ascii="Arial" w:cs="Arial" w:eastAsia="Arial" w:hAnsi="Arial"/>
          <w:sz w:val="21"/>
          <w:szCs w:val="21"/>
        </w:rPr>
        <w:t xml:space="preserve">Expand 1 hop: AVAILABLE_AT → Plants [MY01]</w:t>
      </w:r>
    </w:p>
    <w:p>
      <w:pPr>
        <w:pStyle w:val="ListParagraph"/>
        <w:numPr>
          <w:ilvl w:val="0"/>
          <w:numId w:val="16"/>
        </w:numPr>
        <w:spacing w:after="80" w:line="280"/>
      </w:pPr>
      <w:r>
        <w:rPr>
          <w:rFonts w:ascii="Arial" w:cs="Arial" w:eastAsia="Arial" w:hAnsi="Arial"/>
          <w:sz w:val="21"/>
          <w:szCs w:val="21"/>
        </w:rPr>
        <w:t xml:space="preserve">Expand from Vendors: CONTRACTED_WITH → Contracts</w:t>
      </w:r>
    </w:p>
    <w:p>
      <w:pPr>
        <w:pStyle w:val="ListParagraph"/>
        <w:numPr>
          <w:ilvl w:val="0"/>
          <w:numId w:val="16"/>
        </w:numPr>
        <w:spacing w:after="80" w:line="280"/>
      </w:pPr>
      <w:r>
        <w:rPr>
          <w:rFonts w:ascii="Arial" w:cs="Arial" w:eastAsia="Arial" w:hAnsi="Arial"/>
          <w:sz w:val="21"/>
          <w:szCs w:val="21"/>
        </w:rPr>
        <w:t xml:space="preserve">Expand from Vendors: OPERATES_AS (reverse) → LegalEntity</w:t>
      </w:r>
    </w:p>
    <w:p>
      <w:pPr>
        <w:pStyle w:val="ListParagraph"/>
        <w:numPr>
          <w:ilvl w:val="0"/>
          <w:numId w:val="16"/>
        </w:numPr>
        <w:spacing w:after="80" w:line="280"/>
      </w:pPr>
      <w:r>
        <w:rPr>
          <w:rFonts w:ascii="Arial" w:cs="Arial" w:eastAsia="Arial" w:hAnsi="Arial"/>
          <w:sz w:val="21"/>
          <w:szCs w:val="21"/>
        </w:rPr>
        <w:t xml:space="preserve">Expand from Vendors: POs + GRs (transactional context)</w:t>
      </w:r>
    </w:p>
    <w:p>
      <w:pPr>
        <w:pStyle w:val="ListParagraph"/>
        <w:numPr>
          <w:ilvl w:val="0"/>
          <w:numId w:val="16"/>
        </w:numPr>
        <w:spacing w:after="80" w:line="280"/>
      </w:pPr>
      <w:r>
        <w:rPr>
          <w:rFonts w:ascii="Arial" w:cs="Arial" w:eastAsia="Arial" w:hAnsi="Arial"/>
          <w:sz w:val="21"/>
          <w:szCs w:val="21"/>
        </w:rPr>
        <w:t xml:space="preserve">Output: Complete subgraph with all relationships, rendered as structured context for LLM reasoning</w:t>
      </w:r>
    </w:p>
    <w:p>
      <w:pPr>
        <w:spacing w:after="60"/>
      </w:pPr>
    </w:p>
    <w:p>
      <w:pPr>
        <w:spacing w:after="140" w:line="300"/>
      </w:pPr>
      <w:r>
        <w:rPr>
          <w:rFonts w:ascii="Arial" w:cs="Arial" w:eastAsia="Arial" w:hAnsi="Arial"/>
          <w:sz w:val="21"/>
          <w:szCs w:val="21"/>
        </w:rPr>
        <w:t xml:space="preserve">Subgraph extraction is powerful because it gives the LLM all the context it needs in a single tool call result, rather than requiring sequential multi-hop queries. The LLM can then reason over the full subgraph to answer complex questions.</w:t>
      </w:r>
    </w:p>
    <w:p>
      <w:r>
        <w:br w:type="page"/>
      </w:r>
    </w:p>
    <w:p>
      <w:pPr>
        <w:spacing w:before="200" w:after="120"/>
      </w:pPr>
      <w:r>
        <w:rPr>
          <w:rFonts w:ascii="Arial" w:cs="Arial" w:eastAsia="Arial" w:hAnsi="Arial"/>
          <w:b/>
          <w:bCs/>
          <w:color w:val="2874A6"/>
          <w:sz w:val="22"/>
          <w:szCs w:val="22"/>
        </w:rPr>
        <w:t xml:space="preserve">Pattern 6: Path Finding</w:t>
      </w:r>
    </w:p>
    <w:p>
      <w:pPr>
        <w:spacing w:after="140" w:line="300"/>
      </w:pPr>
      <w:r>
        <w:rPr>
          <w:rFonts w:ascii="Arial" w:cs="Arial" w:eastAsia="Arial" w:hAnsi="Arial"/>
          <w:sz w:val="21"/>
          <w:szCs w:val="21"/>
        </w:rPr>
        <w:t xml:space="preserve">Find the shortest or all paths between two entities to understand their relationship.</w:t>
      </w:r>
    </w:p>
    <w:p>
      <w:pPr>
        <w:spacing w:after="60"/>
      </w:pPr>
    </w:p>
    <w:p>
      <w:pPr>
        <w:spacing w:after="140" w:line="300"/>
      </w:pPr>
      <w:r>
        <w:rPr>
          <w:rFonts w:ascii="Arial" w:cs="Arial" w:eastAsia="Arial" w:hAnsi="Arial"/>
          <w:b/>
          <w:bCs/>
          <w:i/>
          <w:iCs/>
          <w:sz w:val="21"/>
          <w:szCs w:val="21"/>
        </w:rPr>
        <w:t xml:space="preserve">Query: "How is this payment connected to the LiDAR contract?"</w:t>
      </w:r>
    </w:p>
    <w:p>
      <w:pPr>
        <w:pStyle w:val="ListParagraph"/>
        <w:numPr>
          <w:ilvl w:val="0"/>
          <w:numId w:val="17"/>
        </w:numPr>
        <w:spacing w:after="80" w:line="280"/>
      </w:pPr>
      <w:r>
        <w:rPr>
          <w:rFonts w:ascii="Arial" w:cs="Arial" w:eastAsia="Arial" w:hAnsi="Arial"/>
          <w:sz w:val="21"/>
          <w:szCs w:val="21"/>
        </w:rPr>
        <w:t xml:space="preserve">Start: Payment(PAY-000015)</w:t>
      </w:r>
    </w:p>
    <w:p>
      <w:pPr>
        <w:pStyle w:val="ListParagraph"/>
        <w:numPr>
          <w:ilvl w:val="0"/>
          <w:numId w:val="17"/>
        </w:numPr>
        <w:spacing w:after="80" w:line="280"/>
      </w:pPr>
      <w:r>
        <w:rPr>
          <w:rFonts w:ascii="Arial" w:cs="Arial" w:eastAsia="Arial" w:hAnsi="Arial"/>
          <w:sz w:val="21"/>
          <w:szCs w:val="21"/>
        </w:rPr>
        <w:t xml:space="preserve">Find path to: Contract(CTR-HOKUYO-2025-01)</w:t>
      </w:r>
    </w:p>
    <w:p>
      <w:pPr>
        <w:pStyle w:val="ListParagraph"/>
        <w:numPr>
          <w:ilvl w:val="0"/>
          <w:numId w:val="17"/>
        </w:numPr>
        <w:spacing w:after="80" w:line="280"/>
      </w:pPr>
      <w:r>
        <w:rPr>
          <w:rFonts w:ascii="Arial" w:cs="Arial" w:eastAsia="Arial" w:hAnsi="Arial"/>
          <w:sz w:val="21"/>
          <w:szCs w:val="21"/>
        </w:rPr>
        <w:t xml:space="preserve">Path: Payment → SETTLES → Invoice → INVOICES → PO → POLineItem → REFERENCES_CONTRACT → ContractItem → PART_OF → Contract</w:t>
      </w:r>
    </w:p>
    <w:p>
      <w:pPr>
        <w:pStyle w:val="ListParagraph"/>
        <w:numPr>
          <w:ilvl w:val="0"/>
          <w:numId w:val="17"/>
        </w:numPr>
        <w:spacing w:after="80" w:line="280"/>
      </w:pPr>
      <w:r>
        <w:rPr>
          <w:rFonts w:ascii="Arial" w:cs="Arial" w:eastAsia="Arial" w:hAnsi="Arial"/>
          <w:sz w:val="21"/>
          <w:szCs w:val="21"/>
        </w:rPr>
        <w:t xml:space="preserve">Output: Full chain explaining how the payment traces back to the LiDAR contract, with amounts and dates at each step</w:t>
      </w:r>
    </w:p>
    <w:p>
      <w:pPr>
        <w:spacing w:after="100"/>
      </w:pPr>
    </w:p>
    <w:p>
      <w:pPr>
        <w:spacing w:before="200" w:after="120"/>
      </w:pPr>
      <w:r>
        <w:rPr>
          <w:rFonts w:ascii="Arial" w:cs="Arial" w:eastAsia="Arial" w:hAnsi="Arial"/>
          <w:b/>
          <w:bCs/>
          <w:color w:val="2874A6"/>
          <w:sz w:val="22"/>
          <w:szCs w:val="22"/>
        </w:rPr>
        <w:t xml:space="preserve">Pattern 7: Conditional Traversal with Guardrails</w:t>
      </w:r>
    </w:p>
    <w:p>
      <w:pPr>
        <w:spacing w:after="140" w:line="300"/>
      </w:pPr>
      <w:r>
        <w:rPr>
          <w:rFonts w:ascii="Arial" w:cs="Arial" w:eastAsia="Arial" w:hAnsi="Arial"/>
          <w:sz w:val="21"/>
          <w:szCs w:val="21"/>
        </w:rPr>
        <w:t xml:space="preserve">Traverse the graph but enforce confidentiality tier checks at every hop, suppressing or masking data that the current user’s role does not permit.</w:t>
      </w:r>
    </w:p>
    <w:p>
      <w:pPr>
        <w:spacing w:after="60"/>
      </w:pPr>
    </w:p>
    <w:p>
      <w:pPr>
        <w:spacing w:after="140" w:line="300"/>
      </w:pPr>
      <w:r>
        <w:rPr>
          <w:rFonts w:ascii="Arial" w:cs="Arial" w:eastAsia="Arial" w:hAnsi="Arial"/>
          <w:b/>
          <w:bCs/>
          <w:i/>
          <w:iCs/>
          <w:sz w:val="21"/>
          <w:szCs w:val="21"/>
        </w:rPr>
        <w:t xml:space="preserve">Query (by PROCUREMENT_VIEWER): "Who supplies our BMS modules and at what price?"</w:t>
      </w:r>
    </w:p>
    <w:p>
      <w:pPr>
        <w:pStyle w:val="ListParagraph"/>
        <w:numPr>
          <w:ilvl w:val="0"/>
          <w:numId w:val="18"/>
        </w:numPr>
        <w:spacing w:after="80" w:line="280"/>
      </w:pPr>
      <w:r>
        <w:rPr>
          <w:rFonts w:ascii="Arial" w:cs="Arial" w:eastAsia="Arial" w:hAnsi="Arial"/>
          <w:sz w:val="21"/>
          <w:szCs w:val="21"/>
        </w:rPr>
        <w:t xml:space="preserve">Start: Material(BMS-MAIN) [confidentiality_tier = RESTRICTED]</w:t>
      </w:r>
    </w:p>
    <w:p>
      <w:pPr>
        <w:pStyle w:val="ListParagraph"/>
        <w:numPr>
          <w:ilvl w:val="0"/>
          <w:numId w:val="18"/>
        </w:numPr>
        <w:spacing w:after="80" w:line="280"/>
      </w:pPr>
      <w:r>
        <w:rPr>
          <w:rFonts w:ascii="Arial" w:cs="Arial" w:eastAsia="Arial" w:hAnsi="Arial"/>
          <w:sz w:val="21"/>
          <w:szCs w:val="21"/>
        </w:rPr>
        <w:t xml:space="preserve">RBAC check: User role PROCUREMENT_VIEWER — can access INTERNAL and PUBLIC, not RESTRICTED</w:t>
      </w:r>
    </w:p>
    <w:p>
      <w:pPr>
        <w:pStyle w:val="ListParagraph"/>
        <w:numPr>
          <w:ilvl w:val="0"/>
          <w:numId w:val="18"/>
        </w:numPr>
        <w:spacing w:after="80" w:line="280"/>
      </w:pPr>
      <w:r>
        <w:rPr>
          <w:rFonts w:ascii="Arial" w:cs="Arial" w:eastAsia="Arial" w:hAnsi="Arial"/>
          <w:sz w:val="21"/>
          <w:szCs w:val="21"/>
        </w:rPr>
        <w:t xml:space="preserve">Hop 1: SUPPLIES (reverse) → SourceRelationship edges [one INTERNAL, one RESTRICTED]</w:t>
      </w:r>
    </w:p>
    <w:p>
      <w:pPr>
        <w:pStyle w:val="ListParagraph"/>
        <w:numPr>
          <w:ilvl w:val="0"/>
          <w:numId w:val="18"/>
        </w:numPr>
        <w:spacing w:after="80" w:line="280"/>
      </w:pPr>
      <w:r>
        <w:rPr>
          <w:rFonts w:ascii="Arial" w:cs="Arial" w:eastAsia="Arial" w:hAnsi="Arial"/>
          <w:sz w:val="21"/>
          <w:szCs w:val="21"/>
        </w:rPr>
        <w:t xml:space="preserve">Filter: Suppress the RESTRICTED source list entry. Return only the INTERNAL one.</w:t>
      </w:r>
    </w:p>
    <w:p>
      <w:pPr>
        <w:pStyle w:val="ListParagraph"/>
        <w:numPr>
          <w:ilvl w:val="0"/>
          <w:numId w:val="18"/>
        </w:numPr>
        <w:spacing w:after="80" w:line="280"/>
      </w:pPr>
      <w:r>
        <w:rPr>
          <w:rFonts w:ascii="Arial" w:cs="Arial" w:eastAsia="Arial" w:hAnsi="Arial"/>
          <w:sz w:val="21"/>
          <w:szCs w:val="21"/>
        </w:rPr>
        <w:t xml:space="preserve">Hop 2: For the visible vendor → CONTRACTED_WITH → Contract [confidentiality_tier = RESTRICTED]</w:t>
      </w:r>
    </w:p>
    <w:p>
      <w:pPr>
        <w:pStyle w:val="ListParagraph"/>
        <w:numPr>
          <w:ilvl w:val="0"/>
          <w:numId w:val="18"/>
        </w:numPr>
        <w:spacing w:after="80" w:line="280"/>
      </w:pPr>
      <w:r>
        <w:rPr>
          <w:rFonts w:ascii="Arial" w:cs="Arial" w:eastAsia="Arial" w:hAnsi="Arial"/>
          <w:sz w:val="21"/>
          <w:szCs w:val="21"/>
        </w:rPr>
        <w:t xml:space="preserve">Filter: Contract is RESTRICTED → suppress agreed_price. Return contract existence but not pricing.</w:t>
      </w:r>
    </w:p>
    <w:p>
      <w:pPr>
        <w:pStyle w:val="ListParagraph"/>
        <w:numPr>
          <w:ilvl w:val="0"/>
          <w:numId w:val="18"/>
        </w:numPr>
        <w:spacing w:after="80" w:line="280"/>
      </w:pPr>
      <w:r>
        <w:rPr>
          <w:rFonts w:ascii="Arial" w:cs="Arial" w:eastAsia="Arial" w:hAnsi="Arial"/>
          <w:sz w:val="21"/>
          <w:szCs w:val="21"/>
        </w:rPr>
        <w:t xml:space="preserve">Output: “BMS-MAIN is supplied by [Vendor A]. A contract exists but pricing details are restricted for your role. 1 additional source is restricted.”</w:t>
      </w:r>
    </w:p>
    <w:p>
      <w:pPr>
        <w:spacing w:after="60"/>
      </w:pPr>
    </w:p>
    <w:p>
      <w:pPr>
        <w:spacing w:after="140" w:line="300"/>
      </w:pPr>
      <w:r>
        <w:rPr>
          <w:rFonts w:ascii="Arial" w:cs="Arial" w:eastAsia="Arial" w:hAnsi="Arial"/>
          <w:sz w:val="21"/>
          <w:szCs w:val="21"/>
        </w:rPr>
        <w:t xml:space="preserve">The observability dashboard logs each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2200"/>
        <w:gridCol w:w="2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Hop</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Role</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 BMS-MAIN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RESTRICTED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PROCUREMENT_VIEWER</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Allow node access (material description is non-sensitive)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SourceList entry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PROCUREMENT_VIEWER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ALLOW — return vendor, lead time, approval status</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SourceList entry 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RESTRICTED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PROCUREMENT_VIEWER</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SUPPRESS — do not reveal vendor or relationship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 CTR-BMS-2025-01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RESTRICTED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PROCUREMENT_VIEWER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PARTIAL — reveal existence, mask agreed_price</w:t>
            </w:r>
          </w:p>
        </w:tc>
      </w:tr>
    </w:tbl>
    <w:p>
      <w:r>
        <w:br w:type="page"/>
      </w:r>
    </w:p>
    <w:p>
      <w:pPr>
        <w:pStyle w:val="Heading2"/>
        <w:spacing w:before="280" w:after="160"/>
      </w:pPr>
      <w:r>
        <w:rPr>
          <w:rFonts w:ascii="Arial" w:cs="Arial" w:eastAsia="Arial" w:hAnsi="Arial"/>
          <w:b/>
          <w:bCs/>
          <w:color w:val="2E86C1"/>
          <w:sz w:val="26"/>
          <w:szCs w:val="26"/>
        </w:rPr>
        <w:t xml:space="preserve">C6.5 Graph Search Algorithms</w:t>
      </w:r>
    </w:p>
    <w:p>
      <w:pPr>
        <w:spacing w:after="140" w:line="300"/>
      </w:pPr>
      <w:r>
        <w:rPr>
          <w:rFonts w:ascii="Arial" w:cs="Arial" w:eastAsia="Arial" w:hAnsi="Arial"/>
          <w:sz w:val="21"/>
          <w:szCs w:val="21"/>
        </w:rPr>
        <w:t xml:space="preserve">Beyond simple traversal patterns, the graph supports several algorithmic search approaches that enable sophisticated procurement analytics:</w:t>
      </w:r>
    </w:p>
    <w:p>
      <w:pPr>
        <w:spacing w:after="80"/>
      </w:pPr>
    </w:p>
    <w:p>
      <w:pPr>
        <w:spacing w:before="200" w:after="120"/>
      </w:pPr>
      <w:r>
        <w:rPr>
          <w:rFonts w:ascii="Arial" w:cs="Arial" w:eastAsia="Arial" w:hAnsi="Arial"/>
          <w:b/>
          <w:bCs/>
          <w:color w:val="2874A6"/>
          <w:sz w:val="22"/>
          <w:szCs w:val="22"/>
        </w:rPr>
        <w:t xml:space="preserve">Breadth-First Search (BFS): Impact Analysis</w:t>
      </w:r>
    </w:p>
    <w:p>
      <w:pPr>
        <w:spacing w:after="140" w:line="300"/>
      </w:pPr>
      <w:r>
        <w:rPr>
          <w:rFonts w:ascii="Arial" w:cs="Arial" w:eastAsia="Arial" w:hAnsi="Arial"/>
          <w:sz w:val="21"/>
          <w:szCs w:val="21"/>
        </w:rPr>
        <w:t xml:space="preserve">BFS explores all nodes at distance 1 before moving to distance 2, then distance 3, and so on. This is ideal for impact analysis: “If Vendor X fails, what is affected?”</w:t>
      </w:r>
    </w:p>
    <w:p>
      <w:pPr>
        <w:spacing w:after="60"/>
      </w:pPr>
    </w:p>
    <w:p>
      <w:pPr>
        <w:spacing w:after="140" w:line="300"/>
      </w:pPr>
      <w:r>
        <w:rPr>
          <w:rFonts w:ascii="Arial" w:cs="Arial" w:eastAsia="Arial" w:hAnsi="Arial"/>
          <w:b/>
          <w:bCs/>
          <w:sz w:val="21"/>
          <w:szCs w:val="21"/>
        </w:rPr>
        <w:t xml:space="preserve">Use case: Vendor failure impact assessment</w:t>
      </w:r>
    </w:p>
    <w:p>
      <w:pPr>
        <w:spacing w:after="140" w:line="300"/>
      </w:pPr>
      <w:r>
        <w:rPr>
          <w:rFonts w:ascii="Arial" w:cs="Arial" w:eastAsia="Arial" w:hAnsi="Arial"/>
          <w:sz w:val="21"/>
          <w:szCs w:val="21"/>
        </w:rPr>
        <w:t xml:space="preserve">Start at Vendor(HOKUYO-JP). BFS expands:</w:t>
      </w:r>
    </w:p>
    <w:p>
      <w:pPr>
        <w:pStyle w:val="ListParagraph"/>
        <w:numPr>
          <w:ilvl w:val="0"/>
          <w:numId w:val="19"/>
        </w:numPr>
        <w:spacing w:after="80" w:line="280"/>
      </w:pPr>
      <w:r>
        <w:rPr>
          <w:rFonts w:ascii="Arial" w:cs="Arial" w:eastAsia="Arial" w:hAnsi="Arial"/>
          <w:sz w:val="21"/>
          <w:szCs w:val="21"/>
        </w:rPr>
        <w:t xml:space="preserve">Distance 1: All materials supplied by Hokuyo (via SUPPLIES edges)</w:t>
      </w:r>
    </w:p>
    <w:p>
      <w:pPr>
        <w:pStyle w:val="ListParagraph"/>
        <w:numPr>
          <w:ilvl w:val="0"/>
          <w:numId w:val="19"/>
        </w:numPr>
        <w:spacing w:after="80" w:line="280"/>
      </w:pPr>
      <w:r>
        <w:rPr>
          <w:rFonts w:ascii="Arial" w:cs="Arial" w:eastAsia="Arial" w:hAnsi="Arial"/>
          <w:sz w:val="21"/>
          <w:szCs w:val="21"/>
        </w:rPr>
        <w:t xml:space="preserve">Distance 2: All plants where those materials are stocked (via AVAILABLE_AT edges)</w:t>
      </w:r>
    </w:p>
    <w:p>
      <w:pPr>
        <w:pStyle w:val="ListParagraph"/>
        <w:numPr>
          <w:ilvl w:val="0"/>
          <w:numId w:val="19"/>
        </w:numPr>
        <w:spacing w:after="80" w:line="280"/>
      </w:pPr>
      <w:r>
        <w:rPr>
          <w:rFonts w:ascii="Arial" w:cs="Arial" w:eastAsia="Arial" w:hAnsi="Arial"/>
          <w:sz w:val="21"/>
          <w:szCs w:val="21"/>
        </w:rPr>
        <w:t xml:space="preserve">Distance 2: All contracts affected (via CONTRACTED_WITH edges)</w:t>
      </w:r>
    </w:p>
    <w:p>
      <w:pPr>
        <w:pStyle w:val="ListParagraph"/>
        <w:numPr>
          <w:ilvl w:val="0"/>
          <w:numId w:val="19"/>
        </w:numPr>
        <w:spacing w:after="80" w:line="280"/>
      </w:pPr>
      <w:r>
        <w:rPr>
          <w:rFonts w:ascii="Arial" w:cs="Arial" w:eastAsia="Arial" w:hAnsi="Arial"/>
          <w:sz w:val="21"/>
          <w:szCs w:val="21"/>
        </w:rPr>
        <w:t xml:space="preserve">Distance 3: All open POs referencing those contracts (via REFERENCES_CONTRACT reverse)</w:t>
      </w:r>
    </w:p>
    <w:p>
      <w:pPr>
        <w:pStyle w:val="ListParagraph"/>
        <w:numPr>
          <w:ilvl w:val="0"/>
          <w:numId w:val="19"/>
        </w:numPr>
        <w:spacing w:after="80" w:line="280"/>
      </w:pPr>
      <w:r>
        <w:rPr>
          <w:rFonts w:ascii="Arial" w:cs="Arial" w:eastAsia="Arial" w:hAnsi="Arial"/>
          <w:sz w:val="21"/>
          <w:szCs w:val="21"/>
        </w:rPr>
        <w:t xml:space="preserve">Distance 3: Category rollup of affected materials (via BELONGS_TO edges)</w:t>
      </w:r>
    </w:p>
    <w:p>
      <w:pPr>
        <w:spacing w:after="60"/>
      </w:pPr>
    </w:p>
    <w:p>
      <w:pPr>
        <w:spacing w:after="140" w:line="300"/>
      </w:pPr>
      <w:r>
        <w:rPr>
          <w:rFonts w:ascii="Arial" w:cs="Arial" w:eastAsia="Arial" w:hAnsi="Arial"/>
          <w:sz w:val="21"/>
          <w:szCs w:val="21"/>
        </w:rPr>
        <w:t xml:space="preserve">The BFS result is a layered impact report: direct material impact, plant exposure, contract exposure, and open order exposure. Each layer adds context for the AI’s explanation.</w:t>
      </w:r>
    </w:p>
    <w:p>
      <w:pPr>
        <w:spacing w:after="100"/>
      </w:pPr>
    </w:p>
    <w:p>
      <w:pPr>
        <w:spacing w:before="200" w:after="120"/>
      </w:pPr>
      <w:r>
        <w:rPr>
          <w:rFonts w:ascii="Arial" w:cs="Arial" w:eastAsia="Arial" w:hAnsi="Arial"/>
          <w:b/>
          <w:bCs/>
          <w:color w:val="2874A6"/>
          <w:sz w:val="22"/>
          <w:szCs w:val="22"/>
        </w:rPr>
        <w:t xml:space="preserve">Depth-First Search (DFS): Root Cause Tracing</w:t>
      </w:r>
    </w:p>
    <w:p>
      <w:pPr>
        <w:spacing w:after="140" w:line="300"/>
      </w:pPr>
      <w:r>
        <w:rPr>
          <w:rFonts w:ascii="Arial" w:cs="Arial" w:eastAsia="Arial" w:hAnsi="Arial"/>
          <w:sz w:val="21"/>
          <w:szCs w:val="21"/>
        </w:rPr>
        <w:t xml:space="preserve">DFS follows a single path as deep as possible before backtracking. This is ideal for root cause analysis: start from a symptom and trace backward to the origin.</w:t>
      </w:r>
    </w:p>
    <w:p>
      <w:pPr>
        <w:spacing w:after="60"/>
      </w:pPr>
    </w:p>
    <w:p>
      <w:pPr>
        <w:spacing w:after="140" w:line="300"/>
      </w:pPr>
      <w:r>
        <w:rPr>
          <w:rFonts w:ascii="Arial" w:cs="Arial" w:eastAsia="Arial" w:hAnsi="Arial"/>
          <w:b/>
          <w:bCs/>
          <w:sz w:val="21"/>
          <w:szCs w:val="21"/>
        </w:rPr>
        <w:t xml:space="preserve">Use case: Why is production delayed?</w:t>
      </w:r>
    </w:p>
    <w:p>
      <w:pPr>
        <w:spacing w:after="140" w:line="300"/>
      </w:pPr>
      <w:r>
        <w:rPr>
          <w:rFonts w:ascii="Arial" w:cs="Arial" w:eastAsia="Arial" w:hAnsi="Arial"/>
          <w:sz w:val="21"/>
          <w:szCs w:val="21"/>
        </w:rPr>
        <w:t xml:space="preserve">Start at Plant(MY01) with a “material shortage” signal. DFS traces:</w:t>
      </w:r>
    </w:p>
    <w:p>
      <w:pPr>
        <w:pStyle w:val="ListParagraph"/>
        <w:numPr>
          <w:ilvl w:val="0"/>
          <w:numId w:val="3"/>
        </w:numPr>
        <w:spacing w:after="80" w:line="280"/>
      </w:pPr>
      <w:r>
        <w:rPr>
          <w:rFonts w:ascii="Arial" w:cs="Arial" w:eastAsia="Arial" w:hAnsi="Arial"/>
          <w:sz w:val="21"/>
          <w:szCs w:val="21"/>
        </w:rPr>
        <w:t xml:space="preserve">MY01 → Material(LIDAR-2D-HOKUYO, below reorder point) → open PO? → yes, PO-000042</w:t>
      </w:r>
    </w:p>
    <w:p>
      <w:pPr>
        <w:pStyle w:val="ListParagraph"/>
        <w:numPr>
          <w:ilvl w:val="0"/>
          <w:numId w:val="3"/>
        </w:numPr>
        <w:spacing w:after="80" w:line="280"/>
      </w:pPr>
      <w:r>
        <w:rPr>
          <w:rFonts w:ascii="Arial" w:cs="Arial" w:eastAsia="Arial" w:hAnsi="Arial"/>
          <w:sz w:val="21"/>
          <w:szCs w:val="21"/>
        </w:rPr>
        <w:t xml:space="preserve">PO-000042 → GR? → no GR yet → check requested_delivery_date → 3 days overdue</w:t>
      </w:r>
    </w:p>
    <w:p>
      <w:pPr>
        <w:pStyle w:val="ListParagraph"/>
        <w:numPr>
          <w:ilvl w:val="0"/>
          <w:numId w:val="3"/>
        </w:numPr>
        <w:spacing w:after="80" w:line="280"/>
      </w:pPr>
      <w:r>
        <w:rPr>
          <w:rFonts w:ascii="Arial" w:cs="Arial" w:eastAsia="Arial" w:hAnsi="Arial"/>
          <w:sz w:val="21"/>
          <w:szCs w:val="21"/>
        </w:rPr>
        <w:t xml:space="preserve">PO-000042 → Vendor(HOKUYO-JP) → recent OTD trend → declining (88% → 84%)</w:t>
      </w:r>
    </w:p>
    <w:p>
      <w:pPr>
        <w:pStyle w:val="ListParagraph"/>
        <w:numPr>
          <w:ilvl w:val="0"/>
          <w:numId w:val="3"/>
        </w:numPr>
        <w:spacing w:after="80" w:line="280"/>
      </w:pPr>
      <w:r>
        <w:rPr>
          <w:rFonts w:ascii="Arial" w:cs="Arial" w:eastAsia="Arial" w:hAnsi="Arial"/>
          <w:sz w:val="21"/>
          <w:szCs w:val="21"/>
        </w:rPr>
        <w:t xml:space="preserve">Hokuyo → country(JP) → any recent disruption signals? (external data if available)</w:t>
      </w:r>
    </w:p>
    <w:p>
      <w:pPr>
        <w:spacing w:after="60"/>
      </w:pPr>
    </w:p>
    <w:p>
      <w:pPr>
        <w:spacing w:after="140" w:line="300"/>
      </w:pPr>
      <w:r>
        <w:rPr>
          <w:rFonts w:ascii="Arial" w:cs="Arial" w:eastAsia="Arial" w:hAnsi="Arial"/>
          <w:sz w:val="21"/>
          <w:szCs w:val="21"/>
        </w:rPr>
        <w:t xml:space="preserve">DFS produces a narrative chain: shortage → overdue PO → vendor delivery performance decline → potential geographic disruption.</w:t>
      </w:r>
    </w:p>
    <w:p>
      <w:pPr>
        <w:spacing w:after="100"/>
      </w:pPr>
    </w:p>
    <w:p>
      <w:pPr>
        <w:spacing w:before="200" w:after="120"/>
      </w:pPr>
      <w:r>
        <w:rPr>
          <w:rFonts w:ascii="Arial" w:cs="Arial" w:eastAsia="Arial" w:hAnsi="Arial"/>
          <w:b/>
          <w:bCs/>
          <w:color w:val="2874A6"/>
          <w:sz w:val="22"/>
          <w:szCs w:val="22"/>
        </w:rPr>
        <w:t xml:space="preserve">Weighted Shortest Path: Risk Propagation</w:t>
      </w:r>
    </w:p>
    <w:p>
      <w:pPr>
        <w:spacing w:after="140" w:line="300"/>
      </w:pPr>
      <w:r>
        <w:rPr>
          <w:rFonts w:ascii="Arial" w:cs="Arial" w:eastAsia="Arial" w:hAnsi="Arial"/>
          <w:sz w:val="21"/>
          <w:szCs w:val="21"/>
        </w:rPr>
        <w:t xml:space="preserve">Assign weights to edges based on risk factors and find the paths where risk accumulates most.</w:t>
      </w:r>
    </w:p>
    <w:p>
      <w:pPr>
        <w:spacing w:after="60"/>
      </w:pPr>
    </w:p>
    <w:p>
      <w:pPr>
        <w:spacing w:after="140" w:line="300"/>
      </w:pPr>
      <w:r>
        <w:rPr>
          <w:rFonts w:ascii="Arial" w:cs="Arial" w:eastAsia="Arial" w:hAnsi="Arial"/>
          <w:b/>
          <w:bCs/>
          <w:sz w:val="21"/>
          <w:szCs w:val="21"/>
        </w:rPr>
        <w:t xml:space="preserve">Use case: Which supply chains carry the most accumulated risk?</w:t>
      </w:r>
    </w:p>
    <w:p>
      <w:pPr>
        <w:spacing w:after="140" w:line="300"/>
      </w:pPr>
      <w:r>
        <w:rPr>
          <w:rFonts w:ascii="Arial" w:cs="Arial" w:eastAsia="Arial" w:hAnsi="Arial"/>
          <w:sz w:val="21"/>
          <w:szCs w:val="21"/>
        </w:rPr>
        <w:t xml:space="preserve">Edge weights represent risk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Edge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Weight Derivation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SUPPLIES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100 - vendor.quality_score + (lane_lead_time / 10)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Low quality + long lead time = heavy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AVAILABLE_AT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if single-source at this plant, 0 otherwise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Single-source adds risk weight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COVERS (contract)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Days until expiry / 365 (inverted: closer expiry = heavier)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Expiring contract adds weight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BELONGS_TO (category)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 (neutral — category does not add risk)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r>
    </w:tbl>
    <w:p>
      <w:pPr>
        <w:spacing w:after="60"/>
      </w:pPr>
    </w:p>
    <w:p>
      <w:pPr>
        <w:spacing w:after="140" w:line="300"/>
      </w:pPr>
      <w:r>
        <w:rPr>
          <w:rFonts w:ascii="Arial" w:cs="Arial" w:eastAsia="Arial" w:hAnsi="Arial"/>
          <w:sz w:val="21"/>
          <w:szCs w:val="21"/>
        </w:rPr>
        <w:t xml:space="preserve">Finding the highest-weight path from Plant(MY01) to LegalEntity reveals which supplier relationships carry the most accumulated risk across quality, lead time, single-source concentration, and contract health.</w:t>
      </w:r>
    </w:p>
    <w:p>
      <w:pPr>
        <w:spacing w:after="100"/>
      </w:pPr>
    </w:p>
    <w:p>
      <w:pPr>
        <w:spacing w:before="200" w:after="120"/>
      </w:pPr>
      <w:r>
        <w:rPr>
          <w:rFonts w:ascii="Arial" w:cs="Arial" w:eastAsia="Arial" w:hAnsi="Arial"/>
          <w:b/>
          <w:bCs/>
          <w:color w:val="2874A6"/>
          <w:sz w:val="22"/>
          <w:szCs w:val="22"/>
        </w:rPr>
        <w:t xml:space="preserve">Neighborhood Aggregation: Spend Analysis</w:t>
      </w:r>
    </w:p>
    <w:p>
      <w:pPr>
        <w:spacing w:after="140" w:line="300"/>
      </w:pPr>
      <w:r>
        <w:rPr>
          <w:rFonts w:ascii="Arial" w:cs="Arial" w:eastAsia="Arial" w:hAnsi="Arial"/>
          <w:sz w:val="21"/>
          <w:szCs w:val="21"/>
        </w:rPr>
        <w:t xml:space="preserve">Aggregate a numeric property across all nodes within N hops of a starting node.</w:t>
      </w:r>
    </w:p>
    <w:p>
      <w:pPr>
        <w:spacing w:after="60"/>
      </w:pPr>
    </w:p>
    <w:p>
      <w:pPr>
        <w:spacing w:after="140" w:line="300"/>
      </w:pPr>
      <w:r>
        <w:rPr>
          <w:rFonts w:ascii="Arial" w:cs="Arial" w:eastAsia="Arial" w:hAnsi="Arial"/>
          <w:b/>
          <w:bCs/>
          <w:sz w:val="21"/>
          <w:szCs w:val="21"/>
        </w:rPr>
        <w:t xml:space="preserve">Use case: Total spend exposure by vendor, including aliases</w:t>
      </w:r>
    </w:p>
    <w:p>
      <w:pPr>
        <w:pStyle w:val="ListParagraph"/>
        <w:numPr>
          <w:ilvl w:val="0"/>
          <w:numId w:val="4"/>
        </w:numPr>
        <w:spacing w:after="80" w:line="280"/>
      </w:pPr>
      <w:r>
        <w:rPr>
          <w:rFonts w:ascii="Arial" w:cs="Arial" w:eastAsia="Arial" w:hAnsi="Arial"/>
          <w:sz w:val="21"/>
          <w:szCs w:val="21"/>
        </w:rPr>
        <w:t xml:space="preserve">Start: LegalEntity(LE-NIDEC)</w:t>
      </w:r>
    </w:p>
    <w:p>
      <w:pPr>
        <w:pStyle w:val="ListParagraph"/>
        <w:numPr>
          <w:ilvl w:val="0"/>
          <w:numId w:val="4"/>
        </w:numPr>
        <w:spacing w:after="80" w:line="280"/>
      </w:pPr>
      <w:r>
        <w:rPr>
          <w:rFonts w:ascii="Arial" w:cs="Arial" w:eastAsia="Arial" w:hAnsi="Arial"/>
          <w:sz w:val="21"/>
          <w:szCs w:val="21"/>
        </w:rPr>
        <w:t xml:space="preserve">1 hop: All Vendor nodes (NIDEC-JP, NIDEC-MY)</w:t>
      </w:r>
    </w:p>
    <w:p>
      <w:pPr>
        <w:pStyle w:val="ListParagraph"/>
        <w:numPr>
          <w:ilvl w:val="0"/>
          <w:numId w:val="4"/>
        </w:numPr>
        <w:spacing w:after="80" w:line="280"/>
      </w:pPr>
      <w:r>
        <w:rPr>
          <w:rFonts w:ascii="Arial" w:cs="Arial" w:eastAsia="Arial" w:hAnsi="Arial"/>
          <w:sz w:val="21"/>
          <w:szCs w:val="21"/>
        </w:rPr>
        <w:t xml:space="preserve">2 hops: All POLineItems where PO.vendor_id is in the vendor set</w:t>
      </w:r>
    </w:p>
    <w:p>
      <w:pPr>
        <w:pStyle w:val="ListParagraph"/>
        <w:numPr>
          <w:ilvl w:val="0"/>
          <w:numId w:val="4"/>
        </w:numPr>
        <w:spacing w:after="80" w:line="280"/>
      </w:pPr>
      <w:r>
        <w:rPr>
          <w:rFonts w:ascii="Arial" w:cs="Arial" w:eastAsia="Arial" w:hAnsi="Arial"/>
          <w:sz w:val="21"/>
          <w:szCs w:val="21"/>
        </w:rPr>
        <w:t xml:space="preserve">Aggregate: SUM(net_value) across all PO line items, grouped by material category</w:t>
      </w:r>
    </w:p>
    <w:p>
      <w:pPr>
        <w:spacing w:after="60"/>
      </w:pPr>
    </w:p>
    <w:p>
      <w:pPr>
        <w:spacing w:after="140" w:line="300"/>
      </w:pPr>
      <w:r>
        <w:rPr>
          <w:rFonts w:ascii="Arial" w:cs="Arial" w:eastAsia="Arial" w:hAnsi="Arial"/>
          <w:sz w:val="21"/>
          <w:szCs w:val="21"/>
        </w:rPr>
        <w:t xml:space="preserve">This produces a consolidated spend report: “Nidec (all entities) — total spend $156K: Motors $98K, Gearboxes $42K, Encoders $16K.”</w:t>
      </w:r>
    </w:p>
    <w:p>
      <w:pPr>
        <w:spacing w:after="100"/>
      </w:pPr>
    </w:p>
    <w:p>
      <w:pPr>
        <w:spacing w:before="200" w:after="120"/>
      </w:pPr>
      <w:r>
        <w:rPr>
          <w:rFonts w:ascii="Arial" w:cs="Arial" w:eastAsia="Arial" w:hAnsi="Arial"/>
          <w:b/>
          <w:bCs/>
          <w:color w:val="2874A6"/>
          <w:sz w:val="22"/>
          <w:szCs w:val="22"/>
        </w:rPr>
        <w:t xml:space="preserve">Cycle Detection: Anomaly Identification</w:t>
      </w:r>
    </w:p>
    <w:p>
      <w:pPr>
        <w:spacing w:after="140" w:line="300"/>
      </w:pPr>
      <w:r>
        <w:rPr>
          <w:rFonts w:ascii="Arial" w:cs="Arial" w:eastAsia="Arial" w:hAnsi="Arial"/>
          <w:sz w:val="21"/>
          <w:szCs w:val="21"/>
        </w:rPr>
        <w:t xml:space="preserve">In a clean procurement graph, certain cycles should not exist. Detecting them reveals data quality issues or suspicious patterns.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Anomaly Cycle</w:t>
            </w:r>
          </w:p>
        </w:tc>
        <w:tc>
          <w:tcPr>
            <w:tcW w:type="dxa" w:w="4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 self-dealing</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 A → SUPPLIES → Material → SUPPLIES (reverse) → Vendor A (via different vendor_id but same legal_entity_id)</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Same legal entity appears as both supplier and competitor for the same material — may indicate alias confusion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Contract-PO mismatch loop</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 → COVERS → Material → ORDERS (reverse) → POLineItem → REFERENCES_CONTRACT → different Contract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 line references a different contract than the one covering that material — possible maverick</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Circular cost center charging</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CostCenter A → PR → PO → GR → charges back to CostCenter A for a service that CostCenter A provides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Possible internal billing anomaly</w:t>
            </w:r>
          </w:p>
        </w:tc>
      </w:tr>
    </w:tbl>
    <w:p>
      <w:r>
        <w:br w:type="page"/>
      </w:r>
    </w:p>
    <w:p>
      <w:pPr>
        <w:pStyle w:val="Heading2"/>
        <w:spacing w:before="280" w:after="160"/>
      </w:pPr>
      <w:r>
        <w:rPr>
          <w:rFonts w:ascii="Arial" w:cs="Arial" w:eastAsia="Arial" w:hAnsi="Arial"/>
          <w:b/>
          <w:bCs/>
          <w:color w:val="2E86C1"/>
          <w:sz w:val="26"/>
          <w:szCs w:val="26"/>
        </w:rPr>
        <w:t xml:space="preserve">C6.6 Tool-Based Retrieval: Mapping Graph Patterns to API Calls</w:t>
      </w:r>
    </w:p>
    <w:p>
      <w:pPr>
        <w:spacing w:after="140" w:line="300"/>
      </w:pPr>
      <w:r>
        <w:rPr>
          <w:rFonts w:ascii="Arial" w:cs="Arial" w:eastAsia="Arial" w:hAnsi="Arial"/>
          <w:sz w:val="21"/>
          <w:szCs w:val="21"/>
        </w:rPr>
        <w:t xml:space="preserve">The AI agent does not query the graph directly. It calls structured tools that execute graph patterns and return formatted results. Each tool maps to one or more graph traversal patterns. Below is the recommended tool catalog: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Graph Pattern Used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Input Parameters</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get_material_sources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Pattern 1 (single hop) + Pattern 7 (guardrails)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 or display_code, plant_id (optional), user_role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List of vendors with rank, lead time, approval status, contract coverage. Masked per confidentiality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get_vendor_exposure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Pattern 2 (multi-hop) + entity resolution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vendor_id or display_code or legal_entity_name, user_role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materials supplied, plant distribution, contract summary, alias consolidation. Masked per tier.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get_contract_status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Pattern 1 + time-based filtering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contract_id or vendor_id or material_id, user_role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 validity, consumption %, expiry countdown, line item details. Pricing masked if RESTRICTED.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get_category_spend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Pattern 4 (fan-out aggregation)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category_id, time_period, plant_id (optional), user_role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Aggregated PO spend rolled up to the requested category level. Restricted vendor spend omitted if unauthorized.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get_material_subgraph</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Pattern 5 (subgraph extraction)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 depth (default 2), user_role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Full neighborhood: vendors, contracts, plants, category path, recent POs, GRs. Confidentiality-filtered.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trace_document_chain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Pattern 6 (path finding)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document_id (PR/PO/GR/INV/PAY), direction (forward/backward), user_role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Ordered chain of linked documents with key attributes at each step. Masked fields noted.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assess_vendor_risk</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Pattern 2 + BFS impact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 user_role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Risk score, OTD trend, quality trend, single-source materials, expiring contracts, open PO exposure.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find_maverick_spend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Pattern 4 + conditional check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time_period, plant_id (optional), user_role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 with maverick_flag = TRUE, with comparison to preferred vendor pricing.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check_source_compliance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Pattern 7 (conditional traversal)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 vendor_id, plant_id, user_role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Whether this vendor is approved for this material at this plant, with status, rank, and contract coverage.</w:t>
            </w:r>
          </w:p>
        </w:tc>
      </w:tr>
    </w:tbl>
    <w:p>
      <w:pPr>
        <w:spacing w:after="80"/>
      </w:pPr>
    </w:p>
    <w:p>
      <w:pPr>
        <w:spacing w:after="140" w:line="300"/>
      </w:pPr>
      <w:r>
        <w:rPr>
          <w:rFonts w:ascii="Arial" w:cs="Arial" w:eastAsia="Arial" w:hAnsi="Arial"/>
          <w:sz w:val="21"/>
          <w:szCs w:val="21"/>
        </w:rPr>
        <w:t xml:space="preserve">Each tool call produces structured JSON that the GenAI Hub feeds to the LLM as context. The LLM then reasons over the structured data to produce a natural language response. The observability dashboard logs the tool name, input parameters, output summary, confidentiality decisions, and response time.</w:t>
      </w:r>
    </w:p>
    <w:p>
      <w:pPr>
        <w:spacing w:after="80"/>
      </w:pPr>
    </w:p>
    <w:p>
      <w:pPr>
        <w:pBdr>
          <w:left w:val="single" w:color="2E86C1" w:sz="8" w:space="8"/>
        </w:pBdr>
        <w:spacing w:before="100" w:after="160" w:line="280"/>
        <w:ind w:left="360" w:right="360"/>
      </w:pPr>
      <w:r>
        <w:rPr>
          <w:rFonts w:ascii="Arial" w:cs="Arial" w:eastAsia="Arial" w:hAnsi="Arial"/>
          <w:i/>
          <w:iCs/>
          <w:color w:val="1A5276"/>
          <w:sz w:val="20"/>
          <w:szCs w:val="20"/>
        </w:rPr>
        <w:t xml:space="preserve">The tool catalog should be kept deliberately small (8–12 tools). A larger catalog increases the LLM’s decision burden for tool selection. Each tool should be powerful enough to answer a class of questions, with parameters providing flexibility within that class.</w:t>
      </w:r>
    </w:p>
    <w:p>
      <w:r>
        <w:br w:type="page"/>
      </w:r>
    </w:p>
    <w:p>
      <w:pPr>
        <w:pStyle w:val="Heading2"/>
        <w:spacing w:before="280" w:after="160"/>
      </w:pPr>
      <w:r>
        <w:rPr>
          <w:rFonts w:ascii="Arial" w:cs="Arial" w:eastAsia="Arial" w:hAnsi="Arial"/>
          <w:b/>
          <w:bCs/>
          <w:color w:val="2E86C1"/>
          <w:sz w:val="26"/>
          <w:szCs w:val="26"/>
        </w:rPr>
        <w:t xml:space="preserve">C6.7 SAP HANA Cloud Graph Implementation Notes</w:t>
      </w:r>
    </w:p>
    <w:p>
      <w:pPr>
        <w:spacing w:after="140" w:line="300"/>
      </w:pPr>
      <w:r>
        <w:rPr>
          <w:rFonts w:ascii="Arial" w:cs="Arial" w:eastAsia="Arial" w:hAnsi="Arial"/>
          <w:sz w:val="21"/>
          <w:szCs w:val="21"/>
        </w:rPr>
        <w:t xml:space="preserve">SAP HANA Cloud provides native graph processing capabilities that map well to this design:</w:t>
      </w:r>
    </w:p>
    <w:p>
      <w:pPr>
        <w:spacing w:after="60"/>
      </w:pPr>
    </w:p>
    <w:p>
      <w:pPr>
        <w:spacing w:after="140" w:line="300"/>
      </w:pPr>
      <w:r>
        <w:rPr>
          <w:rFonts w:ascii="Arial" w:cs="Arial" w:eastAsia="Arial" w:hAnsi="Arial"/>
          <w:b/>
          <w:bCs/>
          <w:sz w:val="21"/>
          <w:szCs w:val="21"/>
        </w:rPr>
        <w:t xml:space="preserve">Graph Workspace: </w:t>
      </w:r>
      <w:r>
        <w:rPr>
          <w:rFonts w:ascii="Arial" w:cs="Arial" w:eastAsia="Arial" w:hAnsi="Arial"/>
          <w:sz w:val="21"/>
          <w:szCs w:val="21"/>
        </w:rPr>
        <w:t xml:space="preserve">Create a HANA Graph Workspace that maps the relational tables to a property graph. Each table becomes a vertex table or edge table. The workspace definition specifies which columns serve as vertex keys, edge sources, and edge targets.</w:t>
      </w:r>
    </w:p>
    <w:p>
      <w:pPr>
        <w:spacing w:after="60"/>
      </w:pPr>
    </w:p>
    <w:p>
      <w:pPr>
        <w:spacing w:after="140" w:line="300"/>
      </w:pPr>
      <w:r>
        <w:rPr>
          <w:rFonts w:ascii="Arial" w:cs="Arial" w:eastAsia="Arial" w:hAnsi="Arial"/>
          <w:b/>
          <w:bCs/>
          <w:sz w:val="21"/>
          <w:szCs w:val="21"/>
        </w:rPr>
        <w:t xml:space="preserve">Vertex Tables: </w:t>
      </w:r>
      <w:r>
        <w:rPr>
          <w:rFonts w:ascii="Arial" w:cs="Arial" w:eastAsia="Arial" w:hAnsi="Arial"/>
          <w:sz w:val="21"/>
          <w:szCs w:val="21"/>
        </w:rPr>
        <w:t xml:space="preserve">Map directly from master data and transactional tables. material_master becomes a vertex table with material_id as the key. vendor_master becomes a vertex table with vendor_id as the key. Vertex properties are the table columns.</w:t>
      </w:r>
    </w:p>
    <w:p>
      <w:pPr>
        <w:spacing w:after="60"/>
      </w:pPr>
    </w:p>
    <w:p>
      <w:pPr>
        <w:spacing w:after="140" w:line="300"/>
      </w:pPr>
      <w:r>
        <w:rPr>
          <w:rFonts w:ascii="Arial" w:cs="Arial" w:eastAsia="Arial" w:hAnsi="Arial"/>
          <w:b/>
          <w:bCs/>
          <w:sz w:val="21"/>
          <w:szCs w:val="21"/>
        </w:rPr>
        <w:t xml:space="preserve">Edge Tables: </w:t>
      </w:r>
      <w:r>
        <w:rPr>
          <w:rFonts w:ascii="Arial" w:cs="Arial" w:eastAsia="Arial" w:hAnsi="Arial"/>
          <w:sz w:val="21"/>
          <w:szCs w:val="21"/>
        </w:rPr>
        <w:t xml:space="preserve">The source_list table is the most important edge table — it connects Vendor vertices to Material vertices, scoped by Plant. contract_item connects Contract to Material. po_line_item connects PO to Material. Each row in an edge table represents one edge in the graph.</w:t>
      </w:r>
    </w:p>
    <w:p>
      <w:pPr>
        <w:spacing w:after="60"/>
      </w:pPr>
    </w:p>
    <w:p>
      <w:pPr>
        <w:spacing w:after="140" w:line="300"/>
      </w:pPr>
      <w:r>
        <w:rPr>
          <w:rFonts w:ascii="Arial" w:cs="Arial" w:eastAsia="Arial" w:hAnsi="Arial"/>
          <w:b/>
          <w:bCs/>
          <w:sz w:val="21"/>
          <w:szCs w:val="21"/>
        </w:rPr>
        <w:t xml:space="preserve">Graph Procedures: </w:t>
      </w:r>
      <w:r>
        <w:rPr>
          <w:rFonts w:ascii="Arial" w:cs="Arial" w:eastAsia="Arial" w:hAnsi="Arial"/>
          <w:sz w:val="21"/>
          <w:szCs w:val="21"/>
        </w:rPr>
        <w:t xml:space="preserve">HANA supports graph procedures written in a Cypher-like syntax or using the Graph Script Language (GSL). The tool catalog functions (get_material_sources, get_vendor_exposure, etc.) can be implemented as HANA graph procedures exposed via OData or XSJS APIs.</w:t>
      </w:r>
    </w:p>
    <w:p>
      <w:pPr>
        <w:spacing w:after="60"/>
      </w:pPr>
    </w:p>
    <w:p>
      <w:pPr>
        <w:spacing w:after="140" w:line="300"/>
      </w:pPr>
      <w:r>
        <w:rPr>
          <w:rFonts w:ascii="Arial" w:cs="Arial" w:eastAsia="Arial" w:hAnsi="Arial"/>
          <w:b/>
          <w:bCs/>
          <w:sz w:val="21"/>
          <w:szCs w:val="21"/>
        </w:rPr>
        <w:t xml:space="preserve">Performance Consideration: </w:t>
      </w:r>
      <w:r>
        <w:rPr>
          <w:rFonts w:ascii="Arial" w:cs="Arial" w:eastAsia="Arial" w:hAnsi="Arial"/>
          <w:sz w:val="21"/>
          <w:szCs w:val="21"/>
        </w:rPr>
        <w:t xml:space="preserve">For the demo dataset (800 materials, 120 vendors, 400 POs), all graph queries will execute in milliseconds. At 10× scale, weighted path finding and fan-out aggregation may need optimization. Pre-computed SpendBucket vertices and materialized views for common aggregations can address this.</w:t>
      </w:r>
    </w:p>
    <w:p>
      <w:pPr>
        <w:spacing w:after="60"/>
      </w:pPr>
    </w:p>
    <w:p>
      <w:pPr>
        <w:spacing w:after="140" w:line="300"/>
      </w:pPr>
      <w:r>
        <w:rPr>
          <w:rFonts w:ascii="Arial" w:cs="Arial" w:eastAsia="Arial" w:hAnsi="Arial"/>
          <w:b/>
          <w:bCs/>
          <w:sz w:val="21"/>
          <w:szCs w:val="21"/>
        </w:rPr>
        <w:t xml:space="preserve">Confidentiality Enforcement: </w:t>
      </w:r>
      <w:r>
        <w:rPr>
          <w:rFonts w:ascii="Arial" w:cs="Arial" w:eastAsia="Arial" w:hAnsi="Arial"/>
          <w:sz w:val="21"/>
          <w:szCs w:val="21"/>
        </w:rPr>
        <w:t xml:space="preserve">Implement as a graph procedure wrapper that accepts user_role as a parameter and filters vertices and edges before returning results. This is cleaner than application-layer filtering because the graph engine never exposes restricted data to the API layer.</w:t>
      </w:r>
    </w:p>
    <w:p>
      <w:r>
        <w:br w:type="page"/>
      </w:r>
    </w:p>
    <w:p>
      <w:pPr>
        <w:pStyle w:val="Heading2"/>
        <w:spacing w:before="280" w:after="160"/>
      </w:pPr>
      <w:r>
        <w:rPr>
          <w:rFonts w:ascii="Arial" w:cs="Arial" w:eastAsia="Arial" w:hAnsi="Arial"/>
          <w:b/>
          <w:bCs/>
          <w:color w:val="2E86C1"/>
          <w:sz w:val="26"/>
          <w:szCs w:val="26"/>
        </w:rPr>
        <w:t xml:space="preserve">C6.8 Graph Visualization for Demo</w:t>
      </w:r>
    </w:p>
    <w:p>
      <w:pPr>
        <w:spacing w:after="140" w:line="300"/>
      </w:pPr>
      <w:r>
        <w:rPr>
          <w:rFonts w:ascii="Arial" w:cs="Arial" w:eastAsia="Arial" w:hAnsi="Arial"/>
          <w:sz w:val="21"/>
          <w:szCs w:val="21"/>
        </w:rPr>
        <w:t xml:space="preserve">For live demo presentations, the knowledge graph can be visualized to show the AI’s reasoning path. Recommended visualization approach:</w:t>
      </w:r>
    </w:p>
    <w:p>
      <w:pPr>
        <w:spacing w:after="60"/>
      </w:pPr>
    </w:p>
    <w:p>
      <w:pPr>
        <w:pStyle w:val="ListParagraph"/>
        <w:numPr>
          <w:ilvl w:val="0"/>
          <w:numId w:val="5"/>
        </w:numPr>
        <w:spacing w:after="80" w:line="280"/>
      </w:pPr>
      <w:r>
        <w:rPr>
          <w:rFonts w:ascii="Arial" w:cs="Arial" w:eastAsia="Arial" w:hAnsi="Arial"/>
          <w:sz w:val="21"/>
          <w:szCs w:val="21"/>
        </w:rPr>
        <w:t xml:space="preserve">Use a force-directed layout for the full graph overview (all master data entities)</w:t>
      </w:r>
    </w:p>
    <w:p>
      <w:pPr>
        <w:pStyle w:val="ListParagraph"/>
        <w:numPr>
          <w:ilvl w:val="0"/>
          <w:numId w:val="5"/>
        </w:numPr>
        <w:spacing w:after="80" w:line="280"/>
      </w:pPr>
      <w:r>
        <w:rPr>
          <w:rFonts w:ascii="Arial" w:cs="Arial" w:eastAsia="Arial" w:hAnsi="Arial"/>
          <w:sz w:val="21"/>
          <w:szCs w:val="21"/>
        </w:rPr>
        <w:t xml:space="preserve">Use a hierarchical layout for category rollups (tree structure)</w:t>
      </w:r>
    </w:p>
    <w:p>
      <w:pPr>
        <w:pStyle w:val="ListParagraph"/>
        <w:numPr>
          <w:ilvl w:val="0"/>
          <w:numId w:val="5"/>
        </w:numPr>
        <w:spacing w:after="80" w:line="280"/>
      </w:pPr>
      <w:r>
        <w:rPr>
          <w:rFonts w:ascii="Arial" w:cs="Arial" w:eastAsia="Arial" w:hAnsi="Arial"/>
          <w:sz w:val="21"/>
          <w:szCs w:val="21"/>
        </w:rPr>
        <w:t xml:space="preserve">Use a linear chain layout for document tracing (PR → PO → GR → Invoice → Payment)</w:t>
      </w:r>
    </w:p>
    <w:p>
      <w:pPr>
        <w:pStyle w:val="ListParagraph"/>
        <w:numPr>
          <w:ilvl w:val="0"/>
          <w:numId w:val="5"/>
        </w:numPr>
        <w:spacing w:after="80" w:line="280"/>
      </w:pPr>
      <w:r>
        <w:rPr>
          <w:rFonts w:ascii="Arial" w:cs="Arial" w:eastAsia="Arial" w:hAnsi="Arial"/>
          <w:sz w:val="21"/>
          <w:szCs w:val="21"/>
        </w:rPr>
        <w:t xml:space="preserve">Highlight the active traversal path in a contrasting color as the AI reasons through each hop</w:t>
      </w:r>
    </w:p>
    <w:p>
      <w:pPr>
        <w:pStyle w:val="ListParagraph"/>
        <w:numPr>
          <w:ilvl w:val="0"/>
          <w:numId w:val="5"/>
        </w:numPr>
        <w:spacing w:after="80" w:line="280"/>
      </w:pPr>
      <w:r>
        <w:rPr>
          <w:rFonts w:ascii="Arial" w:cs="Arial" w:eastAsia="Arial" w:hAnsi="Arial"/>
          <w:sz w:val="21"/>
          <w:szCs w:val="21"/>
        </w:rPr>
        <w:t xml:space="preserve">Show confidentiality decisions as dimmed or redacted nodes along the path</w:t>
      </w:r>
    </w:p>
    <w:p>
      <w:pPr>
        <w:pStyle w:val="ListParagraph"/>
        <w:numPr>
          <w:ilvl w:val="0"/>
          <w:numId w:val="5"/>
        </w:numPr>
        <w:spacing w:after="80" w:line="280"/>
      </w:pPr>
      <w:r>
        <w:rPr>
          <w:rFonts w:ascii="Arial" w:cs="Arial" w:eastAsia="Arial" w:hAnsi="Arial"/>
          <w:sz w:val="21"/>
          <w:szCs w:val="21"/>
        </w:rPr>
        <w:t xml:space="preserve">Display node properties in a side panel that updates as the traversal progresses</w:t>
      </w:r>
    </w:p>
    <w:p>
      <w:pPr>
        <w:spacing w:after="60"/>
      </w:pPr>
    </w:p>
    <w:p>
      <w:pPr>
        <w:spacing w:after="140" w:line="300"/>
      </w:pPr>
      <w:r>
        <w:rPr>
          <w:rFonts w:ascii="Arial" w:cs="Arial" w:eastAsia="Arial" w:hAnsi="Arial"/>
          <w:sz w:val="21"/>
          <w:szCs w:val="21"/>
        </w:rPr>
        <w:t xml:space="preserve">The visualization is not a required component of the AI application, but it significantly strengthens the demo by making the AI’s reasoning visible and auditable. A stakeholder can see that the AI followed a specific path through the graph, checked confidentiality at each step, and arrived at a conclusion based on concrete data — not hallucination.</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C8. AMR Industry Context</w:t>
      </w:r>
    </w:p>
    <w:p>
      <w:pPr>
        <w:spacing w:after="140" w:line="300"/>
      </w:pPr>
      <w:r>
        <w:rPr>
          <w:rFonts w:ascii="Arial" w:cs="Arial" w:eastAsia="Arial" w:hAnsi="Arial"/>
          <w:sz w:val="21"/>
          <w:szCs w:val="21"/>
        </w:rPr>
        <w:t xml:space="preserve">Autonomous Mobile Robots use sensors (LiDAR, depth cameras, IMU), onboard computing, motors, batteries, and structural frames. Procurement characteristics include high electronics content (40–50% of BOM cost), safety-critical components requiring strict supplier qualification, mixed sourcing geography across APAC, and relatively low production volumes (hundreds to low thousands per year) that limit negotiation leverage with large OEMs.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C9.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AMR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Autonomous Mobile Robot – self-navigating vehicle for material transport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Battery Management System – electronics monitoring and protecting battery cells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BLDC</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Brushless DC motor – common in robotics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Bill of Materials – complete component list for one product unit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 (Quantity)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Procurement contract with volume commitment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Procurement contract with spend commitment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DDP</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Delivered Duty Paid – supplier handles all logistics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on Board – supplier delivers to port; buyer pays freight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Goods Receipt – confirmation of physical receipt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Incoterms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International Commercial Terms – standardized trade terms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Lead Time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Days from order placement to goods receipt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LiDAR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Light Detection and Ranging – sensor for 3D mapping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Maverick Spend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Purchases outside approved contracts or suppliers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MRO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Maintenance, Repair, and Operations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OEM</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Original Equipment Manufacturer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Procure-to-Pay lifecycle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PII</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Personally Identifiable Information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Purchase Order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 Requisition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RBAC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Role-Based Access Control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Source List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Master data: approved suppliers per material per plant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Three-Way Match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Verification: PO vs GR vs Invoice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UOM</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Unit of Measure</w:t>
            </w:r>
          </w:p>
        </w:tc>
      </w:tr>
    </w:tbl>
    <w:p>
      <w:r>
        <w:br w:type="page"/>
      </w:r>
    </w:p>
    <w:p>
      <w:pPr>
        <w:spacing w:before="600" w:after="80"/>
        <w:jc w:val="center"/>
      </w:pPr>
      <w:r>
        <w:rPr>
          <w:rFonts w:ascii="Arial" w:cs="Arial" w:eastAsia="Arial" w:hAnsi="Arial"/>
          <w:b/>
          <w:bCs/>
          <w:color w:val="1B4F72"/>
          <w:sz w:val="44"/>
          <w:szCs w:val="44"/>
        </w:rPr>
        <w:t xml:space="preserve">SECTION D</w:t>
      </w:r>
    </w:p>
    <w:p>
      <w:pPr>
        <w:pBdr>
          <w:bottom w:val="single" w:color="1B4F72" w:sz="4" w:space="8"/>
        </w:pBdr>
        <w:spacing w:after="300"/>
        <w:jc w:val="center"/>
      </w:pPr>
      <w:r>
        <w:rPr>
          <w:rFonts w:ascii="Arial" w:cs="Arial" w:eastAsia="Arial" w:hAnsi="Arial"/>
          <w:color w:val="2E86C1"/>
          <w:sz w:val="30"/>
          <w:szCs w:val="30"/>
        </w:rPr>
        <w:t xml:space="preserve">Transactional Data Model and Generation Plan</w:t>
      </w:r>
    </w:p>
    <w:p>
      <w:pPr>
        <w:spacing w:after="140" w:line="300"/>
      </w:pPr>
      <w:r>
        <w:rPr>
          <w:rFonts w:ascii="Arial" w:cs="Arial" w:eastAsia="Arial" w:hAnsi="Arial"/>
          <w:sz w:val="21"/>
          <w:szCs w:val="21"/>
        </w:rPr>
        <w:t xml:space="preserve">This section defines the transactional data layer that sits on top of the master data foundation defined in Sections A and B. Transactional data represents the actual procurement events: requisitions, purchase orders, goods receipts, invoices, and payments. While master data defines the “who, what, where” of procurement, transactional data captures the “when, how much, and what happened.”</w:t>
      </w:r>
    </w:p>
    <w:p>
      <w:pPr>
        <w:spacing w:after="140" w:line="300"/>
      </w:pPr>
      <w:r>
        <w:rPr>
          <w:rFonts w:ascii="Arial" w:cs="Arial" w:eastAsia="Arial" w:hAnsi="Arial"/>
          <w:sz w:val="21"/>
          <w:szCs w:val="21"/>
        </w:rPr>
        <w:t xml:space="preserve">Transactional data generation is the second phase of dataset creation. It must only begin after the master data has been generated and validated per Section A2. Every transaction references master data entities, so the referential integrity foundation must be solid before transactions are layered on top.</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D1. Transactional Design Principles</w:t>
      </w:r>
    </w:p>
    <w:p>
      <w:pPr>
        <w:pStyle w:val="Heading2"/>
        <w:spacing w:before="280" w:after="160"/>
      </w:pPr>
      <w:r>
        <w:rPr>
          <w:rFonts w:ascii="Arial" w:cs="Arial" w:eastAsia="Arial" w:hAnsi="Arial"/>
          <w:b/>
          <w:bCs/>
          <w:color w:val="2E86C1"/>
          <w:sz w:val="26"/>
          <w:szCs w:val="26"/>
        </w:rPr>
        <w:t xml:space="preserve">D1.1 Temporal Consistency</w:t>
      </w:r>
    </w:p>
    <w:p>
      <w:pPr>
        <w:spacing w:after="140" w:line="300"/>
      </w:pPr>
      <w:r>
        <w:rPr>
          <w:rFonts w:ascii="Arial" w:cs="Arial" w:eastAsia="Arial" w:hAnsi="Arial"/>
          <w:sz w:val="21"/>
          <w:szCs w:val="21"/>
        </w:rPr>
        <w:t xml:space="preserve">Procurement transactions follow a strict temporal sequence. Every document in the chain must have dates that respect causal ordering. This is the single most important constraint for transactional data:</w:t>
      </w:r>
    </w:p>
    <w:p>
      <w:pPr>
        <w:spacing w:after="60"/>
      </w:pPr>
    </w:p>
    <w:p>
      <w:pPr>
        <w:pStyle w:val="ListParagraph"/>
        <w:numPr>
          <w:ilvl w:val="0"/>
          <w:numId w:val="20"/>
        </w:numPr>
        <w:spacing w:after="80" w:line="280"/>
      </w:pPr>
      <w:r>
        <w:rPr>
          <w:rFonts w:ascii="Arial" w:cs="Arial" w:eastAsia="Arial" w:hAnsi="Arial"/>
          <w:sz w:val="21"/>
          <w:szCs w:val="21"/>
        </w:rPr>
        <w:t xml:space="preserve">Purchase Requisition (PR) created — this is the earliest date in any procurement chain</w:t>
      </w:r>
    </w:p>
    <w:p>
      <w:pPr>
        <w:pStyle w:val="ListParagraph"/>
        <w:numPr>
          <w:ilvl w:val="0"/>
          <w:numId w:val="20"/>
        </w:numPr>
        <w:spacing w:after="80" w:line="280"/>
      </w:pPr>
      <w:r>
        <w:rPr>
          <w:rFonts w:ascii="Arial" w:cs="Arial" w:eastAsia="Arial" w:hAnsi="Arial"/>
          <w:sz w:val="21"/>
          <w:szCs w:val="21"/>
        </w:rPr>
        <w:t xml:space="preserve">Purchase Order (PO) created — must be on or after the PR date</w:t>
      </w:r>
    </w:p>
    <w:p>
      <w:pPr>
        <w:pStyle w:val="ListParagraph"/>
        <w:numPr>
          <w:ilvl w:val="0"/>
          <w:numId w:val="20"/>
        </w:numPr>
        <w:spacing w:after="80" w:line="280"/>
      </w:pPr>
      <w:r>
        <w:rPr>
          <w:rFonts w:ascii="Arial" w:cs="Arial" w:eastAsia="Arial" w:hAnsi="Arial"/>
          <w:sz w:val="21"/>
          <w:szCs w:val="21"/>
        </w:rPr>
        <w:t xml:space="preserve">PO sent to vendor — on or after PO creation (may be same day)</w:t>
      </w:r>
    </w:p>
    <w:p>
      <w:pPr>
        <w:pStyle w:val="ListParagraph"/>
        <w:numPr>
          <w:ilvl w:val="0"/>
          <w:numId w:val="20"/>
        </w:numPr>
        <w:spacing w:after="80" w:line="280"/>
      </w:pPr>
      <w:r>
        <w:rPr>
          <w:rFonts w:ascii="Arial" w:cs="Arial" w:eastAsia="Arial" w:hAnsi="Arial"/>
          <w:sz w:val="21"/>
          <w:szCs w:val="21"/>
        </w:rPr>
        <w:t xml:space="preserve">Goods Receipt (GR) recorded — must be after PO date, typically after PO date + lead time</w:t>
      </w:r>
    </w:p>
    <w:p>
      <w:pPr>
        <w:pStyle w:val="ListParagraph"/>
        <w:numPr>
          <w:ilvl w:val="0"/>
          <w:numId w:val="20"/>
        </w:numPr>
        <w:spacing w:after="80" w:line="280"/>
      </w:pPr>
      <w:r>
        <w:rPr>
          <w:rFonts w:ascii="Arial" w:cs="Arial" w:eastAsia="Arial" w:hAnsi="Arial"/>
          <w:sz w:val="21"/>
          <w:szCs w:val="21"/>
        </w:rPr>
        <w:t xml:space="preserve">Invoice received — must be on or after GR date (or PO date for service invoices)</w:t>
      </w:r>
    </w:p>
    <w:p>
      <w:pPr>
        <w:pStyle w:val="ListParagraph"/>
        <w:numPr>
          <w:ilvl w:val="0"/>
          <w:numId w:val="20"/>
        </w:numPr>
        <w:spacing w:after="80" w:line="280"/>
      </w:pPr>
      <w:r>
        <w:rPr>
          <w:rFonts w:ascii="Arial" w:cs="Arial" w:eastAsia="Arial" w:hAnsi="Arial"/>
          <w:sz w:val="21"/>
          <w:szCs w:val="21"/>
        </w:rPr>
        <w:t xml:space="preserve">Invoice verified (three-way match) — on or after invoice receipt</w:t>
      </w:r>
    </w:p>
    <w:p>
      <w:pPr>
        <w:pStyle w:val="ListParagraph"/>
        <w:numPr>
          <w:ilvl w:val="0"/>
          <w:numId w:val="20"/>
        </w:numPr>
        <w:spacing w:after="80" w:line="280"/>
      </w:pPr>
      <w:r>
        <w:rPr>
          <w:rFonts w:ascii="Arial" w:cs="Arial" w:eastAsia="Arial" w:hAnsi="Arial"/>
          <w:sz w:val="21"/>
          <w:szCs w:val="21"/>
        </w:rPr>
        <w:t xml:space="preserve">Payment executed — on or after invoice verification, according to payment terms</w:t>
      </w:r>
    </w:p>
    <w:p>
      <w:pPr>
        <w:spacing w:after="80"/>
      </w:pPr>
    </w:p>
    <w:p>
      <w:pPr>
        <w:pBdr>
          <w:left w:val="single" w:color="E67E22" w:sz="8" w:space="8"/>
        </w:pBdr>
        <w:spacing w:before="100" w:after="160" w:line="280"/>
        <w:ind w:left="360" w:right="360"/>
      </w:pPr>
      <w:r>
        <w:rPr>
          <w:rFonts w:ascii="Arial" w:cs="Arial" w:eastAsia="Arial" w:hAnsi="Arial"/>
          <w:i/>
          <w:iCs/>
          <w:color w:val="1A5276"/>
          <w:sz w:val="20"/>
          <w:szCs w:val="20"/>
        </w:rPr>
        <w:t xml:space="preserve">Date inversion (e.g., a GR dated before its PO) is a FATAL validation error. The AI will be asked temporal reasoning questions like “Why was this payment delayed?” — if dates are inconsistent, the reasoning collapses.</w:t>
      </w:r>
    </w:p>
    <w:p>
      <w:pPr>
        <w:spacing w:after="100"/>
      </w:pPr>
    </w:p>
    <w:p>
      <w:pPr>
        <w:pStyle w:val="Heading2"/>
        <w:spacing w:before="280" w:after="160"/>
      </w:pPr>
      <w:r>
        <w:rPr>
          <w:rFonts w:ascii="Arial" w:cs="Arial" w:eastAsia="Arial" w:hAnsi="Arial"/>
          <w:b/>
          <w:bCs/>
          <w:color w:val="2E86C1"/>
          <w:sz w:val="26"/>
          <w:szCs w:val="26"/>
        </w:rPr>
        <w:t xml:space="preserve">D1.2 Master Data Referential Integrity</w:t>
      </w:r>
    </w:p>
    <w:p>
      <w:pPr>
        <w:spacing w:after="140" w:line="300"/>
      </w:pPr>
      <w:r>
        <w:rPr>
          <w:rFonts w:ascii="Arial" w:cs="Arial" w:eastAsia="Arial" w:hAnsi="Arial"/>
          <w:sz w:val="21"/>
          <w:szCs w:val="21"/>
        </w:rPr>
        <w:t xml:space="preserve">Every transactional record must reference valid master data:</w:t>
      </w:r>
    </w:p>
    <w:p>
      <w:pPr>
        <w:spacing w:after="60"/>
      </w:pPr>
    </w:p>
    <w:p>
      <w:pPr>
        <w:pStyle w:val="ListParagraph"/>
        <w:numPr>
          <w:ilvl w:val="0"/>
          <w:numId w:val="7"/>
        </w:numPr>
        <w:spacing w:after="80" w:line="280"/>
      </w:pPr>
      <w:r>
        <w:rPr>
          <w:rFonts w:ascii="Arial" w:cs="Arial" w:eastAsia="Arial" w:hAnsi="Arial"/>
          <w:sz w:val="21"/>
          <w:szCs w:val="21"/>
        </w:rPr>
        <w:t xml:space="preserve">PR line items must reference valid material_id and plant_id</w:t>
      </w:r>
    </w:p>
    <w:p>
      <w:pPr>
        <w:pStyle w:val="ListParagraph"/>
        <w:numPr>
          <w:ilvl w:val="0"/>
          <w:numId w:val="7"/>
        </w:numPr>
        <w:spacing w:after="80" w:line="280"/>
      </w:pPr>
      <w:r>
        <w:rPr>
          <w:rFonts w:ascii="Arial" w:cs="Arial" w:eastAsia="Arial" w:hAnsi="Arial"/>
          <w:sz w:val="21"/>
          <w:szCs w:val="21"/>
        </w:rPr>
        <w:t xml:space="preserve">PO header must reference a valid vendor_id from vendor_master</w:t>
      </w:r>
    </w:p>
    <w:p>
      <w:pPr>
        <w:pStyle w:val="ListParagraph"/>
        <w:numPr>
          <w:ilvl w:val="0"/>
          <w:numId w:val="7"/>
        </w:numPr>
        <w:spacing w:after="80" w:line="280"/>
      </w:pPr>
      <w:r>
        <w:rPr>
          <w:rFonts w:ascii="Arial" w:cs="Arial" w:eastAsia="Arial" w:hAnsi="Arial"/>
          <w:sz w:val="21"/>
          <w:szCs w:val="21"/>
        </w:rPr>
        <w:t xml:space="preserve">PO line items must reference valid material_id, plant_id, and (if applicable) contract_id + contract_item</w:t>
      </w:r>
    </w:p>
    <w:p>
      <w:pPr>
        <w:pStyle w:val="ListParagraph"/>
        <w:numPr>
          <w:ilvl w:val="0"/>
          <w:numId w:val="7"/>
        </w:numPr>
        <w:spacing w:after="80" w:line="280"/>
      </w:pPr>
      <w:r>
        <w:rPr>
          <w:rFonts w:ascii="Arial" w:cs="Arial" w:eastAsia="Arial" w:hAnsi="Arial"/>
          <w:sz w:val="21"/>
          <w:szCs w:val="21"/>
        </w:rPr>
        <w:t xml:space="preserve">PO vendor + material combination should exist in source_list (exception: maverick POs deliberately violate this)</w:t>
      </w:r>
    </w:p>
    <w:p>
      <w:pPr>
        <w:pStyle w:val="ListParagraph"/>
        <w:numPr>
          <w:ilvl w:val="0"/>
          <w:numId w:val="7"/>
        </w:numPr>
        <w:spacing w:after="80" w:line="280"/>
      </w:pPr>
      <w:r>
        <w:rPr>
          <w:rFonts w:ascii="Arial" w:cs="Arial" w:eastAsia="Arial" w:hAnsi="Arial"/>
          <w:sz w:val="21"/>
          <w:szCs w:val="21"/>
        </w:rPr>
        <w:t xml:space="preserve">GR must reference a valid PO number and PO line item</w:t>
      </w:r>
    </w:p>
    <w:p>
      <w:pPr>
        <w:pStyle w:val="ListParagraph"/>
        <w:numPr>
          <w:ilvl w:val="0"/>
          <w:numId w:val="7"/>
        </w:numPr>
        <w:spacing w:after="80" w:line="280"/>
      </w:pPr>
      <w:r>
        <w:rPr>
          <w:rFonts w:ascii="Arial" w:cs="Arial" w:eastAsia="Arial" w:hAnsi="Arial"/>
          <w:sz w:val="21"/>
          <w:szCs w:val="21"/>
        </w:rPr>
        <w:t xml:space="preserve">Invoice must reference a valid PO number</w:t>
      </w:r>
    </w:p>
    <w:p>
      <w:pPr>
        <w:pStyle w:val="ListParagraph"/>
        <w:numPr>
          <w:ilvl w:val="0"/>
          <w:numId w:val="7"/>
        </w:numPr>
        <w:spacing w:after="80" w:line="280"/>
      </w:pPr>
      <w:r>
        <w:rPr>
          <w:rFonts w:ascii="Arial" w:cs="Arial" w:eastAsia="Arial" w:hAnsi="Arial"/>
          <w:sz w:val="21"/>
          <w:szCs w:val="21"/>
        </w:rPr>
        <w:t xml:space="preserve">Payment must reference a valid invoice</w:t>
      </w:r>
    </w:p>
    <w:p>
      <w:pPr>
        <w:spacing w:after="80"/>
      </w:pPr>
    </w:p>
    <w:p>
      <w:pPr>
        <w:pBdr>
          <w:left w:val="single" w:color="2E86C1" w:sz="8" w:space="8"/>
        </w:pBdr>
        <w:spacing w:before="100" w:after="160" w:line="280"/>
        <w:ind w:left="360" w:right="360"/>
      </w:pPr>
      <w:r>
        <w:rPr>
          <w:rFonts w:ascii="Arial" w:cs="Arial" w:eastAsia="Arial" w:hAnsi="Arial"/>
          <w:i/>
          <w:iCs/>
          <w:color w:val="1A5276"/>
          <w:sz w:val="20"/>
          <w:szCs w:val="20"/>
        </w:rPr>
        <w:t xml:space="preserve">Maverick POs are a deliberate exception: they intentionally reference vendor + material combinations that are NOT in the source list, or reference non-preferred vendors. These must be flagged with a maverick_flag so validation can distinguish intentional violations from data errors.</w:t>
      </w:r>
    </w:p>
    <w:p>
      <w:pPr>
        <w:spacing w:after="100"/>
      </w:pPr>
    </w:p>
    <w:p>
      <w:pPr>
        <w:pStyle w:val="Heading2"/>
        <w:spacing w:before="280" w:after="160"/>
      </w:pPr>
      <w:r>
        <w:rPr>
          <w:rFonts w:ascii="Arial" w:cs="Arial" w:eastAsia="Arial" w:hAnsi="Arial"/>
          <w:b/>
          <w:bCs/>
          <w:color w:val="2E86C1"/>
          <w:sz w:val="26"/>
          <w:szCs w:val="26"/>
        </w:rPr>
        <w:t xml:space="preserve">D1.3 Transactional Scope Calibration</w:t>
      </w:r>
    </w:p>
    <w:p>
      <w:pPr>
        <w:spacing w:after="140" w:line="300"/>
      </w:pPr>
      <w:r>
        <w:rPr>
          <w:rFonts w:ascii="Arial" w:cs="Arial" w:eastAsia="Arial" w:hAnsi="Arial"/>
          <w:sz w:val="21"/>
          <w:szCs w:val="21"/>
        </w:rPr>
        <w:t xml:space="preserve">The transactional dataset must be large enough to support meaningful analytics but small enough to maintain consistency. Targets are calibrated to the master data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Count (1×)</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 Requisitions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~400–600</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~0.5–0.75 PRs per material; not every material is requisitioned in the demo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Purchase Orders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~350–500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Most PRs convert to POs; some are consolidated (multiple PR lines → one PO)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 Line Items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~800–1,200</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~2–3 line items per PO on average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Goods Receipts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~300–450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Most POs receive goods; some are still open/in-transit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 Line Items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~700–1,000</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Roughly 1:1 with received PO lines; partial receipts create additional GR 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~280–420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Slightly fewer than GRs (some vendors consolidate invoices)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 Line Items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~650–950</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Roughly maps to GR 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~250–380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Fewer than invoices (payment batching, some invoices pending)</w:t>
            </w:r>
          </w:p>
        </w:tc>
      </w:tr>
    </w:tbl>
    <w:p>
      <w:pPr>
        <w:spacing w:after="80"/>
      </w:pPr>
    </w:p>
    <w:p>
      <w:pPr>
        <w:spacing w:after="140" w:line="300"/>
      </w:pPr>
      <w:r>
        <w:rPr>
          <w:rFonts w:ascii="Arial" w:cs="Arial" w:eastAsia="Arial" w:hAnsi="Arial"/>
          <w:sz w:val="21"/>
          <w:szCs w:val="21"/>
        </w:rPr>
        <w:t xml:space="preserve">The demo time window should span 12–18 months of transactional history. This provides enough depth for trend analysis, seasonal patterns, and contract consumption tracking while keeping the dataset manageable.</w:t>
      </w:r>
    </w:p>
    <w:p>
      <w:pPr>
        <w:spacing w:after="6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100"/>
        <w:gridCol w:w="1100"/>
        <w:gridCol w:w="1200"/>
        <w:gridCol w:w="12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PRs</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POs</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Invoices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Payments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Small (baseline)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~500</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~400</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~350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~320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~840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Large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~5,000</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~4,000</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~3,500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~3,200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~2,800</w:t>
            </w:r>
          </w:p>
        </w:tc>
      </w:tr>
    </w:tbl>
    <w:p>
      <w:r>
        <w:br w:type="page"/>
      </w:r>
    </w:p>
    <w:p>
      <w:pPr>
        <w:pStyle w:val="Heading2"/>
        <w:spacing w:before="280" w:after="160"/>
      </w:pPr>
      <w:r>
        <w:rPr>
          <w:rFonts w:ascii="Arial" w:cs="Arial" w:eastAsia="Arial" w:hAnsi="Arial"/>
          <w:b/>
          <w:bCs/>
          <w:color w:val="2E86C1"/>
          <w:sz w:val="26"/>
          <w:szCs w:val="26"/>
        </w:rPr>
        <w:t xml:space="preserve">D1.4 Generation Dependency Order</w:t>
      </w:r>
    </w:p>
    <w:p>
      <w:pPr>
        <w:spacing w:after="140" w:line="300"/>
      </w:pPr>
      <w:r>
        <w:rPr>
          <w:rFonts w:ascii="Arial" w:cs="Arial" w:eastAsia="Arial" w:hAnsi="Arial"/>
          <w:sz w:val="21"/>
          <w:szCs w:val="21"/>
        </w:rPr>
        <w:t xml:space="preserve">Transactional data generation must follow this sequence, where each step can only reference entities from prior steps and from the master data layer:</w:t>
      </w:r>
    </w:p>
    <w:p>
      <w:pPr>
        <w:spacing w:after="60"/>
      </w:pPr>
    </w:p>
    <w:p>
      <w:pPr>
        <w:pStyle w:val="ListParagraph"/>
        <w:numPr>
          <w:ilvl w:val="0"/>
          <w:numId w:val="21"/>
        </w:numPr>
        <w:spacing w:after="80" w:line="280"/>
      </w:pPr>
      <w:r>
        <w:rPr>
          <w:rFonts w:ascii="Arial" w:cs="Arial" w:eastAsia="Arial" w:hAnsi="Arial"/>
          <w:sz w:val="21"/>
          <w:szCs w:val="21"/>
        </w:rPr>
        <w:t xml:space="preserve">Master data validation pass (must be complete before any transaction generation)</w:t>
      </w:r>
    </w:p>
    <w:p>
      <w:pPr>
        <w:pStyle w:val="ListParagraph"/>
        <w:numPr>
          <w:ilvl w:val="0"/>
          <w:numId w:val="21"/>
        </w:numPr>
        <w:spacing w:after="80" w:line="280"/>
      </w:pPr>
      <w:r>
        <w:rPr>
          <w:rFonts w:ascii="Arial" w:cs="Arial" w:eastAsia="Arial" w:hAnsi="Arial"/>
          <w:sz w:val="21"/>
          <w:szCs w:val="21"/>
        </w:rPr>
        <w:t xml:space="preserve">Purchase Requisitions (demand signal — references materials, plants, cost centers)</w:t>
      </w:r>
    </w:p>
    <w:p>
      <w:pPr>
        <w:pStyle w:val="ListParagraph"/>
        <w:numPr>
          <w:ilvl w:val="0"/>
          <w:numId w:val="21"/>
        </w:numPr>
        <w:spacing w:after="80" w:line="280"/>
      </w:pPr>
      <w:r>
        <w:rPr>
          <w:rFonts w:ascii="Arial" w:cs="Arial" w:eastAsia="Arial" w:hAnsi="Arial"/>
          <w:sz w:val="21"/>
          <w:szCs w:val="21"/>
        </w:rPr>
        <w:t xml:space="preserve">Purchase Orders (sourcing decision — references PRs, vendors, contracts, source lists)</w:t>
      </w:r>
    </w:p>
    <w:p>
      <w:pPr>
        <w:pStyle w:val="ListParagraph"/>
        <w:numPr>
          <w:ilvl w:val="0"/>
          <w:numId w:val="21"/>
        </w:numPr>
        <w:spacing w:after="80" w:line="280"/>
      </w:pPr>
      <w:r>
        <w:rPr>
          <w:rFonts w:ascii="Arial" w:cs="Arial" w:eastAsia="Arial" w:hAnsi="Arial"/>
          <w:sz w:val="21"/>
          <w:szCs w:val="21"/>
        </w:rPr>
        <w:t xml:space="preserve">Goods Receipts (delivery event — references POs)</w:t>
      </w:r>
    </w:p>
    <w:p>
      <w:pPr>
        <w:pStyle w:val="ListParagraph"/>
        <w:numPr>
          <w:ilvl w:val="0"/>
          <w:numId w:val="21"/>
        </w:numPr>
        <w:spacing w:after="80" w:line="280"/>
      </w:pPr>
      <w:r>
        <w:rPr>
          <w:rFonts w:ascii="Arial" w:cs="Arial" w:eastAsia="Arial" w:hAnsi="Arial"/>
          <w:sz w:val="21"/>
          <w:szCs w:val="21"/>
        </w:rPr>
        <w:t xml:space="preserve">Invoices (payment request — references POs, GRs)</w:t>
      </w:r>
    </w:p>
    <w:p>
      <w:pPr>
        <w:pStyle w:val="ListParagraph"/>
        <w:numPr>
          <w:ilvl w:val="0"/>
          <w:numId w:val="21"/>
        </w:numPr>
        <w:spacing w:after="80" w:line="280"/>
      </w:pPr>
      <w:r>
        <w:rPr>
          <w:rFonts w:ascii="Arial" w:cs="Arial" w:eastAsia="Arial" w:hAnsi="Arial"/>
          <w:sz w:val="21"/>
          <w:szCs w:val="21"/>
        </w:rPr>
        <w:t xml:space="preserve">Payments (settlement — references invoices, vendor bank details)</w:t>
      </w:r>
    </w:p>
    <w:p>
      <w:pPr>
        <w:pStyle w:val="ListParagraph"/>
        <w:numPr>
          <w:ilvl w:val="0"/>
          <w:numId w:val="21"/>
        </w:numPr>
        <w:spacing w:after="80" w:line="280"/>
      </w:pPr>
      <w:r>
        <w:rPr>
          <w:rFonts w:ascii="Arial" w:cs="Arial" w:eastAsia="Arial" w:hAnsi="Arial"/>
          <w:sz w:val="21"/>
          <w:szCs w:val="21"/>
        </w:rPr>
        <w:t xml:space="preserve">Transactional validation pass</w:t>
      </w:r>
    </w:p>
    <w:p>
      <w:pPr>
        <w:pStyle w:val="ListParagraph"/>
        <w:numPr>
          <w:ilvl w:val="0"/>
          <w:numId w:val="21"/>
        </w:numPr>
        <w:spacing w:after="80" w:line="280"/>
      </w:pPr>
      <w:r>
        <w:rPr>
          <w:rFonts w:ascii="Arial" w:cs="Arial" w:eastAsia="Arial" w:hAnsi="Arial"/>
          <w:sz w:val="21"/>
          <w:szCs w:val="21"/>
        </w:rPr>
        <w:t xml:space="preserve">Contract consumption reconciliation (derived field update)</w:t>
      </w:r>
    </w:p>
    <w:p>
      <w:pPr>
        <w:pStyle w:val="ListParagraph"/>
        <w:numPr>
          <w:ilvl w:val="0"/>
          <w:numId w:val="21"/>
        </w:numPr>
        <w:spacing w:after="80" w:line="280"/>
      </w:pPr>
      <w:r>
        <w:rPr>
          <w:rFonts w:ascii="Arial" w:cs="Arial" w:eastAsia="Arial" w:hAnsi="Arial"/>
          <w:sz w:val="21"/>
          <w:szCs w:val="21"/>
        </w:rPr>
        <w:t xml:space="preserve">Transactional scenario seed verification</w:t>
      </w:r>
    </w:p>
    <w:p>
      <w:pPr>
        <w:spacing w:after="80"/>
      </w:pPr>
    </w:p>
    <w:p>
      <w:pPr>
        <w:pStyle w:val="Heading2"/>
        <w:spacing w:before="280" w:after="160"/>
      </w:pPr>
      <w:r>
        <w:rPr>
          <w:rFonts w:ascii="Arial" w:cs="Arial" w:eastAsia="Arial" w:hAnsi="Arial"/>
          <w:b/>
          <w:bCs/>
          <w:color w:val="2E86C1"/>
          <w:sz w:val="26"/>
          <w:szCs w:val="26"/>
        </w:rPr>
        <w:t xml:space="preserve">D1.5 Contract Consumption Reconciliation</w:t>
      </w:r>
    </w:p>
    <w:p>
      <w:pPr>
        <w:spacing w:after="140" w:line="300"/>
      </w:pPr>
      <w:r>
        <w:rPr>
          <w:rFonts w:ascii="Arial" w:cs="Arial" w:eastAsia="Arial" w:hAnsi="Arial"/>
          <w:sz w:val="21"/>
          <w:szCs w:val="21"/>
        </w:rPr>
        <w:t xml:space="preserve">In the master data spec, contract_item includes consumed_quantity and consumed_value as static fields. Once transactional data exists, these fields must be reconciled:</w:t>
      </w:r>
    </w:p>
    <w:p>
      <w:pPr>
        <w:spacing w:after="60"/>
      </w:pPr>
    </w:p>
    <w:p>
      <w:pPr>
        <w:pStyle w:val="ListParagraph"/>
        <w:numPr>
          <w:ilvl w:val="0"/>
          <w:numId w:val="22"/>
        </w:numPr>
        <w:spacing w:after="80" w:line="280"/>
      </w:pPr>
      <w:r>
        <w:rPr>
          <w:rFonts w:ascii="Arial" w:cs="Arial" w:eastAsia="Arial" w:hAnsi="Arial"/>
          <w:sz w:val="21"/>
          <w:szCs w:val="21"/>
        </w:rPr>
        <w:t xml:space="preserve">consumed_quantity = SUM of PO line item quantities referencing this contract item</w:t>
      </w:r>
    </w:p>
    <w:p>
      <w:pPr>
        <w:pStyle w:val="ListParagraph"/>
        <w:numPr>
          <w:ilvl w:val="0"/>
          <w:numId w:val="22"/>
        </w:numPr>
        <w:spacing w:after="80" w:line="280"/>
      </w:pPr>
      <w:r>
        <w:rPr>
          <w:rFonts w:ascii="Arial" w:cs="Arial" w:eastAsia="Arial" w:hAnsi="Arial"/>
          <w:sz w:val="21"/>
          <w:szCs w:val="21"/>
        </w:rPr>
        <w:t xml:space="preserve">consumed_value = SUM of (PO line item quantity × agreed_price) for this contract item</w:t>
      </w:r>
    </w:p>
    <w:p>
      <w:pPr>
        <w:spacing w:after="60"/>
      </w:pPr>
    </w:p>
    <w:p>
      <w:pPr>
        <w:spacing w:after="140" w:line="300"/>
      </w:pPr>
      <w:r>
        <w:rPr>
          <w:rFonts w:ascii="Arial" w:cs="Arial" w:eastAsia="Arial" w:hAnsi="Arial"/>
          <w:sz w:val="21"/>
          <w:szCs w:val="21"/>
        </w:rPr>
        <w:t xml:space="preserve">After transaction generation, a reconciliation step must update these fields to match the actual transactional totals. Any discrepancy between the pre-set master data value and the transactional sum is a validation failure.</w:t>
      </w:r>
    </w:p>
    <w:p>
      <w:pPr>
        <w:pBdr>
          <w:left w:val="single" w:color="E67E22" w:sz="8" w:space="8"/>
        </w:pBdr>
        <w:spacing w:before="100" w:after="160" w:line="280"/>
        <w:ind w:left="360" w:right="360"/>
      </w:pPr>
      <w:r>
        <w:rPr>
          <w:rFonts w:ascii="Arial" w:cs="Arial" w:eastAsia="Arial" w:hAnsi="Arial"/>
          <w:i/>
          <w:iCs/>
          <w:color w:val="1A5276"/>
          <w:sz w:val="20"/>
          <w:szCs w:val="20"/>
        </w:rPr>
        <w:t xml:space="preserve">This means the scenario seeds that depend on contract consumption levels (SEED-001 at 85% consumed, SEED-002 at 60% consumed) must be achieved through generated PO volumes, not through static overrides. The transaction generation logic must target these consumption levels.</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D2. Transactional Schema Specification</w:t>
      </w:r>
    </w:p>
    <w:p>
      <w:pPr>
        <w:pStyle w:val="Heading2"/>
        <w:spacing w:before="280" w:after="160"/>
      </w:pPr>
      <w:r>
        <w:rPr>
          <w:rFonts w:ascii="Arial" w:cs="Arial" w:eastAsia="Arial" w:hAnsi="Arial"/>
          <w:b/>
          <w:bCs/>
          <w:color w:val="2E86C1"/>
          <w:sz w:val="26"/>
          <w:szCs w:val="26"/>
        </w:rPr>
        <w:t xml:space="preserve">D2.1 Purchase Requisition</w:t>
      </w:r>
    </w:p>
    <w:p>
      <w:pPr>
        <w:spacing w:after="140" w:line="300"/>
      </w:pPr>
      <w:r>
        <w:rPr>
          <w:rFonts w:ascii="Arial" w:cs="Arial" w:eastAsia="Arial" w:hAnsi="Arial"/>
          <w:sz w:val="21"/>
          <w:szCs w:val="21"/>
        </w:rPr>
        <w:t xml:space="preserve">A purchase requisition represents an internal request to procure materials or services. It is the demand signal that initiates the procurement process. PRs can originate from production planning (MRP-driven), manual creation by engineers or department heads, or inventory management (reorder point trigger).</w:t>
      </w:r>
    </w:p>
    <w:p>
      <w:pPr>
        <w:spacing w:after="60"/>
      </w:pPr>
    </w:p>
    <w:p>
      <w:pPr>
        <w:spacing w:before="200" w:after="120"/>
      </w:pPr>
      <w:r>
        <w:rPr>
          <w:rFonts w:ascii="Arial" w:cs="Arial" w:eastAsia="Arial" w:hAnsi="Arial"/>
          <w:b/>
          <w:bCs/>
          <w:color w:val="2874A6"/>
          <w:sz w:val="22"/>
          <w:szCs w:val="22"/>
        </w:rPr>
        <w:t xml:space="preserve">pr_header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Requisition identifier (e.g., PR-000001)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 the requisition was created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requester_name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Person who created the PR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requester_department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Department (Engineering, Production, etc.)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cost_center_id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cost_center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Budget owner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plant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Requesting plant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pr_type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STANDARD | URGENT | BLANKET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 | APPROVED | REJECTED | CONVERTED | CLOSED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priority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LOW | MEDIUM | HIGH | 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Free-text justification or context</w:t>
            </w:r>
          </w:p>
        </w:tc>
      </w:tr>
    </w:tbl>
    <w:p>
      <w:pPr>
        <w:spacing w:after="80"/>
      </w:pPr>
    </w:p>
    <w:p>
      <w:pPr>
        <w:spacing w:before="200" w:after="120"/>
      </w:pPr>
      <w:r>
        <w:rPr>
          <w:rFonts w:ascii="Arial" w:cs="Arial" w:eastAsia="Arial" w:hAnsi="Arial"/>
          <w:b/>
          <w:bCs/>
          <w:color w:val="2874A6"/>
          <w:sz w:val="22"/>
          <w:szCs w:val="22"/>
        </w:rPr>
        <w:t xml:space="preserve">pr_line_item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pr_header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Parent requisition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pr_line_number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Line item sequence (10, 20, 30...)</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material_master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Requested material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Requested quantity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uom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match material.base_uom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requested_delivery_date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the requester needs it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estimated_price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(nullable)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Estimated unit price (from standard cost or last PO)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Price currency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OPEN | ASSIGNED | PO_CREATED | CANCELLED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assigned_purch_group_id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purchasing_group (nullable)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Buyer group assigned to process this line</w:t>
            </w:r>
          </w:p>
        </w:tc>
      </w:tr>
    </w:tbl>
    <w:p>
      <w:pPr>
        <w:spacing w:after="80"/>
      </w:pPr>
    </w:p>
    <w:p>
      <w:pPr>
        <w:spacing w:before="200" w:after="120"/>
      </w:pPr>
      <w:r>
        <w:rPr>
          <w:rFonts w:ascii="Arial" w:cs="Arial" w:eastAsia="Arial" w:hAnsi="Arial"/>
          <w:b/>
          <w:bCs/>
          <w:color w:val="2874A6"/>
          <w:sz w:val="22"/>
          <w:szCs w:val="22"/>
        </w:rPr>
        <w:t xml:space="preserve">PR Generation Rules</w:t>
      </w:r>
    </w:p>
    <w:p>
      <w:pPr>
        <w:pStyle w:val="ListParagraph"/>
        <w:numPr>
          <w:ilvl w:val="0"/>
          <w:numId w:val="23"/>
        </w:numPr>
        <w:spacing w:after="80" w:line="280"/>
      </w:pPr>
      <w:r>
        <w:rPr>
          <w:rFonts w:ascii="Arial" w:cs="Arial" w:eastAsia="Arial" w:hAnsi="Arial"/>
          <w:sz w:val="21"/>
          <w:szCs w:val="21"/>
        </w:rPr>
        <w:t xml:space="preserve">PR date must fall within the 12–18 month demo window</w:t>
      </w:r>
    </w:p>
    <w:p>
      <w:pPr>
        <w:pStyle w:val="ListParagraph"/>
        <w:numPr>
          <w:ilvl w:val="0"/>
          <w:numId w:val="23"/>
        </w:numPr>
        <w:spacing w:after="80" w:line="280"/>
      </w:pPr>
      <w:r>
        <w:rPr>
          <w:rFonts w:ascii="Arial" w:cs="Arial" w:eastAsia="Arial" w:hAnsi="Arial"/>
          <w:sz w:val="21"/>
          <w:szCs w:val="21"/>
        </w:rPr>
        <w:t xml:space="preserve">requested_delivery_date must be after pr_date, offset by at least the material’s default_lead_time_days</w:t>
      </w:r>
    </w:p>
    <w:p>
      <w:pPr>
        <w:pStyle w:val="ListParagraph"/>
        <w:numPr>
          <w:ilvl w:val="0"/>
          <w:numId w:val="23"/>
        </w:numPr>
        <w:spacing w:after="80" w:line="280"/>
      </w:pPr>
      <w:r>
        <w:rPr>
          <w:rFonts w:ascii="Arial" w:cs="Arial" w:eastAsia="Arial" w:hAnsi="Arial"/>
          <w:sz w:val="21"/>
          <w:szCs w:val="21"/>
        </w:rPr>
        <w:t xml:space="preserve">assigned_purch_group_id must be consistent with the material’s category and the purchasing_group_category mapping</w:t>
      </w:r>
    </w:p>
    <w:p>
      <w:pPr>
        <w:pStyle w:val="ListParagraph"/>
        <w:numPr>
          <w:ilvl w:val="0"/>
          <w:numId w:val="23"/>
        </w:numPr>
        <w:spacing w:after="80" w:line="280"/>
      </w:pPr>
      <w:r>
        <w:rPr>
          <w:rFonts w:ascii="Arial" w:cs="Arial" w:eastAsia="Arial" w:hAnsi="Arial"/>
          <w:sz w:val="21"/>
          <w:szCs w:val="21"/>
        </w:rPr>
        <w:t xml:space="preserve">cost_center_id must belong to the same plant as plant_id</w:t>
      </w:r>
    </w:p>
    <w:p>
      <w:pPr>
        <w:pStyle w:val="ListParagraph"/>
        <w:numPr>
          <w:ilvl w:val="0"/>
          <w:numId w:val="23"/>
        </w:numPr>
        <w:spacing w:after="80" w:line="280"/>
      </w:pPr>
      <w:r>
        <w:rPr>
          <w:rFonts w:ascii="Arial" w:cs="Arial" w:eastAsia="Arial" w:hAnsi="Arial"/>
          <w:sz w:val="21"/>
          <w:szCs w:val="21"/>
        </w:rPr>
        <w:t xml:space="preserve">~85–90% of PR lines should reach status PO_CREATED; ~5–10% CANCELLED; remainder OPEN</w:t>
      </w:r>
    </w:p>
    <w:p>
      <w:pPr>
        <w:pStyle w:val="ListParagraph"/>
        <w:numPr>
          <w:ilvl w:val="0"/>
          <w:numId w:val="23"/>
        </w:numPr>
        <w:spacing w:after="80" w:line="280"/>
      </w:pPr>
      <w:r>
        <w:rPr>
          <w:rFonts w:ascii="Arial" w:cs="Arial" w:eastAsia="Arial" w:hAnsi="Arial"/>
          <w:sz w:val="21"/>
          <w:szCs w:val="21"/>
        </w:rPr>
        <w:t xml:space="preserve">URGENT PRs: ~5–8% of total, skewed toward high-criticality materials</w:t>
      </w:r>
    </w:p>
    <w:p>
      <w:pPr>
        <w:spacing w:after="80"/>
      </w:pPr>
    </w:p>
    <w:p>
      <w:pPr>
        <w:spacing w:before="200" w:after="120"/>
      </w:pPr>
      <w:r>
        <w:rPr>
          <w:rFonts w:ascii="Arial" w:cs="Arial" w:eastAsia="Arial" w:hAnsi="Arial"/>
          <w:b/>
          <w:bCs/>
          <w:color w:val="2874A6"/>
          <w:sz w:val="22"/>
          <w:szCs w:val="22"/>
        </w:rPr>
        <w:t xml:space="preserve">Sample PR Data</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700"/>
        <w:gridCol w:w="1100"/>
        <w:gridCol w:w="600"/>
        <w:gridCol w:w="2000"/>
        <w:gridCol w:w="600"/>
        <w:gridCol w:w="12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pr_id</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pr_date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material (display)</w:t>
            </w:r>
          </w:p>
        </w:tc>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delivery_date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PR-000001</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2024-09-15</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CONVERTED</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LIDAR-2D-HOKUYO</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2024-10-20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PR-000001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IMU-BOSCH-BNO055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2024-10-10</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PR-000002</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2024-09-18</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SG01</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CONVERTED</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SBC-NVIDIA-JETSON</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2024-11-15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PR-000003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2024-10-01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VN01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CONVERTED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CONN-24P-MOLEX</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2024-10-25</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PR-000004</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2024-10-05</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MY01</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OPEN</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MOTOR-BLDC-400W</w:t>
            </w:r>
          </w:p>
        </w:tc>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80</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2024-11-20</w:t>
            </w:r>
          </w:p>
        </w:tc>
      </w:tr>
    </w:tbl>
    <w:p>
      <w:r>
        <w:br w:type="page"/>
      </w:r>
    </w:p>
    <w:p>
      <w:pPr>
        <w:pStyle w:val="Heading2"/>
        <w:spacing w:before="280" w:after="160"/>
      </w:pPr>
      <w:r>
        <w:rPr>
          <w:rFonts w:ascii="Arial" w:cs="Arial" w:eastAsia="Arial" w:hAnsi="Arial"/>
          <w:b/>
          <w:bCs/>
          <w:color w:val="2E86C1"/>
          <w:sz w:val="26"/>
          <w:szCs w:val="26"/>
        </w:rPr>
        <w:t xml:space="preserve">D2.2 Purchase Order</w:t>
      </w:r>
    </w:p>
    <w:p>
      <w:pPr>
        <w:spacing w:after="140" w:line="300"/>
      </w:pPr>
      <w:r>
        <w:rPr>
          <w:rFonts w:ascii="Arial" w:cs="Arial" w:eastAsia="Arial" w:hAnsi="Arial"/>
          <w:sz w:val="21"/>
          <w:szCs w:val="21"/>
        </w:rPr>
        <w:t xml:space="preserve">A purchase order is the legally binding document sent to a supplier. It converts demand (from PRs) into a commercial commitment. POs are the central transactional entity — they link demand to supply and carry the pricing, delivery, and contract reference information.</w:t>
      </w:r>
    </w:p>
    <w:p>
      <w:pPr>
        <w:spacing w:after="60"/>
      </w:pPr>
    </w:p>
    <w:p>
      <w:pPr>
        <w:spacing w:before="200" w:after="120"/>
      </w:pPr>
      <w:r>
        <w:rPr>
          <w:rFonts w:ascii="Arial" w:cs="Arial" w:eastAsia="Arial" w:hAnsi="Arial"/>
          <w:b/>
          <w:bCs/>
          <w:color w:val="2874A6"/>
          <w:sz w:val="22"/>
          <w:szCs w:val="22"/>
        </w:rPr>
        <w:t xml:space="preserve">po_header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Purchase order identifier (e.g., PO-000001)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 the PO was created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vendor_master</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Supplier receiving the 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purch_org_id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purchasing_org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Purchasing organization issuing the PO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purch_group_id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purchasing_group</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Responsible buyer group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plant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Delivery plant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STANDARD | FRAMEWORK | RUSH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DRAFT | SENT | PARTIALLY_RECEIVED | FULLY_RECEIVED | CLOSED | CANCELLED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incoterms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Trade terms for this PO (from contract or vendor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payment_terms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 terms (from contract or vendor default)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currency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 currency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total_net_value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Sum of all line item net values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maverick_flag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TRUE if PO violates source list or contract 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(nullable)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Buyer notes, justification for maverick orders</w:t>
            </w:r>
          </w:p>
        </w:tc>
      </w:tr>
    </w:tbl>
    <w:p>
      <w:pPr>
        <w:spacing w:after="80"/>
      </w:pPr>
    </w:p>
    <w:p>
      <w:pPr>
        <w:spacing w:before="200" w:after="120"/>
      </w:pPr>
      <w:r>
        <w:rPr>
          <w:rFonts w:ascii="Arial" w:cs="Arial" w:eastAsia="Arial" w:hAnsi="Arial"/>
          <w:b/>
          <w:bCs/>
          <w:color w:val="2874A6"/>
          <w:sz w:val="22"/>
          <w:szCs w:val="22"/>
        </w:rPr>
        <w:t xml:space="preserve">po_line_item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po_header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Parent PO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po_line_number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Line item sequence (10, 20, 30...)</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material_master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Ordered material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Ordered quantity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uom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match material.base_uom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unit_price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Agreed unit price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net_value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DECIMAL(14,2)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 × unit_price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price_currency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Price currency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requested_delivery_date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delivery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actual_delivery_date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Actual delivery date (populated after GR)</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contract_header (nullable)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Referenced contract (NULL for spot buys)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contract_item_number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contract_item (nullable)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Referenced contract line item</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pr_header (nullable)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Source requisition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pr_line_number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pr_line_item (nullable)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 PR line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over_delivery_tolerance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DECIMAL(5,2)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Percentage tolerance for over-delivery (default 10%)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under_delivery_tolerance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DECIMAL(5,2)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Percentage tolerance for under-delivery (default 5%)</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gr_status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OPEN | PARTIAL | 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invoice_status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 | PARTIAL | COMPLETE</w:t>
            </w:r>
          </w:p>
        </w:tc>
      </w:tr>
    </w:tbl>
    <w:p>
      <w:pPr>
        <w:spacing w:after="80"/>
      </w:pPr>
    </w:p>
    <w:p>
      <w:pPr>
        <w:spacing w:before="200" w:after="120"/>
      </w:pPr>
      <w:r>
        <w:rPr>
          <w:rFonts w:ascii="Arial" w:cs="Arial" w:eastAsia="Arial" w:hAnsi="Arial"/>
          <w:b/>
          <w:bCs/>
          <w:color w:val="2874A6"/>
          <w:sz w:val="22"/>
          <w:szCs w:val="22"/>
        </w:rPr>
        <w:t xml:space="preserve">PO Generation Rules</w:t>
      </w:r>
    </w:p>
    <w:p>
      <w:pPr>
        <w:pStyle w:val="ListParagraph"/>
        <w:numPr>
          <w:ilvl w:val="0"/>
          <w:numId w:val="24"/>
        </w:numPr>
        <w:spacing w:after="80" w:line="280"/>
      </w:pPr>
      <w:r>
        <w:rPr>
          <w:rFonts w:ascii="Arial" w:cs="Arial" w:eastAsia="Arial" w:hAnsi="Arial"/>
          <w:sz w:val="21"/>
          <w:szCs w:val="21"/>
        </w:rPr>
        <w:t xml:space="preserve">po_date must be on or after the linked PR’s pr_date</w:t>
      </w:r>
    </w:p>
    <w:p>
      <w:pPr>
        <w:pStyle w:val="ListParagraph"/>
        <w:numPr>
          <w:ilvl w:val="0"/>
          <w:numId w:val="24"/>
        </w:numPr>
        <w:spacing w:after="80" w:line="280"/>
      </w:pPr>
      <w:r>
        <w:rPr>
          <w:rFonts w:ascii="Arial" w:cs="Arial" w:eastAsia="Arial" w:hAnsi="Arial"/>
          <w:sz w:val="21"/>
          <w:szCs w:val="21"/>
        </w:rPr>
        <w:t xml:space="preserve">vendor_id + material_id should exist in source_list for the target plant (EXCEPT maverick POs)</w:t>
      </w:r>
    </w:p>
    <w:p>
      <w:pPr>
        <w:pStyle w:val="ListParagraph"/>
        <w:numPr>
          <w:ilvl w:val="0"/>
          <w:numId w:val="24"/>
        </w:numPr>
        <w:spacing w:after="80" w:line="280"/>
      </w:pPr>
      <w:r>
        <w:rPr>
          <w:rFonts w:ascii="Arial" w:cs="Arial" w:eastAsia="Arial" w:hAnsi="Arial"/>
          <w:sz w:val="21"/>
          <w:szCs w:val="21"/>
        </w:rPr>
        <w:t xml:space="preserve">If contract_id is populated, unit_price must match contract_item.agreed_price</w:t>
      </w:r>
    </w:p>
    <w:p>
      <w:pPr>
        <w:pStyle w:val="ListParagraph"/>
        <w:numPr>
          <w:ilvl w:val="0"/>
          <w:numId w:val="24"/>
        </w:numPr>
        <w:spacing w:after="80" w:line="280"/>
      </w:pPr>
      <w:r>
        <w:rPr>
          <w:rFonts w:ascii="Arial" w:cs="Arial" w:eastAsia="Arial" w:hAnsi="Arial"/>
          <w:sz w:val="21"/>
          <w:szCs w:val="21"/>
        </w:rPr>
        <w:t xml:space="preserve">If no contract, unit_price should be within ±15% of material.standard_cost (with some outliers for demo)</w:t>
      </w:r>
    </w:p>
    <w:p>
      <w:pPr>
        <w:pStyle w:val="ListParagraph"/>
        <w:numPr>
          <w:ilvl w:val="0"/>
          <w:numId w:val="24"/>
        </w:numPr>
        <w:spacing w:after="80" w:line="280"/>
      </w:pPr>
      <w:r>
        <w:rPr>
          <w:rFonts w:ascii="Arial" w:cs="Arial" w:eastAsia="Arial" w:hAnsi="Arial"/>
          <w:sz w:val="21"/>
          <w:szCs w:val="21"/>
        </w:rPr>
        <w:t xml:space="preserve">requested_delivery_date = po_date + source_list.lane_lead_time_days (or vendor.lead_time_days_typical)</w:t>
      </w:r>
    </w:p>
    <w:p>
      <w:pPr>
        <w:pStyle w:val="ListParagraph"/>
        <w:numPr>
          <w:ilvl w:val="0"/>
          <w:numId w:val="24"/>
        </w:numPr>
        <w:spacing w:after="80" w:line="280"/>
      </w:pPr>
      <w:r>
        <w:rPr>
          <w:rFonts w:ascii="Arial" w:cs="Arial" w:eastAsia="Arial" w:hAnsi="Arial"/>
          <w:sz w:val="21"/>
          <w:szCs w:val="21"/>
        </w:rPr>
        <w:t xml:space="preserve">~70–75% of POs should reference a contract (on-contract). ~25–30% are spot buys or maverick</w:t>
      </w:r>
    </w:p>
    <w:p>
      <w:pPr>
        <w:pStyle w:val="ListParagraph"/>
        <w:numPr>
          <w:ilvl w:val="0"/>
          <w:numId w:val="24"/>
        </w:numPr>
        <w:spacing w:after="80" w:line="280"/>
      </w:pPr>
      <w:r>
        <w:rPr>
          <w:rFonts w:ascii="Arial" w:cs="Arial" w:eastAsia="Arial" w:hAnsi="Arial"/>
          <w:sz w:val="21"/>
          <w:szCs w:val="21"/>
        </w:rPr>
        <w:t xml:space="preserve">~5–8% of POs should have maverick_flag = TRUE (deliberate violations)</w:t>
      </w:r>
    </w:p>
    <w:p>
      <w:pPr>
        <w:pStyle w:val="ListParagraph"/>
        <w:numPr>
          <w:ilvl w:val="0"/>
          <w:numId w:val="24"/>
        </w:numPr>
        <w:spacing w:after="80" w:line="280"/>
      </w:pPr>
      <w:r>
        <w:rPr>
          <w:rFonts w:ascii="Arial" w:cs="Arial" w:eastAsia="Arial" w:hAnsi="Arial"/>
          <w:sz w:val="21"/>
          <w:szCs w:val="21"/>
        </w:rPr>
        <w:t xml:space="preserve">Maverick POs must be distributed across scenario seed themes (SEED-005 off-contract motors)</w:t>
      </w:r>
    </w:p>
    <w:p>
      <w:pPr>
        <w:pStyle w:val="ListParagraph"/>
        <w:numPr>
          <w:ilvl w:val="0"/>
          <w:numId w:val="24"/>
        </w:numPr>
        <w:spacing w:after="80" w:line="280"/>
      </w:pPr>
      <w:r>
        <w:rPr>
          <w:rFonts w:ascii="Arial" w:cs="Arial" w:eastAsia="Arial" w:hAnsi="Arial"/>
          <w:sz w:val="21"/>
          <w:szCs w:val="21"/>
        </w:rPr>
        <w:t xml:space="preserve">RUSH POs: ~3–5% of total, correlated with URGENT PRs and high-criticality materials</w:t>
      </w:r>
    </w:p>
    <w:p>
      <w:pPr>
        <w:spacing w:after="80"/>
      </w:pPr>
    </w:p>
    <w:p>
      <w:pPr>
        <w:spacing w:before="200" w:after="120"/>
      </w:pPr>
      <w:r>
        <w:rPr>
          <w:rFonts w:ascii="Arial" w:cs="Arial" w:eastAsia="Arial" w:hAnsi="Arial"/>
          <w:b/>
          <w:bCs/>
          <w:color w:val="2874A6"/>
          <w:sz w:val="22"/>
          <w:szCs w:val="22"/>
        </w:rPr>
        <w:t xml:space="preserve">PO Pricing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 Derivation</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On-contract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unit_price = contract_item.agreed_price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~70–75%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Off-contract, preferred vendor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unit_price = standard_cost × (1.05 to 1.15)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~15–18%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Off-contract, non-preferred vendor</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unit_price = standard_cost × (1.15 to 1.35)</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Maverick (wrong vendor)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unit_price = standard_cost × (1.20 to 1.50)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Rush premium</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Base price × 1.10 to 1.25 surcharge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~3–5%</w:t>
            </w:r>
          </w:p>
        </w:tc>
      </w:tr>
    </w:tbl>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This pricing distribution ensures spend intelligence queries return meaningful results. The AI can identify that maverick POs are paying 20–50% above standard cost and calculate the financial impact of off-contract purchasing.</w:t>
      </w:r>
    </w:p>
    <w:p>
      <w:r>
        <w:br w:type="page"/>
      </w:r>
    </w:p>
    <w:p>
      <w:pPr>
        <w:pStyle w:val="Heading2"/>
        <w:spacing w:before="280" w:after="160"/>
      </w:pPr>
      <w:r>
        <w:rPr>
          <w:rFonts w:ascii="Arial" w:cs="Arial" w:eastAsia="Arial" w:hAnsi="Arial"/>
          <w:b/>
          <w:bCs/>
          <w:color w:val="2E86C1"/>
          <w:sz w:val="26"/>
          <w:szCs w:val="26"/>
        </w:rPr>
        <w:t xml:space="preserve">D2.3 Goods Receipt</w:t>
      </w:r>
    </w:p>
    <w:p>
      <w:pPr>
        <w:spacing w:after="140" w:line="300"/>
      </w:pPr>
      <w:r>
        <w:rPr>
          <w:rFonts w:ascii="Arial" w:cs="Arial" w:eastAsia="Arial" w:hAnsi="Arial"/>
          <w:sz w:val="21"/>
          <w:szCs w:val="21"/>
        </w:rPr>
        <w:t xml:space="preserve">A goods receipt records the physical arrival of ordered materials at the plant. It is the delivery confirmation step that updates inventory and triggers the matching process.</w:t>
      </w:r>
    </w:p>
    <w:p>
      <w:pPr>
        <w:spacing w:after="60"/>
      </w:pPr>
    </w:p>
    <w:p>
      <w:pPr>
        <w:spacing w:before="200" w:after="120"/>
      </w:pPr>
      <w:r>
        <w:rPr>
          <w:rFonts w:ascii="Arial" w:cs="Arial" w:eastAsia="Arial" w:hAnsi="Arial"/>
          <w:b/>
          <w:bCs/>
          <w:color w:val="2874A6"/>
          <w:sz w:val="22"/>
          <w:szCs w:val="22"/>
        </w:rPr>
        <w:t xml:space="preserve">gr_header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Goods receipt identifier (e.g., GR-000001)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 goods were received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po_header</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Reference 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plant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Receiving plant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storage_loc_id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storage_location</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Destination storage 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received_by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Warehouse operator name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POSTED | REVERSED | QUALITY_HOLD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(nullable)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Discrepancy notes, damage reports</w:t>
            </w:r>
          </w:p>
        </w:tc>
      </w:tr>
    </w:tbl>
    <w:p>
      <w:pPr>
        <w:spacing w:after="80"/>
      </w:pPr>
    </w:p>
    <w:p>
      <w:pPr>
        <w:spacing w:before="200" w:after="120"/>
      </w:pPr>
      <w:r>
        <w:rPr>
          <w:rFonts w:ascii="Arial" w:cs="Arial" w:eastAsia="Arial" w:hAnsi="Arial"/>
          <w:b/>
          <w:bCs/>
          <w:color w:val="2874A6"/>
          <w:sz w:val="22"/>
          <w:szCs w:val="22"/>
        </w:rPr>
        <w:t xml:space="preserve">gr_line_item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gr_header</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Parent GR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gr_line_number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Line item sequence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po_header</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Reference 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po_line_number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po_line_item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Reference PO line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material_master</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Received material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quantity_received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Actual quantity received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uom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Must match material.base_uom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quantity_accepted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 passing quality check (≤ quantity_received)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quantity_rejected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 failing quality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rejection_reason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DAMAGED | WRONG_SPEC | DEFECTIVE | EXPIRED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batch_number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VARCHAR(30)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(nullable)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Lot/batch tracking for traceability</w:t>
            </w:r>
          </w:p>
        </w:tc>
      </w:tr>
    </w:tbl>
    <w:p>
      <w:pPr>
        <w:spacing w:after="80"/>
      </w:pPr>
    </w:p>
    <w:p>
      <w:pPr>
        <w:spacing w:before="200" w:after="120"/>
      </w:pPr>
      <w:r>
        <w:rPr>
          <w:rFonts w:ascii="Arial" w:cs="Arial" w:eastAsia="Arial" w:hAnsi="Arial"/>
          <w:b/>
          <w:bCs/>
          <w:color w:val="2874A6"/>
          <w:sz w:val="22"/>
          <w:szCs w:val="22"/>
        </w:rPr>
        <w:t xml:space="preserve">GR Generation Rules</w:t>
      </w:r>
    </w:p>
    <w:p>
      <w:pPr>
        <w:pStyle w:val="ListParagraph"/>
        <w:numPr>
          <w:ilvl w:val="0"/>
          <w:numId w:val="25"/>
        </w:numPr>
        <w:spacing w:after="80" w:line="280"/>
      </w:pPr>
      <w:r>
        <w:rPr>
          <w:rFonts w:ascii="Arial" w:cs="Arial" w:eastAsia="Arial" w:hAnsi="Arial"/>
          <w:sz w:val="21"/>
          <w:szCs w:val="21"/>
        </w:rPr>
        <w:t xml:space="preserve">gr_date must be after po_date. Typical offset: lane_lead_time_days ± variance</w:t>
      </w:r>
    </w:p>
    <w:p>
      <w:pPr>
        <w:pStyle w:val="ListParagraph"/>
        <w:numPr>
          <w:ilvl w:val="0"/>
          <w:numId w:val="25"/>
        </w:numPr>
        <w:spacing w:after="80" w:line="280"/>
      </w:pPr>
      <w:r>
        <w:rPr>
          <w:rFonts w:ascii="Arial" w:cs="Arial" w:eastAsia="Arial" w:hAnsi="Arial"/>
          <w:sz w:val="21"/>
          <w:szCs w:val="21"/>
        </w:rPr>
        <w:t xml:space="preserve">On-time: gr_date ≤ po_line.requested_delivery_date (target: ~80–85% of GR lines)</w:t>
      </w:r>
    </w:p>
    <w:p>
      <w:pPr>
        <w:pStyle w:val="ListParagraph"/>
        <w:numPr>
          <w:ilvl w:val="0"/>
          <w:numId w:val="25"/>
        </w:numPr>
        <w:spacing w:after="80" w:line="280"/>
      </w:pPr>
      <w:r>
        <w:rPr>
          <w:rFonts w:ascii="Arial" w:cs="Arial" w:eastAsia="Arial" w:hAnsi="Arial"/>
          <w:sz w:val="21"/>
          <w:szCs w:val="21"/>
        </w:rPr>
        <w:t xml:space="preserve">Late: gr_date &gt; requested_delivery_date (target: ~15–20% of GR lines)</w:t>
      </w:r>
    </w:p>
    <w:p>
      <w:pPr>
        <w:pStyle w:val="ListParagraph"/>
        <w:numPr>
          <w:ilvl w:val="0"/>
          <w:numId w:val="25"/>
        </w:numPr>
        <w:spacing w:after="80" w:line="280"/>
      </w:pPr>
      <w:r>
        <w:rPr>
          <w:rFonts w:ascii="Arial" w:cs="Arial" w:eastAsia="Arial" w:hAnsi="Arial"/>
          <w:sz w:val="21"/>
          <w:szCs w:val="21"/>
        </w:rPr>
        <w:t xml:space="preserve">Late delivery distribution should correlate with vendor.on_time_delivery_rate</w:t>
      </w:r>
    </w:p>
    <w:p>
      <w:pPr>
        <w:pStyle w:val="ListParagraph"/>
        <w:numPr>
          <w:ilvl w:val="0"/>
          <w:numId w:val="25"/>
        </w:numPr>
        <w:spacing w:after="80" w:line="280"/>
      </w:pPr>
      <w:r>
        <w:rPr>
          <w:rFonts w:ascii="Arial" w:cs="Arial" w:eastAsia="Arial" w:hAnsi="Arial"/>
          <w:sz w:val="21"/>
          <w:szCs w:val="21"/>
        </w:rPr>
        <w:t xml:space="preserve">~90–95% of GR lines: quantity_received = PO quantity (full delivery)</w:t>
      </w:r>
    </w:p>
    <w:p>
      <w:pPr>
        <w:pStyle w:val="ListParagraph"/>
        <w:numPr>
          <w:ilvl w:val="0"/>
          <w:numId w:val="25"/>
        </w:numPr>
        <w:spacing w:after="80" w:line="280"/>
      </w:pPr>
      <w:r>
        <w:rPr>
          <w:rFonts w:ascii="Arial" w:cs="Arial" w:eastAsia="Arial" w:hAnsi="Arial"/>
          <w:sz w:val="21"/>
          <w:szCs w:val="21"/>
        </w:rPr>
        <w:t xml:space="preserve">~3–5% partial deliveries: quantity_received &lt; PO quantity</w:t>
      </w:r>
    </w:p>
    <w:p>
      <w:pPr>
        <w:pStyle w:val="ListParagraph"/>
        <w:numPr>
          <w:ilvl w:val="0"/>
          <w:numId w:val="25"/>
        </w:numPr>
        <w:spacing w:after="80" w:line="280"/>
      </w:pPr>
      <w:r>
        <w:rPr>
          <w:rFonts w:ascii="Arial" w:cs="Arial" w:eastAsia="Arial" w:hAnsi="Arial"/>
          <w:sz w:val="21"/>
          <w:szCs w:val="21"/>
        </w:rPr>
        <w:t xml:space="preserve">~2–3% over-deliveries: quantity_received &gt; PO quantity (within tolerance)</w:t>
      </w:r>
    </w:p>
    <w:p>
      <w:pPr>
        <w:pStyle w:val="ListParagraph"/>
        <w:numPr>
          <w:ilvl w:val="0"/>
          <w:numId w:val="25"/>
        </w:numPr>
        <w:spacing w:after="80" w:line="280"/>
      </w:pPr>
      <w:r>
        <w:rPr>
          <w:rFonts w:ascii="Arial" w:cs="Arial" w:eastAsia="Arial" w:hAnsi="Arial"/>
          <w:sz w:val="21"/>
          <w:szCs w:val="21"/>
        </w:rPr>
        <w:t xml:space="preserve">~3–5% of received quantities should have quality rejections (quantity_rejected &gt; 0)</w:t>
      </w:r>
    </w:p>
    <w:p>
      <w:pPr>
        <w:pStyle w:val="ListParagraph"/>
        <w:numPr>
          <w:ilvl w:val="0"/>
          <w:numId w:val="25"/>
        </w:numPr>
        <w:spacing w:after="80" w:line="280"/>
      </w:pPr>
      <w:r>
        <w:rPr>
          <w:rFonts w:ascii="Arial" w:cs="Arial" w:eastAsia="Arial" w:hAnsi="Arial"/>
          <w:sz w:val="21"/>
          <w:szCs w:val="21"/>
        </w:rPr>
        <w:t xml:space="preserve">Quality rejection rates should correlate with vendor.quality_score (low score = more rejections)</w:t>
      </w:r>
    </w:p>
    <w:p>
      <w:pPr>
        <w:spacing w:after="80"/>
      </w:pPr>
    </w:p>
    <w:p>
      <w:pPr>
        <w:spacing w:before="200" w:after="120"/>
      </w:pPr>
      <w:r>
        <w:rPr>
          <w:rFonts w:ascii="Arial" w:cs="Arial" w:eastAsia="Arial" w:hAnsi="Arial"/>
          <w:b/>
          <w:bCs/>
          <w:color w:val="2874A6"/>
          <w:sz w:val="22"/>
          <w:szCs w:val="22"/>
        </w:rPr>
        <w:t xml:space="preserve">Delivery Timing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Delivery Outcome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 Calculation</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Distribution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On-time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gr_date = po_date + lane_lead_time + random(-3, 0) days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~55–60%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Early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gr_date = po_date + lane_lead_time + random(-7, -4)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~20–25%</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Late (minor)</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gr_date = requested_delivery_date + random(1, 7) days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~10–12%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Late (significant)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gr_date = requested_delivery_date + random(8, 30)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Not yet received</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No GR record (PO still open)</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~5–8%</w:t>
            </w:r>
          </w:p>
        </w:tc>
      </w:tr>
    </w:tbl>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Late delivery rates per vendor must be roughly consistent with vendor.on_time_delivery_rate. If HOKUYO-JP has OTD of 88.5%, approximately 11–12% of GRs from Hokuyo should be late. This correlation is what makes late delivery analysis credible.</w:t>
      </w:r>
    </w:p>
    <w:p>
      <w:r>
        <w:br w:type="page"/>
      </w:r>
    </w:p>
    <w:p>
      <w:pPr>
        <w:pStyle w:val="Heading2"/>
        <w:spacing w:before="280" w:after="160"/>
      </w:pPr>
      <w:r>
        <w:rPr>
          <w:rFonts w:ascii="Arial" w:cs="Arial" w:eastAsia="Arial" w:hAnsi="Arial"/>
          <w:b/>
          <w:bCs/>
          <w:color w:val="2E86C1"/>
          <w:sz w:val="26"/>
          <w:szCs w:val="26"/>
        </w:rPr>
        <w:t xml:space="preserve">D2.4 Invoice</w:t>
      </w:r>
    </w:p>
    <w:p>
      <w:pPr>
        <w:spacing w:after="140" w:line="300"/>
      </w:pPr>
      <w:r>
        <w:rPr>
          <w:rFonts w:ascii="Arial" w:cs="Arial" w:eastAsia="Arial" w:hAnsi="Arial"/>
          <w:sz w:val="21"/>
          <w:szCs w:val="21"/>
        </w:rPr>
        <w:t xml:space="preserve">An invoice is the supplier’s payment request. It triggers the three-way match process: does the invoice match the PO (quantities and prices) and the GR (quantities received)? Mismatches create exceptions that require manual resolution.</w:t>
      </w:r>
    </w:p>
    <w:p>
      <w:pPr>
        <w:spacing w:after="60"/>
      </w:pPr>
    </w:p>
    <w:p>
      <w:pPr>
        <w:spacing w:before="200" w:after="120"/>
      </w:pPr>
      <w:r>
        <w:rPr>
          <w:rFonts w:ascii="Arial" w:cs="Arial" w:eastAsia="Arial" w:hAnsi="Arial"/>
          <w:b/>
          <w:bCs/>
          <w:color w:val="2874A6"/>
          <w:sz w:val="22"/>
          <w:szCs w:val="22"/>
        </w:rPr>
        <w:t xml:space="preserve">invoice_header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 identifier (e.g., INV-000001)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vendor_invoice_number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Supplier’s own invoice reference number</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invoice_date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Date on the invoice (supplier’s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received_date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 invoice was received by procurement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vendor_master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Invoicing supplier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po_header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Reference PO</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currency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 currency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total_gross_amount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invoice amount before tax</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tax_amount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Tax amount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total_net_amount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after tax</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RECEIVED | MATCHED | EXCEPTION | APPROVED | PAID | CANCELLED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match_status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FULL_MATCH | PRICE_VARIANCE | QUANTITY_VARIANCE | BOTH_VARIANCE | PENDING</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payment_due_date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Calculated from invoice_date + vendor.payment_terms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payment_block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TRUE if invoice is blocked from payment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block_reason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(nullable)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PRICE_MISMATCH | QTY_MISMATCH | QUALITY_HOLD | DUPLICATE_SUSPECT</w:t>
            </w:r>
          </w:p>
        </w:tc>
      </w:tr>
    </w:tbl>
    <w:p>
      <w:pPr>
        <w:spacing w:after="80"/>
      </w:pPr>
    </w:p>
    <w:p>
      <w:pPr>
        <w:spacing w:before="200" w:after="120"/>
      </w:pPr>
      <w:r>
        <w:rPr>
          <w:rFonts w:ascii="Arial" w:cs="Arial" w:eastAsia="Arial" w:hAnsi="Arial"/>
          <w:b/>
          <w:bCs/>
          <w:color w:val="2874A6"/>
          <w:sz w:val="22"/>
          <w:szCs w:val="22"/>
        </w:rPr>
        <w:t xml:space="preserve">invoice_line_item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invoice_header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Parent invoice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invoice_line_number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Line item sequence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po_header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Reference PO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po_line_number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po_line_item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Reference PO line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material_id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material_master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Invoiced material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quantity_invoiced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 on the invoice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unit_price_invoiced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Unit price on the invoice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net_amount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DECIMAL(14,2)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Line net amount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gr_header (nullable)</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Matched GR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gr_line_number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FK → gr_line_item (nullable)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Matched GR line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price_variance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unit_price_invoiced - po_line.unit_price (can be negative)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quantity_variance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quantity_invoiced - gr_line.quantity_accepted</w:t>
            </w:r>
          </w:p>
        </w:tc>
      </w:tr>
    </w:tbl>
    <w:p>
      <w:pPr>
        <w:spacing w:after="80"/>
      </w:pPr>
    </w:p>
    <w:p>
      <w:pPr>
        <w:spacing w:before="200" w:after="120"/>
      </w:pPr>
      <w:r>
        <w:rPr>
          <w:rFonts w:ascii="Arial" w:cs="Arial" w:eastAsia="Arial" w:hAnsi="Arial"/>
          <w:b/>
          <w:bCs/>
          <w:color w:val="2874A6"/>
          <w:sz w:val="22"/>
          <w:szCs w:val="22"/>
        </w:rPr>
        <w:t xml:space="preserve">Three-Way Match Logic</w:t>
      </w:r>
    </w:p>
    <w:p>
      <w:pPr>
        <w:spacing w:after="140" w:line="300"/>
      </w:pPr>
      <w:r>
        <w:rPr>
          <w:rFonts w:ascii="Arial" w:cs="Arial" w:eastAsia="Arial" w:hAnsi="Arial"/>
          <w:sz w:val="21"/>
          <w:szCs w:val="21"/>
        </w:rPr>
        <w:t xml:space="preserve">The three-way match compares three documents to verify consistency before payment: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Tolerance</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Exception if violated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Price match</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invoice.unit_price vs. po.unit_price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 or ±$0.50 (whichever is greater)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PRICE_VARIANCE → payment block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 match (PO vs Invoice)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invoice.quantity vs. po.quantity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QUANTITY_VARIANCE → payment block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 match (GR vs Invoice)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invoice.quantity vs. gr.quantity_accepted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QUANTITY_VARIANCE → payment block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 reference valid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 references an existing, non-cancelled 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Exact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INVALID_REF → payment block</w:t>
            </w:r>
          </w:p>
        </w:tc>
      </w:tr>
    </w:tbl>
    <w:p>
      <w:pPr>
        <w:spacing w:after="80"/>
      </w:pPr>
    </w:p>
    <w:p>
      <w:pPr>
        <w:spacing w:before="200" w:after="120"/>
      </w:pPr>
      <w:r>
        <w:rPr>
          <w:rFonts w:ascii="Arial" w:cs="Arial" w:eastAsia="Arial" w:hAnsi="Arial"/>
          <w:b/>
          <w:bCs/>
          <w:color w:val="2874A6"/>
          <w:sz w:val="22"/>
          <w:szCs w:val="22"/>
        </w:rPr>
        <w:t xml:space="preserve">Invoice Generation Rules</w:t>
      </w:r>
    </w:p>
    <w:p>
      <w:pPr>
        <w:pStyle w:val="ListParagraph"/>
        <w:numPr>
          <w:ilvl w:val="0"/>
          <w:numId w:val="26"/>
        </w:numPr>
        <w:spacing w:after="80" w:line="280"/>
      </w:pPr>
      <w:r>
        <w:rPr>
          <w:rFonts w:ascii="Arial" w:cs="Arial" w:eastAsia="Arial" w:hAnsi="Arial"/>
          <w:sz w:val="21"/>
          <w:szCs w:val="21"/>
        </w:rPr>
        <w:t xml:space="preserve">invoice_date must be on or after the corresponding GR date (for goods invoices)</w:t>
      </w:r>
    </w:p>
    <w:p>
      <w:pPr>
        <w:pStyle w:val="ListParagraph"/>
        <w:numPr>
          <w:ilvl w:val="0"/>
          <w:numId w:val="26"/>
        </w:numPr>
        <w:spacing w:after="80" w:line="280"/>
      </w:pPr>
      <w:r>
        <w:rPr>
          <w:rFonts w:ascii="Arial" w:cs="Arial" w:eastAsia="Arial" w:hAnsi="Arial"/>
          <w:sz w:val="21"/>
          <w:szCs w:val="21"/>
        </w:rPr>
        <w:t xml:space="preserve">received_date = invoice_date + random(0, 5) business days (mail/processing delay)</w:t>
      </w:r>
    </w:p>
    <w:p>
      <w:pPr>
        <w:pStyle w:val="ListParagraph"/>
        <w:numPr>
          <w:ilvl w:val="0"/>
          <w:numId w:val="26"/>
        </w:numPr>
        <w:spacing w:after="80" w:line="280"/>
      </w:pPr>
      <w:r>
        <w:rPr>
          <w:rFonts w:ascii="Arial" w:cs="Arial" w:eastAsia="Arial" w:hAnsi="Arial"/>
          <w:sz w:val="21"/>
          <w:szCs w:val="21"/>
        </w:rPr>
        <w:t xml:space="preserve">payment_due_date = invoice_date + payment_terms_days (from vendor.payment_terms)</w:t>
      </w:r>
    </w:p>
    <w:p>
      <w:pPr>
        <w:pStyle w:val="ListParagraph"/>
        <w:numPr>
          <w:ilvl w:val="0"/>
          <w:numId w:val="26"/>
        </w:numPr>
        <w:spacing w:after="80" w:line="280"/>
      </w:pPr>
      <w:r>
        <w:rPr>
          <w:rFonts w:ascii="Arial" w:cs="Arial" w:eastAsia="Arial" w:hAnsi="Arial"/>
          <w:sz w:val="21"/>
          <w:szCs w:val="21"/>
        </w:rPr>
        <w:t xml:space="preserve">~80–85% of invoices: FULL_MATCH (no variance beyond tolerance)</w:t>
      </w:r>
    </w:p>
    <w:p>
      <w:pPr>
        <w:pStyle w:val="ListParagraph"/>
        <w:numPr>
          <w:ilvl w:val="0"/>
          <w:numId w:val="26"/>
        </w:numPr>
        <w:spacing w:after="80" w:line="280"/>
      </w:pPr>
      <w:r>
        <w:rPr>
          <w:rFonts w:ascii="Arial" w:cs="Arial" w:eastAsia="Arial" w:hAnsi="Arial"/>
          <w:sz w:val="21"/>
          <w:szCs w:val="21"/>
        </w:rPr>
        <w:t xml:space="preserve">~8–12% of invoices: PRICE_VARIANCE (supplier invoices at different price than PO)</w:t>
      </w:r>
    </w:p>
    <w:p>
      <w:pPr>
        <w:pStyle w:val="ListParagraph"/>
        <w:numPr>
          <w:ilvl w:val="0"/>
          <w:numId w:val="26"/>
        </w:numPr>
        <w:spacing w:after="80" w:line="280"/>
      </w:pPr>
      <w:r>
        <w:rPr>
          <w:rFonts w:ascii="Arial" w:cs="Arial" w:eastAsia="Arial" w:hAnsi="Arial"/>
          <w:sz w:val="21"/>
          <w:szCs w:val="21"/>
        </w:rPr>
        <w:t xml:space="preserve">~3–5% of invoices: QUANTITY_VARIANCE (invoiced quantity differs from received)</w:t>
      </w:r>
    </w:p>
    <w:p>
      <w:pPr>
        <w:pStyle w:val="ListParagraph"/>
        <w:numPr>
          <w:ilvl w:val="0"/>
          <w:numId w:val="26"/>
        </w:numPr>
        <w:spacing w:after="80" w:line="280"/>
      </w:pPr>
      <w:r>
        <w:rPr>
          <w:rFonts w:ascii="Arial" w:cs="Arial" w:eastAsia="Arial" w:hAnsi="Arial"/>
          <w:sz w:val="21"/>
          <w:szCs w:val="21"/>
        </w:rPr>
        <w:t xml:space="preserve">~2–3% of invoices: BOTH_VARIANCE or DUPLICATE_SUSPECT</w:t>
      </w:r>
    </w:p>
    <w:p>
      <w:pPr>
        <w:pStyle w:val="ListParagraph"/>
        <w:numPr>
          <w:ilvl w:val="0"/>
          <w:numId w:val="26"/>
        </w:numPr>
        <w:spacing w:after="80" w:line="280"/>
      </w:pPr>
      <w:r>
        <w:rPr>
          <w:rFonts w:ascii="Arial" w:cs="Arial" w:eastAsia="Arial" w:hAnsi="Arial"/>
          <w:sz w:val="21"/>
          <w:szCs w:val="21"/>
        </w:rPr>
        <w:t xml:space="preserve">payment_block = TRUE for all invoices with match exceptions until resolved</w:t>
      </w:r>
    </w:p>
    <w:p>
      <w:r>
        <w:br w:type="page"/>
      </w:r>
    </w:p>
    <w:p>
      <w:pPr>
        <w:pStyle w:val="Heading2"/>
        <w:spacing w:before="280" w:after="160"/>
      </w:pPr>
      <w:r>
        <w:rPr>
          <w:rFonts w:ascii="Arial" w:cs="Arial" w:eastAsia="Arial" w:hAnsi="Arial"/>
          <w:b/>
          <w:bCs/>
          <w:color w:val="2E86C1"/>
          <w:sz w:val="26"/>
          <w:szCs w:val="26"/>
        </w:rPr>
        <w:t xml:space="preserve">D2.5 Payment</w:t>
      </w:r>
    </w:p>
    <w:p>
      <w:pPr>
        <w:spacing w:after="140" w:line="300"/>
      </w:pPr>
      <w:r>
        <w:rPr>
          <w:rFonts w:ascii="Arial" w:cs="Arial" w:eastAsia="Arial" w:hAnsi="Arial"/>
          <w:sz w:val="21"/>
          <w:szCs w:val="21"/>
        </w:rPr>
        <w:t xml:space="preserve">Payments represent the settlement of approved invoices. They are the final step in the P2P lifecycle and link back to vendor bank accounts (a key masking/guardrail demo element).</w:t>
      </w:r>
    </w:p>
    <w:p>
      <w:pPr>
        <w:spacing w:after="60"/>
      </w:pPr>
    </w:p>
    <w:p>
      <w:pPr>
        <w:spacing w:before="200" w:after="120"/>
      </w:pPr>
      <w:r>
        <w:rPr>
          <w:rFonts w:ascii="Arial" w:cs="Arial" w:eastAsia="Arial" w:hAnsi="Arial"/>
          <w:b/>
          <w:bCs/>
          <w:color w:val="2874A6"/>
          <w:sz w:val="22"/>
          <w:szCs w:val="22"/>
        </w:rPr>
        <w:t xml:space="preserv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 identifier (e.g., PAY-000001)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 payment was executed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FK → vendor_master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Payee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payment_method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BANK_TRANSFER | CHECK | WIRE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currency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 currency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total_amount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DECIMAL(14,2)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payment amount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bank_account_ref</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VARCHAR(40)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 bank account used (references vendor.bank_account)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payment_terms_applied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Actual terms applied (e.g., NET30)</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early_payment_discount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DECIMAL(12,2)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Discount taken if paid within discount window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SCHEDULED | EXECUTED | FAILED | REVERSED</w:t>
            </w:r>
          </w:p>
        </w:tc>
      </w:tr>
    </w:tbl>
    <w:p>
      <w:pPr>
        <w:spacing w:after="80"/>
      </w:pPr>
    </w:p>
    <w:p>
      <w:pPr>
        <w:spacing w:before="200" w:after="120"/>
      </w:pPr>
      <w:r>
        <w:rPr>
          <w:rFonts w:ascii="Arial" w:cs="Arial" w:eastAsia="Arial" w:hAnsi="Arial"/>
          <w:b/>
          <w:bCs/>
          <w:color w:val="2874A6"/>
          <w:sz w:val="22"/>
          <w:szCs w:val="22"/>
        </w:rPr>
        <w:t xml:space="preserve">payment_invoice_link</w:t>
      </w:r>
    </w:p>
    <w:p>
      <w:pPr>
        <w:spacing w:after="140" w:line="300"/>
      </w:pPr>
      <w:r>
        <w:rPr>
          <w:rFonts w:ascii="Arial" w:cs="Arial" w:eastAsia="Arial" w:hAnsi="Arial"/>
          <w:sz w:val="21"/>
          <w:szCs w:val="21"/>
        </w:rPr>
        <w:t xml:space="preserve">A single payment can settle multiple invoices (batch payment), and an invoice can be partially paid across multiple payments. This junction table handles the many-to-many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payment_id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PK, FK → payment</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PK, FK → invoice_header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 being settled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amount_applied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DECIMAL(14,2)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Amount of this payment applied to this invoice</w:t>
            </w:r>
          </w:p>
        </w:tc>
      </w:tr>
    </w:tbl>
    <w:p>
      <w:pPr>
        <w:spacing w:after="80"/>
      </w:pPr>
    </w:p>
    <w:p>
      <w:pPr>
        <w:spacing w:before="200" w:after="120"/>
      </w:pPr>
      <w:r>
        <w:rPr>
          <w:rFonts w:ascii="Arial" w:cs="Arial" w:eastAsia="Arial" w:hAnsi="Arial"/>
          <w:b/>
          <w:bCs/>
          <w:color w:val="2874A6"/>
          <w:sz w:val="22"/>
          <w:szCs w:val="22"/>
        </w:rPr>
        <w:t xml:space="preserve">Payment Generation Rules</w:t>
      </w:r>
    </w:p>
    <w:p>
      <w:pPr>
        <w:pStyle w:val="ListParagraph"/>
        <w:numPr>
          <w:ilvl w:val="0"/>
          <w:numId w:val="27"/>
        </w:numPr>
        <w:spacing w:after="80" w:line="280"/>
      </w:pPr>
      <w:r>
        <w:rPr>
          <w:rFonts w:ascii="Arial" w:cs="Arial" w:eastAsia="Arial" w:hAnsi="Arial"/>
          <w:sz w:val="21"/>
          <w:szCs w:val="21"/>
        </w:rPr>
        <w:t xml:space="preserve">payment_date must be on or after the invoice’s payment_due_date (for on-time payments)</w:t>
      </w:r>
    </w:p>
    <w:p>
      <w:pPr>
        <w:pStyle w:val="ListParagraph"/>
        <w:numPr>
          <w:ilvl w:val="0"/>
          <w:numId w:val="27"/>
        </w:numPr>
        <w:spacing w:after="80" w:line="280"/>
      </w:pPr>
      <w:r>
        <w:rPr>
          <w:rFonts w:ascii="Arial" w:cs="Arial" w:eastAsia="Arial" w:hAnsi="Arial"/>
          <w:sz w:val="21"/>
          <w:szCs w:val="21"/>
        </w:rPr>
        <w:t xml:space="preserve">~75–80% of payments: on-time (payment_date within ±3 days of due date)</w:t>
      </w:r>
    </w:p>
    <w:p>
      <w:pPr>
        <w:pStyle w:val="ListParagraph"/>
        <w:numPr>
          <w:ilvl w:val="0"/>
          <w:numId w:val="27"/>
        </w:numPr>
        <w:spacing w:after="80" w:line="280"/>
      </w:pPr>
      <w:r>
        <w:rPr>
          <w:rFonts w:ascii="Arial" w:cs="Arial" w:eastAsia="Arial" w:hAnsi="Arial"/>
          <w:sz w:val="21"/>
          <w:szCs w:val="21"/>
        </w:rPr>
        <w:t xml:space="preserve">~10–15% of payments: early (payment_date &gt; 5 days before due date, may take discount)</w:t>
      </w:r>
    </w:p>
    <w:p>
      <w:pPr>
        <w:pStyle w:val="ListParagraph"/>
        <w:numPr>
          <w:ilvl w:val="0"/>
          <w:numId w:val="27"/>
        </w:numPr>
        <w:spacing w:after="80" w:line="280"/>
      </w:pPr>
      <w:r>
        <w:rPr>
          <w:rFonts w:ascii="Arial" w:cs="Arial" w:eastAsia="Arial" w:hAnsi="Arial"/>
          <w:sz w:val="21"/>
          <w:szCs w:val="21"/>
        </w:rPr>
        <w:t xml:space="preserve">~8–12% of payments: late (payment_date &gt; 5 days after due date)</w:t>
      </w:r>
    </w:p>
    <w:p>
      <w:pPr>
        <w:pStyle w:val="ListParagraph"/>
        <w:numPr>
          <w:ilvl w:val="0"/>
          <w:numId w:val="27"/>
        </w:numPr>
        <w:spacing w:after="80" w:line="280"/>
      </w:pPr>
      <w:r>
        <w:rPr>
          <w:rFonts w:ascii="Arial" w:cs="Arial" w:eastAsia="Arial" w:hAnsi="Arial"/>
          <w:sz w:val="21"/>
          <w:szCs w:val="21"/>
        </w:rPr>
        <w:t xml:space="preserve">~2–3% of payments: FAILED or REVERSED (for demo exception scenarios)</w:t>
      </w:r>
    </w:p>
    <w:p>
      <w:pPr>
        <w:pStyle w:val="ListParagraph"/>
        <w:numPr>
          <w:ilvl w:val="0"/>
          <w:numId w:val="27"/>
        </w:numPr>
        <w:spacing w:after="80" w:line="280"/>
      </w:pPr>
      <w:r>
        <w:rPr>
          <w:rFonts w:ascii="Arial" w:cs="Arial" w:eastAsia="Arial" w:hAnsi="Arial"/>
          <w:sz w:val="21"/>
          <w:szCs w:val="21"/>
        </w:rPr>
        <w:t xml:space="preserve">bank_account_ref must match vendor.bank_account — this field is always RESTRICTED and triggers masking in any AI response</w:t>
      </w:r>
    </w:p>
    <w:p>
      <w:pPr>
        <w:pStyle w:val="ListParagraph"/>
        <w:numPr>
          <w:ilvl w:val="0"/>
          <w:numId w:val="27"/>
        </w:numPr>
        <w:spacing w:after="80" w:line="280"/>
      </w:pPr>
      <w:r>
        <w:rPr>
          <w:rFonts w:ascii="Arial" w:cs="Arial" w:eastAsia="Arial" w:hAnsi="Arial"/>
          <w:sz w:val="21"/>
          <w:szCs w:val="21"/>
        </w:rPr>
        <w:t xml:space="preserve">Early payment discount should be applied correctly: if vendor.payment_terms = 2/10NET30 and payment is within 10 days, discount = 2% of invoice amount</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D3. Master Data Adjustments for Transactional Support</w:t>
      </w:r>
    </w:p>
    <w:p>
      <w:pPr>
        <w:spacing w:after="140" w:line="300"/>
      </w:pPr>
      <w:r>
        <w:rPr>
          <w:rFonts w:ascii="Arial" w:cs="Arial" w:eastAsia="Arial" w:hAnsi="Arial"/>
          <w:sz w:val="21"/>
          <w:szCs w:val="21"/>
        </w:rPr>
        <w:t xml:space="preserve">The introduction of transactional data requires a small number of adjustments to the master data schema defined in Section B. These are additive — no existing fields are removed or renamed.</w:t>
      </w:r>
    </w:p>
    <w:p>
      <w:pPr>
        <w:spacing w:after="80"/>
      </w:pPr>
    </w:p>
    <w:p>
      <w:pPr>
        <w:pStyle w:val="Heading2"/>
        <w:spacing w:before="280" w:after="160"/>
      </w:pPr>
      <w:r>
        <w:rPr>
          <w:rFonts w:ascii="Arial" w:cs="Arial" w:eastAsia="Arial" w:hAnsi="Arial"/>
          <w:b/>
          <w:bCs/>
          <w:color w:val="2E86C1"/>
          <w:sz w:val="26"/>
          <w:szCs w:val="26"/>
        </w:rPr>
        <w:t xml:space="preserve">D3.1 Contract Item: Consumption Fields Become Derived</w:t>
      </w:r>
    </w:p>
    <w:p>
      <w:pPr>
        <w:spacing w:after="140" w:line="300"/>
      </w:pPr>
      <w:r>
        <w:rPr>
          <w:rFonts w:ascii="Arial" w:cs="Arial" w:eastAsia="Arial" w:hAnsi="Arial"/>
          <w:sz w:val="21"/>
          <w:szCs w:val="21"/>
        </w:rPr>
        <w:t xml:space="preserve">In the master-data-only phase, consumed_quantity and consumed_value on contract_item are static fields set during generation. Once transactional data exists, they become derived: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Master-Data Phase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Post-Transaction Phase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consumed_quantity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Static value set during generation</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Derived: SUM(po_line.quantity) WHERE po_line.contract_id = this contract AND po_line.contract_item_number = this item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consumed_value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Static value set during generation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Derived: SUM(po_line.net_value) WHERE po_line.contract_id = this contract AND po_line.contract_item_number = this item</w:t>
            </w:r>
          </w:p>
        </w:tc>
      </w:tr>
    </w:tbl>
    <w:p>
      <w:pPr>
        <w:spacing w:after="60"/>
      </w:pPr>
    </w:p>
    <w:p>
      <w:pPr>
        <w:spacing w:after="140" w:line="300"/>
      </w:pPr>
      <w:r>
        <w:rPr>
          <w:rFonts w:ascii="Arial" w:cs="Arial" w:eastAsia="Arial" w:hAnsi="Arial"/>
          <w:sz w:val="21"/>
          <w:szCs w:val="21"/>
        </w:rPr>
        <w:t xml:space="preserve">Implementation options: (a) create a SQL view that calculates these dynamically, or (b) run a post-generation reconciliation script that updates the static fields. Option (a) is preferred for demo because it always reflects current state.</w:t>
      </w:r>
    </w:p>
    <w:p>
      <w:pPr>
        <w:spacing w:after="100"/>
      </w:pPr>
    </w:p>
    <w:p>
      <w:pPr>
        <w:pStyle w:val="Heading2"/>
        <w:spacing w:before="280" w:after="160"/>
      </w:pPr>
      <w:r>
        <w:rPr>
          <w:rFonts w:ascii="Arial" w:cs="Arial" w:eastAsia="Arial" w:hAnsi="Arial"/>
          <w:b/>
          <w:bCs/>
          <w:color w:val="2E86C1"/>
          <w:sz w:val="26"/>
          <w:szCs w:val="26"/>
        </w:rPr>
        <w:t xml:space="preserve">D3.2 PO Line: Actual Delivery Date Backfill</w:t>
      </w:r>
    </w:p>
    <w:p>
      <w:pPr>
        <w:spacing w:after="140" w:line="300"/>
      </w:pPr>
      <w:r>
        <w:rPr>
          <w:rFonts w:ascii="Arial" w:cs="Arial" w:eastAsia="Arial" w:hAnsi="Arial"/>
          <w:sz w:val="21"/>
          <w:szCs w:val="21"/>
        </w:rPr>
        <w:t xml:space="preserve">The po_line_item.actual_delivery_date field is populated from the GR data. After GR generation, a backfill step must update PO lines:</w:t>
      </w:r>
    </w:p>
    <w:p>
      <w:pPr>
        <w:spacing w:after="60"/>
      </w:pPr>
    </w:p>
    <w:p>
      <w:pPr>
        <w:pStyle w:val="ListParagraph"/>
        <w:numPr>
          <w:ilvl w:val="0"/>
          <w:numId w:val="28"/>
        </w:numPr>
        <w:spacing w:after="80" w:line="280"/>
      </w:pPr>
      <w:r>
        <w:rPr>
          <w:rFonts w:ascii="Arial" w:cs="Arial" w:eastAsia="Arial" w:hAnsi="Arial"/>
          <w:sz w:val="21"/>
          <w:szCs w:val="21"/>
        </w:rPr>
        <w:t xml:space="preserve">For fully received PO lines: actual_delivery_date = gr_line.gr_date (the date of the final GR for that PO line)</w:t>
      </w:r>
    </w:p>
    <w:p>
      <w:pPr>
        <w:pStyle w:val="ListParagraph"/>
        <w:numPr>
          <w:ilvl w:val="0"/>
          <w:numId w:val="28"/>
        </w:numPr>
        <w:spacing w:after="80" w:line="280"/>
      </w:pPr>
      <w:r>
        <w:rPr>
          <w:rFonts w:ascii="Arial" w:cs="Arial" w:eastAsia="Arial" w:hAnsi="Arial"/>
          <w:sz w:val="21"/>
          <w:szCs w:val="21"/>
        </w:rPr>
        <w:t xml:space="preserve">For partially received PO lines: actual_delivery_date = date of the most recent GR</w:t>
      </w:r>
    </w:p>
    <w:p>
      <w:pPr>
        <w:pStyle w:val="ListParagraph"/>
        <w:numPr>
          <w:ilvl w:val="0"/>
          <w:numId w:val="28"/>
        </w:numPr>
        <w:spacing w:after="80" w:line="280"/>
      </w:pPr>
      <w:r>
        <w:rPr>
          <w:rFonts w:ascii="Arial" w:cs="Arial" w:eastAsia="Arial" w:hAnsi="Arial"/>
          <w:sz w:val="21"/>
          <w:szCs w:val="21"/>
        </w:rPr>
        <w:t xml:space="preserve">For open PO lines (no GR yet): actual_delivery_date remains NULL</w:t>
      </w:r>
    </w:p>
    <w:p>
      <w:pPr>
        <w:spacing w:after="100"/>
      </w:pPr>
    </w:p>
    <w:p>
      <w:pPr>
        <w:pStyle w:val="Heading2"/>
        <w:spacing w:before="280" w:after="160"/>
      </w:pPr>
      <w:r>
        <w:rPr>
          <w:rFonts w:ascii="Arial" w:cs="Arial" w:eastAsia="Arial" w:hAnsi="Arial"/>
          <w:b/>
          <w:bCs/>
          <w:color w:val="2E86C1"/>
          <w:sz w:val="26"/>
          <w:szCs w:val="26"/>
        </w:rPr>
        <w:t xml:space="preserve">D3.3 Vendor Performance: Transactional Reconciliation</w:t>
      </w:r>
    </w:p>
    <w:p>
      <w:pPr>
        <w:spacing w:after="140" w:line="300"/>
      </w:pPr>
      <w:r>
        <w:rPr>
          <w:rFonts w:ascii="Arial" w:cs="Arial" w:eastAsia="Arial" w:hAnsi="Arial"/>
          <w:sz w:val="21"/>
          <w:szCs w:val="21"/>
        </w:rPr>
        <w:t xml:space="preserve">Vendor performance scores in the master data (on_time_delivery_rate, quality_score) should be approximately consistent with the generated transactional behavior: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Master Data Field</w:t>
            </w:r>
          </w:p>
        </w:tc>
        <w:tc>
          <w:tcPr>
            <w:tcW w:type="dxa" w:w="4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Transactional Validation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Tolerance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on_time_delivery_rate</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 of GR lines where gr_date ≤ requested_delivery_date, per vendor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 percentage points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quality_score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Correlated with rejection rate: higher score = fewer rejections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Directional consistency (no exact mapping required)</w:t>
            </w:r>
          </w:p>
        </w:tc>
      </w:tr>
    </w:tbl>
    <w:p>
      <w:pPr>
        <w:spacing w:after="60"/>
      </w:pPr>
    </w:p>
    <w:p>
      <w:pPr>
        <w:pBdr>
          <w:left w:val="single" w:color="E67E22" w:sz="8" w:space="8"/>
        </w:pBdr>
        <w:spacing w:before="100" w:after="160" w:line="280"/>
        <w:ind w:left="360" w:right="360"/>
      </w:pPr>
      <w:r>
        <w:rPr>
          <w:rFonts w:ascii="Arial" w:cs="Arial" w:eastAsia="Arial" w:hAnsi="Arial"/>
          <w:i/>
          <w:iCs/>
          <w:color w:val="1A5276"/>
          <w:sz w:val="20"/>
          <w:szCs w:val="20"/>
        </w:rPr>
        <w:t xml:space="preserve">Exact reconciliation is not required — the master data scores represent a longer historical window than the 12–18 month demo period. But directional consistency is mandatory: a vendor with quality_score of 92 should not have a 15% rejection rate in the transactional data.</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D4. Transactional Scenario Seed Extensions</w:t>
      </w:r>
    </w:p>
    <w:p>
      <w:pPr>
        <w:spacing w:after="140" w:line="300"/>
      </w:pPr>
      <w:r>
        <w:rPr>
          <w:rFonts w:ascii="Arial" w:cs="Arial" w:eastAsia="Arial" w:hAnsi="Arial"/>
          <w:sz w:val="21"/>
          <w:szCs w:val="21"/>
        </w:rPr>
        <w:t xml:space="preserve">The 12 master data scenario seeds defined in Section A5 must be extended with transactional data that brings each narrative to life. Additionally, new transaction-only scenarios are defined here.</w:t>
      </w:r>
    </w:p>
    <w:p>
      <w:pPr>
        <w:spacing w:after="80"/>
      </w:pPr>
    </w:p>
    <w:p>
      <w:pPr>
        <w:pStyle w:val="Heading2"/>
        <w:spacing w:before="280" w:after="160"/>
      </w:pPr>
      <w:r>
        <w:rPr>
          <w:rFonts w:ascii="Arial" w:cs="Arial" w:eastAsia="Arial" w:hAnsi="Arial"/>
          <w:b/>
          <w:bCs/>
          <w:color w:val="2E86C1"/>
          <w:sz w:val="26"/>
          <w:szCs w:val="26"/>
        </w:rPr>
        <w:t xml:space="preserve">D4.1 Extensions to Existing Master Data Seeds</w:t>
      </w:r>
    </w:p>
    <w:p>
      <w:pPr>
        <w:spacing w:after="60"/>
      </w:pPr>
    </w:p>
    <w:p>
      <w:pPr>
        <w:spacing w:before="200" w:after="120"/>
      </w:pPr>
      <w:r>
        <w:rPr>
          <w:rFonts w:ascii="Arial" w:cs="Arial" w:eastAsia="Arial" w:hAnsi="Arial"/>
          <w:b/>
          <w:bCs/>
          <w:color w:val="2874A6"/>
          <w:sz w:val="22"/>
          <w:szCs w:val="22"/>
        </w:rPr>
        <w:t xml:space="preserve">SEED-001 Extension: LiDAR Contract Consumption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Transactional Requirement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POs required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Generate 6–8 POs against CTR-HOKUYO-2025-01 over 10 months, consuming ~85% of contract quantity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 pattern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on-time deliveries, 1–2 late (consistent with Hokuyo 88.5% OTD)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All matched, no exceptions (clean supplier relationship)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enhancement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can now say: "8 POs placed over 10 months, 85% consumed, at current run rate the contract will be exhausted 3 weeks before renewal"</w:t>
            </w:r>
          </w:p>
        </w:tc>
      </w:tr>
    </w:tbl>
    <w:p>
      <w:pPr>
        <w:spacing w:after="80"/>
      </w:pPr>
    </w:p>
    <w:p>
      <w:pPr>
        <w:spacing w:before="200" w:after="120"/>
      </w:pPr>
      <w:r>
        <w:rPr>
          <w:rFonts w:ascii="Arial" w:cs="Arial" w:eastAsia="Arial" w:hAnsi="Arial"/>
          <w:b/>
          <w:bCs/>
          <w:color w:val="2874A6"/>
          <w:sz w:val="22"/>
          <w:szCs w:val="22"/>
        </w:rPr>
        <w:t xml:space="preserve">SEED-002 Extension: Battery Cell Quality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Transactional Requirement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POs for CATL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Generate 8–12 POs, mostly on-contract, clean deliveries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 for EVE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Generate 3–5 POs, off-contract (spot buys), some with quality rejections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 quality pattern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 2–3 GRs with quantity_rejected &gt; 0 (rejection_reason: DEFECTIVE or WRONG_SPEC)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 pattern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 1–2 invoices with PRICE_VARIANCE (spot pricing fluctuation)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enhancement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AI traces quality decline: "EVE’s last 3 deliveries had a 12% rejection rate vs 1% for CATL"</w:t>
            </w:r>
          </w:p>
        </w:tc>
      </w:tr>
    </w:tbl>
    <w:p>
      <w:pPr>
        <w:spacing w:after="80"/>
      </w:pPr>
    </w:p>
    <w:p>
      <w:pPr>
        <w:spacing w:before="200" w:after="120"/>
      </w:pPr>
      <w:r>
        <w:rPr>
          <w:rFonts w:ascii="Arial" w:cs="Arial" w:eastAsia="Arial" w:hAnsi="Arial"/>
          <w:b/>
          <w:bCs/>
          <w:color w:val="2874A6"/>
          <w:sz w:val="22"/>
          <w:szCs w:val="22"/>
        </w:rPr>
        <w:t xml:space="preserve">SEED-005 Extension: Maverick Motor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Transactional Requirement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On-contract POs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Generate 5–7 POs for MOTOR-BLDC-200W via NIDEC-JP on contract at $85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Maverick POs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Generate 2–3 POs for MOTOR-BLDC-400W from non-preferred vendor, no contract, at $102–$118</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Maverick flag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maverick_flag = TRUE on the off-contract POs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enhancement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calculates: "3 maverick POs for 400W motors totaling $32,400 — if placed on contract like the 200W variant, estimated savings of $6,100"</w:t>
            </w:r>
          </w:p>
        </w:tc>
      </w:tr>
    </w:tbl>
    <w:p>
      <w:pPr>
        <w:spacing w:after="80"/>
      </w:pPr>
    </w:p>
    <w:p>
      <w:pPr>
        <w:spacing w:before="200" w:after="120"/>
      </w:pPr>
      <w:r>
        <w:rPr>
          <w:rFonts w:ascii="Arial" w:cs="Arial" w:eastAsia="Arial" w:hAnsi="Arial"/>
          <w:b/>
          <w:bCs/>
          <w:color w:val="2874A6"/>
          <w:sz w:val="22"/>
          <w:szCs w:val="22"/>
        </w:rPr>
        <w:t xml:space="preserve">SEED-006 Extension: Nidec Alias Spend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Transactional Requirement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Split POs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Generate POs split across VND-NIDEC-JP (for MY01) and VND-NIDEC-MY (for VN01)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spend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Combined PO value across both aliases: ~$120K–$180K</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enhancement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AI resolves aliases, consolidates: "Total Nidec exposure is $156K across 2 entities and 3 material categories — our 4th largest supplier by spend"</w:t>
            </w:r>
          </w:p>
        </w:tc>
      </w:tr>
    </w:tbl>
    <w:p>
      <w:pPr>
        <w:spacing w:after="80"/>
      </w:pPr>
    </w:p>
    <w:p>
      <w:pPr>
        <w:spacing w:before="200" w:after="120"/>
      </w:pPr>
      <w:r>
        <w:rPr>
          <w:rFonts w:ascii="Arial" w:cs="Arial" w:eastAsia="Arial" w:hAnsi="Arial"/>
          <w:b/>
          <w:bCs/>
          <w:color w:val="2874A6"/>
          <w:sz w:val="22"/>
          <w:szCs w:val="22"/>
        </w:rPr>
        <w:t xml:space="preserve">SEED-008 Extension: 3D Camera Lead Time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Transactional Requirement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Recent PO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Generate 1 PO placed 15 days ago for CAM-DEPTH-INTEL, qty 40, delivery in 75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Historical GRs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2–3 past GRs showing actual lead times of 85–95 days (consistently exceeding the 90-day estimate)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enhancement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AI reasons: "Based on historical deliveries, this order is likely to arrive 5–10 days late. Current inventory at MY01 will be depleted before arrival."</w:t>
            </w:r>
          </w:p>
        </w:tc>
      </w:tr>
    </w:tbl>
    <w:p>
      <w:pPr>
        <w:spacing w:after="100"/>
      </w:pPr>
    </w:p>
    <w:p>
      <w:pPr>
        <w:pStyle w:val="Heading2"/>
        <w:spacing w:before="280" w:after="160"/>
      </w:pPr>
      <w:r>
        <w:rPr>
          <w:rFonts w:ascii="Arial" w:cs="Arial" w:eastAsia="Arial" w:hAnsi="Arial"/>
          <w:b/>
          <w:bCs/>
          <w:color w:val="2E86C1"/>
          <w:sz w:val="26"/>
          <w:szCs w:val="26"/>
        </w:rPr>
        <w:t xml:space="preserve">D4.2 New Transactional Scenario Seeds</w:t>
      </w:r>
    </w:p>
    <w:p>
      <w:pPr>
        <w:spacing w:after="60"/>
      </w:pPr>
    </w:p>
    <w:p>
      <w:pPr>
        <w:spacing w:before="200" w:after="120"/>
      </w:pPr>
      <w:r>
        <w:rPr>
          <w:rFonts w:ascii="Arial" w:cs="Arial" w:eastAsia="Arial" w:hAnsi="Arial"/>
          <w:b/>
          <w:bCs/>
          <w:color w:val="2874A6"/>
          <w:sz w:val="22"/>
          <w:szCs w:val="22"/>
        </w:rPr>
        <w:t xml:space="preserve">SEED-T01: Three-Way Match Exception Investigation (SPEND_INTELLIGENCE)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Scenario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 invoice from a connector supplier shows a price 8% above the PO price. Payment is blocked.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CONN-24P-MOLEX</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unit_price_invoiced = $5.24 vs. PO unit_price = $4.85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Match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PRICE_VARIANCE, payment_block = TRUE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"Why is this Molex invoice blocked? What should we 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 → PO comparison → price variance calculated → check contract → contract says $4.85 → supplier invoiced incorrectly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80"/>
      </w:pPr>
    </w:p>
    <w:p>
      <w:pPr>
        <w:spacing w:before="200" w:after="120"/>
      </w:pPr>
      <w:r>
        <w:rPr>
          <w:rFonts w:ascii="Arial" w:cs="Arial" w:eastAsia="Arial" w:hAnsi="Arial"/>
          <w:b/>
          <w:bCs/>
          <w:color w:val="2874A6"/>
          <w:sz w:val="22"/>
          <w:szCs w:val="22"/>
        </w:rPr>
        <w:t xml:space="preserve">SEED-T02: Late Payment Risk Analysis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Scenario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Multiple invoices from a key supplier are approaching payment due date. Missing the window loses early payment discount.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NIDEC-JP (payment_terms: 2/10NET30)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3 invoices totaling $42,000, payment_due_date within 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Discount at risk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of $42,000 = $840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"Which invoices are at risk of missing early payment discounts this week?"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80"/>
      </w:pPr>
    </w:p>
    <w:p>
      <w:pPr>
        <w:spacing w:before="200" w:after="120"/>
      </w:pPr>
      <w:r>
        <w:rPr>
          <w:rFonts w:ascii="Arial" w:cs="Arial" w:eastAsia="Arial" w:hAnsi="Arial"/>
          <w:b/>
          <w:bCs/>
          <w:color w:val="2874A6"/>
          <w:sz w:val="22"/>
          <w:szCs w:val="22"/>
        </w:rPr>
        <w:t xml:space="preserve">SEED-T03: Vendor Performance Trend Analysis (SUPPLY_RISK)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Scenario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 vendor’s delivery performance has deteriorated over the last 3 quarters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SHEETPRO-MY (the CONDITIONAL vendor from SEED-011)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 pattern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Q1: 92% OTD, Q2: 83% OTD, Q3: 71% OTD. Quality rejections increasing.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"Show me SheetPro’s delivery and quality trend over the last 9 months"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Vendor → POs → GRs → aggregate OTD and rejection rate by quarter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80"/>
      </w:pPr>
    </w:p>
    <w:p>
      <w:pPr>
        <w:spacing w:before="200" w:after="120"/>
      </w:pPr>
      <w:r>
        <w:rPr>
          <w:rFonts w:ascii="Arial" w:cs="Arial" w:eastAsia="Arial" w:hAnsi="Arial"/>
          <w:b/>
          <w:bCs/>
          <w:color w:val="2874A6"/>
          <w:sz w:val="22"/>
          <w:szCs w:val="22"/>
        </w:rPr>
        <w:t xml:space="preserve">SEED-T04: Spend Leakage from Expired Contract (SPEND_INTELLIGENCE)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Scenario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 Intel camera contract expired 2 months ago. POs placed since then are at spot pricing 25% above the old contract 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Material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CAM-DEPTH-INTEL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CTR-INTEL-2024-01 (EXPIRED, was $189/unit)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Post-expiry POs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POs at $236 and $241 per unit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"What’s the financial impact of the expired Intel contract?"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Reasoning path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Contract(expired) → Material → POs(post-expiry date) → compare price → calculate delta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bl>
    <w:p>
      <w:pPr>
        <w:spacing w:after="80"/>
      </w:pPr>
    </w:p>
    <w:p>
      <w:pPr>
        <w:spacing w:before="200" w:after="120"/>
      </w:pPr>
      <w:r>
        <w:rPr>
          <w:rFonts w:ascii="Arial" w:cs="Arial" w:eastAsia="Arial" w:hAnsi="Arial"/>
          <w:b/>
          <w:bCs/>
          <w:color w:val="2874A6"/>
          <w:sz w:val="22"/>
          <w:szCs w:val="22"/>
        </w:rPr>
        <w:t xml:space="preserve">SEED-T05: Payment to Restricted Vendor Query (GOVERNANCE — REFUSAL)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Scenario</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 user asks for details of a payment to a restricted vendor, including bank account 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PROCUREMENT_VIEWER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question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"Show me the payment details for the last BMS supplier payment, including bank transfer info"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Expected outcome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REFUSE — bank_account_ref is RESTRICTED; vendor is RESTRICTED; observability shows dual masking</w:t>
            </w:r>
          </w:p>
        </w:tc>
      </w:tr>
    </w:tbl>
    <w:p>
      <w:pPr>
        <w:spacing w:after="100"/>
      </w:pPr>
    </w:p>
    <w:p>
      <w:pPr>
        <w:pStyle w:val="Heading2"/>
        <w:spacing w:before="280" w:after="160"/>
      </w:pPr>
      <w:r>
        <w:rPr>
          <w:rFonts w:ascii="Arial" w:cs="Arial" w:eastAsia="Arial" w:hAnsi="Arial"/>
          <w:b/>
          <w:bCs/>
          <w:color w:val="2E86C1"/>
          <w:sz w:val="26"/>
          <w:szCs w:val="26"/>
        </w:rPr>
        <w:t xml:space="preserve">D4.3 Transactional Seed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Seed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SEED-001 ext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SUPPLY_RISK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Master data + TXN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SEED-002 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SUPPLY_RISK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Master data + TXN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SEED-005 ext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SPEND_INTELLIGENCE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Master data + TXN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SEED-006 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SPEND_INTELLIGENCE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Master data + TXN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SEED-008 ext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OPERATIONS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Master data + TXN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SEED-T01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SPEND_INTELLIGENCE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TXN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SEED-T02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OPERATIONS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TXN only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SEED-T03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SUPPLY_RISK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TXN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SEED-T04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SPEND_INTELLIGENCE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TXN only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SEED-T05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GOVERNANCE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TXN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REFUSE</w:t>
            </w:r>
          </w:p>
        </w:tc>
      </w:tr>
    </w:tbl>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The total scenario seed count is now 17 active seeds (12 master data + 5 transactional) with 5 master data seeds also having transactional extensions. This gives broad coverage across all four themes with both ANSWER and REFUSE outcomes at the transactional level.</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D5. Transactional Validation Framework</w:t>
      </w:r>
    </w:p>
    <w:p>
      <w:pPr>
        <w:spacing w:after="140" w:line="300"/>
      </w:pPr>
      <w:r>
        <w:rPr>
          <w:rFonts w:ascii="Arial" w:cs="Arial" w:eastAsia="Arial" w:hAnsi="Arial"/>
          <w:sz w:val="21"/>
          <w:szCs w:val="21"/>
        </w:rPr>
        <w:t xml:space="preserve">The transactional validation framework extends the master data validation gate (Section B10) with additional checks specific to transactional data. All master data validations must still pass.</w:t>
      </w:r>
    </w:p>
    <w:p>
      <w:pPr>
        <w:spacing w:after="80"/>
      </w:pPr>
    </w:p>
    <w:p>
      <w:pPr>
        <w:pStyle w:val="Heading2"/>
        <w:spacing w:before="280" w:after="160"/>
      </w:pPr>
      <w:r>
        <w:rPr>
          <w:rFonts w:ascii="Arial" w:cs="Arial" w:eastAsia="Arial" w:hAnsi="Arial"/>
          <w:b/>
          <w:bCs/>
          <w:color w:val="2E86C1"/>
          <w:sz w:val="26"/>
          <w:szCs w:val="26"/>
        </w:rPr>
        <w:t xml:space="preserve">D5.1 Structural Integrity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 → material FK</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Every pr_line.material_id exists in material_master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 → plant FK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pr_header.plant_id exists in plant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 → cost_center FK</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Every pr_header.cost_center_id exists in cost_center at the same plant</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 → vendor FK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po_header.vendor_id exists in vendor_master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 → contract FK</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If po_line.contract_id is not NULL, it must exist in contract_header with status ACTIVE and valid dates covering po_date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 → PR link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po_line.pr_id is not NULL, it must exist in pr_header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 → PO FK</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Every gr_header.po_id exists in po_header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 → PO line FK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gr_line.po_line references a valid PO line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 → PO FK</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Every invoice_header.po_id exists in po_header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 → GR link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invoice_line.gr_id is not NULL, it must reference a valid GR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 → vendor FK</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Every payment.vendor_id exists in vendor_master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 → invoice link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payment_invoice_link references valid payment and invoice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bl>
    <w:p>
      <w:pPr>
        <w:spacing w:after="100"/>
      </w:pPr>
    </w:p>
    <w:p>
      <w:pPr>
        <w:pStyle w:val="Heading2"/>
        <w:spacing w:before="280" w:after="160"/>
      </w:pPr>
      <w:r>
        <w:rPr>
          <w:rFonts w:ascii="Arial" w:cs="Arial" w:eastAsia="Arial" w:hAnsi="Arial"/>
          <w:b/>
          <w:bCs/>
          <w:color w:val="2E86C1"/>
          <w:sz w:val="26"/>
          <w:szCs w:val="26"/>
        </w:rPr>
        <w:t xml:space="preserve">D5.2 Temporal Consistency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PR before PO</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po_header.po_date ≥ pr_header.pr_date (for linked PRs)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 before GR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gr_header.gr_date &gt; po_header.po_date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GR before Invoice</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invoice_header.invoice_date ≥ MIN(gr_header.gr_date) for the referenced PO</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 before Payment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payment.payment_date ≥ invoice_header.received_date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Contract validity</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po_header.po_date must fall within contract.valid_from and contract.valid_to</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Delivery date sanity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po_line.requested_delivery_date &gt; po_header.po_date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FATAL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window</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All dates fall within the defined 12–18 month demo window</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WARNING</w:t>
            </w:r>
          </w:p>
        </w:tc>
      </w:tr>
    </w:tbl>
    <w:p>
      <w:pPr>
        <w:spacing w:after="100"/>
      </w:pPr>
    </w:p>
    <w:p>
      <w:pPr>
        <w:pStyle w:val="Heading2"/>
        <w:spacing w:before="280" w:after="160"/>
      </w:pPr>
      <w:r>
        <w:rPr>
          <w:rFonts w:ascii="Arial" w:cs="Arial" w:eastAsia="Arial" w:hAnsi="Arial"/>
          <w:b/>
          <w:bCs/>
          <w:color w:val="2E86C1"/>
          <w:sz w:val="26"/>
          <w:szCs w:val="26"/>
        </w:rPr>
        <w:t xml:space="preserve">D5.3 Business Rule Checks</w:t>
      </w:r>
    </w:p>
    <w:p>
      <w:pPr>
        <w:pStyle w:val="ListParagraph"/>
        <w:numPr>
          <w:ilvl w:val="0"/>
          <w:numId w:val="29"/>
        </w:numPr>
        <w:spacing w:after="80" w:line="280"/>
      </w:pPr>
      <w:r>
        <w:rPr>
          <w:rFonts w:ascii="Arial" w:cs="Arial" w:eastAsia="Arial" w:hAnsi="Arial"/>
          <w:sz w:val="21"/>
          <w:szCs w:val="21"/>
        </w:rPr>
        <w:t xml:space="preserve">Maverick PO validation: if maverick_flag = TRUE, verify that vendor + material is NOT in source_list for that plant, OR vendor is not preferred_rank = 1</w:t>
      </w:r>
    </w:p>
    <w:p>
      <w:pPr>
        <w:pStyle w:val="ListParagraph"/>
        <w:numPr>
          <w:ilvl w:val="0"/>
          <w:numId w:val="29"/>
        </w:numPr>
        <w:spacing w:after="80" w:line="280"/>
      </w:pPr>
      <w:r>
        <w:rPr>
          <w:rFonts w:ascii="Arial" w:cs="Arial" w:eastAsia="Arial" w:hAnsi="Arial"/>
          <w:sz w:val="21"/>
          <w:szCs w:val="21"/>
        </w:rPr>
        <w:t xml:space="preserve">Contract pricing: if PO references a contract, po_line.unit_price must equal contract_item.agreed_price</w:t>
      </w:r>
    </w:p>
    <w:p>
      <w:pPr>
        <w:pStyle w:val="ListParagraph"/>
        <w:numPr>
          <w:ilvl w:val="0"/>
          <w:numId w:val="29"/>
        </w:numPr>
        <w:spacing w:after="80" w:line="280"/>
      </w:pPr>
      <w:r>
        <w:rPr>
          <w:rFonts w:ascii="Arial" w:cs="Arial" w:eastAsia="Arial" w:hAnsi="Arial"/>
          <w:sz w:val="21"/>
          <w:szCs w:val="21"/>
        </w:rPr>
        <w:t xml:space="preserve">Contract consumption: SUM of PO quantities per contract item must equal contract_item.consumed_quantity after reconciliation</w:t>
      </w:r>
    </w:p>
    <w:p>
      <w:pPr>
        <w:pStyle w:val="ListParagraph"/>
        <w:numPr>
          <w:ilvl w:val="0"/>
          <w:numId w:val="29"/>
        </w:numPr>
        <w:spacing w:after="80" w:line="280"/>
      </w:pPr>
      <w:r>
        <w:rPr>
          <w:rFonts w:ascii="Arial" w:cs="Arial" w:eastAsia="Arial" w:hAnsi="Arial"/>
          <w:sz w:val="21"/>
          <w:szCs w:val="21"/>
        </w:rPr>
        <w:t xml:space="preserve">Three-way match: invoice.match_status must be consistent with actual variances calculated from PO and GR data</w:t>
      </w:r>
    </w:p>
    <w:p>
      <w:pPr>
        <w:pStyle w:val="ListParagraph"/>
        <w:numPr>
          <w:ilvl w:val="0"/>
          <w:numId w:val="29"/>
        </w:numPr>
        <w:spacing w:after="80" w:line="280"/>
      </w:pPr>
      <w:r>
        <w:rPr>
          <w:rFonts w:ascii="Arial" w:cs="Arial" w:eastAsia="Arial" w:hAnsi="Arial"/>
          <w:sz w:val="21"/>
          <w:szCs w:val="21"/>
        </w:rPr>
        <w:t xml:space="preserve">Payment amount: SUM(payment_invoice_link.amount_applied) for an invoice must not exceed invoice.total_net_amount</w:t>
      </w:r>
    </w:p>
    <w:p>
      <w:pPr>
        <w:pStyle w:val="ListParagraph"/>
        <w:numPr>
          <w:ilvl w:val="0"/>
          <w:numId w:val="29"/>
        </w:numPr>
        <w:spacing w:after="80" w:line="280"/>
      </w:pPr>
      <w:r>
        <w:rPr>
          <w:rFonts w:ascii="Arial" w:cs="Arial" w:eastAsia="Arial" w:hAnsi="Arial"/>
          <w:sz w:val="21"/>
          <w:szCs w:val="21"/>
        </w:rPr>
        <w:t xml:space="preserve">Vendor status: no POs to BLOCKED vendors (POs to CONDITIONAL vendors are allowed with justification in notes)</w:t>
      </w:r>
    </w:p>
    <w:p>
      <w:pPr>
        <w:pStyle w:val="ListParagraph"/>
        <w:numPr>
          <w:ilvl w:val="0"/>
          <w:numId w:val="29"/>
        </w:numPr>
        <w:spacing w:after="80" w:line="280"/>
      </w:pPr>
      <w:r>
        <w:rPr>
          <w:rFonts w:ascii="Arial" w:cs="Arial" w:eastAsia="Arial" w:hAnsi="Arial"/>
          <w:sz w:val="21"/>
          <w:szCs w:val="21"/>
        </w:rPr>
        <w:t xml:space="preserve">Purchasing group authority: po_header.purch_group_id must map to the PO material’s category via purchasing_group_category</w:t>
      </w:r>
    </w:p>
    <w:p>
      <w:pPr>
        <w:spacing w:after="100"/>
      </w:pPr>
    </w:p>
    <w:p>
      <w:pPr>
        <w:pStyle w:val="Heading2"/>
        <w:spacing w:before="280" w:after="160"/>
      </w:pPr>
      <w:r>
        <w:rPr>
          <w:rFonts w:ascii="Arial" w:cs="Arial" w:eastAsia="Arial" w:hAnsi="Arial"/>
          <w:b/>
          <w:bCs/>
          <w:color w:val="2E86C1"/>
          <w:sz w:val="26"/>
          <w:szCs w:val="26"/>
        </w:rPr>
        <w:t xml:space="preserve">D5.4 Statistical Consistency Checks</w:t>
      </w:r>
    </w:p>
    <w:p>
      <w:pPr>
        <w:spacing w:after="140" w:line="300"/>
      </w:pPr>
      <w:r>
        <w:rPr>
          <w:rFonts w:ascii="Arial" w:cs="Arial" w:eastAsia="Arial" w:hAnsi="Arial"/>
          <w:sz w:val="21"/>
          <w:szCs w:val="21"/>
        </w:rPr>
        <w:t xml:space="preserve">These are softer checks that verify the generated data matches the target distributions. Failures are warnings, not fatal errors: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Tolerance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On-contract PO percentage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70–75%</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Maverick PO percentage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On-time delivery rate per vendor</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Correlates with vendor.on_time_delivery_rate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 percentage 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Invoice full-match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80–85%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Payment on-time rate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75–80%</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Quality rejection correlation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Higher vendor quality_score → lower rejection rate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Directional only</w:t>
            </w:r>
          </w:p>
        </w:tc>
      </w:tr>
    </w:tbl>
    <w:p>
      <w:pPr>
        <w:spacing w:after="100"/>
      </w:pPr>
    </w:p>
    <w:p>
      <w:pPr>
        <w:pStyle w:val="Heading2"/>
        <w:spacing w:before="280" w:after="160"/>
      </w:pPr>
      <w:r>
        <w:rPr>
          <w:rFonts w:ascii="Arial" w:cs="Arial" w:eastAsia="Arial" w:hAnsi="Arial"/>
          <w:b/>
          <w:bCs/>
          <w:color w:val="2E86C1"/>
          <w:sz w:val="26"/>
          <w:szCs w:val="26"/>
        </w:rPr>
        <w:t xml:space="preserve">D5.5 Scenario Seed Verification</w:t>
      </w:r>
    </w:p>
    <w:p>
      <w:pPr>
        <w:spacing w:after="140" w:line="300"/>
      </w:pPr>
      <w:r>
        <w:rPr>
          <w:rFonts w:ascii="Arial" w:cs="Arial" w:eastAsia="Arial" w:hAnsi="Arial"/>
          <w:sz w:val="21"/>
          <w:szCs w:val="21"/>
        </w:rPr>
        <w:t xml:space="preserve">Each transactional scenario seed must be verified after generation:</w:t>
      </w:r>
    </w:p>
    <w:p>
      <w:pPr>
        <w:spacing w:after="60"/>
      </w:pPr>
    </w:p>
    <w:p>
      <w:pPr>
        <w:pStyle w:val="ListParagraph"/>
        <w:numPr>
          <w:ilvl w:val="0"/>
          <w:numId w:val="30"/>
        </w:numPr>
        <w:spacing w:after="80" w:line="280"/>
      </w:pPr>
      <w:r>
        <w:rPr>
          <w:rFonts w:ascii="Arial" w:cs="Arial" w:eastAsia="Arial" w:hAnsi="Arial"/>
          <w:sz w:val="21"/>
          <w:szCs w:val="21"/>
        </w:rPr>
        <w:t xml:space="preserve">SEED-001 ext: Verify 6–8 POs exist against CTR-HOKUYO-2025-01, consumed_quantity ≈ 85%</w:t>
      </w:r>
    </w:p>
    <w:p>
      <w:pPr>
        <w:pStyle w:val="ListParagraph"/>
        <w:numPr>
          <w:ilvl w:val="0"/>
          <w:numId w:val="30"/>
        </w:numPr>
        <w:spacing w:after="80" w:line="280"/>
      </w:pPr>
      <w:r>
        <w:rPr>
          <w:rFonts w:ascii="Arial" w:cs="Arial" w:eastAsia="Arial" w:hAnsi="Arial"/>
          <w:sz w:val="21"/>
          <w:szCs w:val="21"/>
        </w:rPr>
        <w:t xml:space="preserve">SEED-002 ext: Verify EVE GRs have quality rejections; CATL GRs do not</w:t>
      </w:r>
    </w:p>
    <w:p>
      <w:pPr>
        <w:pStyle w:val="ListParagraph"/>
        <w:numPr>
          <w:ilvl w:val="0"/>
          <w:numId w:val="30"/>
        </w:numPr>
        <w:spacing w:after="80" w:line="280"/>
      </w:pPr>
      <w:r>
        <w:rPr>
          <w:rFonts w:ascii="Arial" w:cs="Arial" w:eastAsia="Arial" w:hAnsi="Arial"/>
          <w:sz w:val="21"/>
          <w:szCs w:val="21"/>
        </w:rPr>
        <w:t xml:space="preserve">SEED-005 ext: Verify maverick POs exist for 400W motors with prices above contract benchmark</w:t>
      </w:r>
    </w:p>
    <w:p>
      <w:pPr>
        <w:pStyle w:val="ListParagraph"/>
        <w:numPr>
          <w:ilvl w:val="0"/>
          <w:numId w:val="30"/>
        </w:numPr>
        <w:spacing w:after="80" w:line="280"/>
      </w:pPr>
      <w:r>
        <w:rPr>
          <w:rFonts w:ascii="Arial" w:cs="Arial" w:eastAsia="Arial" w:hAnsi="Arial"/>
          <w:sz w:val="21"/>
          <w:szCs w:val="21"/>
        </w:rPr>
        <w:t xml:space="preserve">SEED-006 ext: Verify PO spend exists across both Nidec vendor records</w:t>
      </w:r>
    </w:p>
    <w:p>
      <w:pPr>
        <w:pStyle w:val="ListParagraph"/>
        <w:numPr>
          <w:ilvl w:val="0"/>
          <w:numId w:val="30"/>
        </w:numPr>
        <w:spacing w:after="80" w:line="280"/>
      </w:pPr>
      <w:r>
        <w:rPr>
          <w:rFonts w:ascii="Arial" w:cs="Arial" w:eastAsia="Arial" w:hAnsi="Arial"/>
          <w:sz w:val="21"/>
          <w:szCs w:val="21"/>
        </w:rPr>
        <w:t xml:space="preserve">SEED-008 ext: Verify historical GR lead times for Intel camera exceed 85 days</w:t>
      </w:r>
    </w:p>
    <w:p>
      <w:pPr>
        <w:pStyle w:val="ListParagraph"/>
        <w:numPr>
          <w:ilvl w:val="0"/>
          <w:numId w:val="30"/>
        </w:numPr>
        <w:spacing w:after="80" w:line="280"/>
      </w:pPr>
      <w:r>
        <w:rPr>
          <w:rFonts w:ascii="Arial" w:cs="Arial" w:eastAsia="Arial" w:hAnsi="Arial"/>
          <w:sz w:val="21"/>
          <w:szCs w:val="21"/>
        </w:rPr>
        <w:t xml:space="preserve">SEED-T01: Verify blocked invoice exists with price_variance for Molex connector</w:t>
      </w:r>
    </w:p>
    <w:p>
      <w:pPr>
        <w:pStyle w:val="ListParagraph"/>
        <w:numPr>
          <w:ilvl w:val="0"/>
          <w:numId w:val="30"/>
        </w:numPr>
        <w:spacing w:after="80" w:line="280"/>
      </w:pPr>
      <w:r>
        <w:rPr>
          <w:rFonts w:ascii="Arial" w:cs="Arial" w:eastAsia="Arial" w:hAnsi="Arial"/>
          <w:sz w:val="21"/>
          <w:szCs w:val="21"/>
        </w:rPr>
        <w:t xml:space="preserve">SEED-T02: Verify 3 Nidec invoices exist with payment_due_date within 5 days of demo date</w:t>
      </w:r>
    </w:p>
    <w:p>
      <w:pPr>
        <w:pStyle w:val="ListParagraph"/>
        <w:numPr>
          <w:ilvl w:val="0"/>
          <w:numId w:val="30"/>
        </w:numPr>
        <w:spacing w:after="80" w:line="280"/>
      </w:pPr>
      <w:r>
        <w:rPr>
          <w:rFonts w:ascii="Arial" w:cs="Arial" w:eastAsia="Arial" w:hAnsi="Arial"/>
          <w:sz w:val="21"/>
          <w:szCs w:val="21"/>
        </w:rPr>
        <w:t xml:space="preserve">SEED-T03: Verify SheetPro GRs show declining OTD across 3 quarters</w:t>
      </w:r>
    </w:p>
    <w:p>
      <w:pPr>
        <w:pStyle w:val="ListParagraph"/>
        <w:numPr>
          <w:ilvl w:val="0"/>
          <w:numId w:val="30"/>
        </w:numPr>
        <w:spacing w:after="80" w:line="280"/>
      </w:pPr>
      <w:r>
        <w:rPr>
          <w:rFonts w:ascii="Arial" w:cs="Arial" w:eastAsia="Arial" w:hAnsi="Arial"/>
          <w:sz w:val="21"/>
          <w:szCs w:val="21"/>
        </w:rPr>
        <w:t xml:space="preserve">SEED-T04: Verify 2+ POs for Intel camera exist after contract expiry date at higher prices</w:t>
      </w:r>
    </w:p>
    <w:p>
      <w:pPr>
        <w:pStyle w:val="ListParagraph"/>
        <w:numPr>
          <w:ilvl w:val="0"/>
          <w:numId w:val="30"/>
        </w:numPr>
        <w:spacing w:after="80" w:line="280"/>
      </w:pPr>
      <w:r>
        <w:rPr>
          <w:rFonts w:ascii="Arial" w:cs="Arial" w:eastAsia="Arial" w:hAnsi="Arial"/>
          <w:sz w:val="21"/>
          <w:szCs w:val="21"/>
        </w:rPr>
        <w:t xml:space="preserve">SEED-T05: Verify payment exists to restricted BMS vendor with bank_account_ref populated</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D6. Transactional Generation Strategy</w:t>
      </w:r>
    </w:p>
    <w:p>
      <w:pPr>
        <w:pStyle w:val="Heading2"/>
        <w:spacing w:before="280" w:after="160"/>
      </w:pPr>
      <w:r>
        <w:rPr>
          <w:rFonts w:ascii="Arial" w:cs="Arial" w:eastAsia="Arial" w:hAnsi="Arial"/>
          <w:b/>
          <w:bCs/>
          <w:color w:val="2E86C1"/>
          <w:sz w:val="26"/>
          <w:szCs w:val="26"/>
        </w:rPr>
        <w:t xml:space="preserve">D6.1 Generation Approach</w:t>
      </w:r>
    </w:p>
    <w:p>
      <w:pPr>
        <w:spacing w:after="140" w:line="300"/>
      </w:pPr>
      <w:r>
        <w:rPr>
          <w:rFonts w:ascii="Arial" w:cs="Arial" w:eastAsia="Arial" w:hAnsi="Arial"/>
          <w:sz w:val="21"/>
          <w:szCs w:val="21"/>
        </w:rPr>
        <w:t xml:space="preserve">Transactional data generation should follow a seed-first, bulk-second approach:</w:t>
      </w:r>
    </w:p>
    <w:p>
      <w:pPr>
        <w:spacing w:after="60"/>
      </w:pPr>
    </w:p>
    <w:p>
      <w:pPr>
        <w:pStyle w:val="ListParagraph"/>
        <w:numPr>
          <w:ilvl w:val="0"/>
          <w:numId w:val="31"/>
        </w:numPr>
        <w:spacing w:after="80" w:line="280"/>
      </w:pPr>
      <w:r>
        <w:rPr>
          <w:rFonts w:ascii="Arial" w:cs="Arial" w:eastAsia="Arial" w:hAnsi="Arial"/>
          <w:b/>
          <w:bCs/>
          <w:sz w:val="21"/>
          <w:szCs w:val="21"/>
        </w:rPr>
        <w:t xml:space="preserve">Seed-targeted generation (first pass): </w:t>
      </w:r>
      <w:r>
        <w:rPr>
          <w:rFonts w:ascii="Arial" w:cs="Arial" w:eastAsia="Arial" w:hAnsi="Arial"/>
          <w:sz w:val="21"/>
          <w:szCs w:val="21"/>
        </w:rPr>
        <w:t xml:space="preserve">Generate the specific transactions required by each scenario seed. These are the most important records in the dataset because they directly power demo scenarios. Generate them first, validate them individually, and lock them in.</w:t>
      </w:r>
    </w:p>
    <w:p>
      <w:pPr>
        <w:pStyle w:val="ListParagraph"/>
        <w:numPr>
          <w:ilvl w:val="0"/>
          <w:numId w:val="31"/>
        </w:numPr>
        <w:spacing w:after="80" w:line="280"/>
      </w:pPr>
      <w:r>
        <w:rPr>
          <w:rFonts w:ascii="Arial" w:cs="Arial" w:eastAsia="Arial" w:hAnsi="Arial"/>
          <w:b/>
          <w:bCs/>
          <w:sz w:val="21"/>
          <w:szCs w:val="21"/>
        </w:rPr>
        <w:t xml:space="preserve">Bulk background generation (second pass): </w:t>
      </w:r>
      <w:r>
        <w:rPr>
          <w:rFonts w:ascii="Arial" w:cs="Arial" w:eastAsia="Arial" w:hAnsi="Arial"/>
          <w:sz w:val="21"/>
          <w:szCs w:val="21"/>
        </w:rPr>
        <w:t xml:space="preserve">Fill in the remaining transactional volume with realistic but non-seed data. This creates the statistical backdrop against which the seed scenarios stand out. Bulk generation must respect all constraints (temporal ordering, FK validity, source list adherence) but does not need narrative alignment.</w:t>
      </w:r>
    </w:p>
    <w:p>
      <w:pPr>
        <w:pStyle w:val="ListParagraph"/>
        <w:numPr>
          <w:ilvl w:val="0"/>
          <w:numId w:val="31"/>
        </w:numPr>
        <w:spacing w:after="80" w:line="280"/>
      </w:pPr>
      <w:r>
        <w:rPr>
          <w:rFonts w:ascii="Arial" w:cs="Arial" w:eastAsia="Arial" w:hAnsi="Arial"/>
          <w:b/>
          <w:bCs/>
          <w:sz w:val="21"/>
          <w:szCs w:val="21"/>
        </w:rPr>
        <w:t xml:space="preserve">Maverick injection (third pass): </w:t>
      </w:r>
      <w:r>
        <w:rPr>
          <w:rFonts w:ascii="Arial" w:cs="Arial" w:eastAsia="Arial" w:hAnsi="Arial"/>
          <w:sz w:val="21"/>
          <w:szCs w:val="21"/>
        </w:rPr>
        <w:t xml:space="preserve">Insert the deliberate maverick and exception records. These are easier to generate after the compliant baseline exists, because you can target specific gaps (materials without contracts, non-preferred vendors).</w:t>
      </w:r>
    </w:p>
    <w:p>
      <w:pPr>
        <w:pStyle w:val="ListParagraph"/>
        <w:numPr>
          <w:ilvl w:val="0"/>
          <w:numId w:val="31"/>
        </w:numPr>
        <w:spacing w:after="80" w:line="280"/>
      </w:pPr>
      <w:r>
        <w:rPr>
          <w:rFonts w:ascii="Arial" w:cs="Arial" w:eastAsia="Arial" w:hAnsi="Arial"/>
          <w:b/>
          <w:bCs/>
          <w:sz w:val="21"/>
          <w:szCs w:val="21"/>
        </w:rPr>
        <w:t xml:space="preserve">Reconciliation (fourth pass): </w:t>
      </w:r>
      <w:r>
        <w:rPr>
          <w:rFonts w:ascii="Arial" w:cs="Arial" w:eastAsia="Arial" w:hAnsi="Arial"/>
          <w:sz w:val="21"/>
          <w:szCs w:val="21"/>
        </w:rPr>
        <w:t xml:space="preserve">Update derived fields (contract consumption, PO actual delivery dates, vendor performance aggregates) and run the full validation suite.</w:t>
      </w:r>
    </w:p>
    <w:p>
      <w:pPr>
        <w:spacing w:after="100"/>
      </w:pPr>
    </w:p>
    <w:p>
      <w:pPr>
        <w:pStyle w:val="Heading2"/>
        <w:spacing w:before="280" w:after="160"/>
      </w:pPr>
      <w:r>
        <w:rPr>
          <w:rFonts w:ascii="Arial" w:cs="Arial" w:eastAsia="Arial" w:hAnsi="Arial"/>
          <w:b/>
          <w:bCs/>
          <w:color w:val="2E86C1"/>
          <w:sz w:val="26"/>
          <w:szCs w:val="26"/>
        </w:rPr>
        <w:t xml:space="preserve">D6.2 Time Window Design</w:t>
      </w:r>
    </w:p>
    <w:p>
      <w:pPr>
        <w:spacing w:after="140" w:line="300"/>
      </w:pPr>
      <w:r>
        <w:rPr>
          <w:rFonts w:ascii="Arial" w:cs="Arial" w:eastAsia="Arial" w:hAnsi="Arial"/>
          <w:sz w:val="21"/>
          <w:szCs w:val="21"/>
        </w:rPr>
        <w:t xml:space="preserve">The demo time window must be carefully designed to support both point-in-time queries and trend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 Range (example)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Full history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2024-04-01 to 2025-09-30 (18 months)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Total transactional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Trend analysis window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Three 6-month segments or six quarters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Enables Q-over-Q and H-over-H comparisons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Current period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Last 30–60 days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Active POs, open invoices, pending payments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Near future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Next 30–60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Approaching contract expiries, expected deliveries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Demo reference date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A fixed date (e.g., 2025-09-15)</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sz w:val="20"/>
                <w:szCs w:val="20"/>
              </w:rPr>
              <w:t xml:space="preserve">The “today” for demo purposes, anchoring all relative date queries</w:t>
            </w:r>
          </w:p>
        </w:tc>
      </w:tr>
    </w:tbl>
    <w:p>
      <w:pPr>
        <w:spacing w:after="60"/>
      </w:pPr>
    </w:p>
    <w:p>
      <w:pPr>
        <w:pBdr>
          <w:left w:val="single" w:color="2E86C1" w:sz="8" w:space="8"/>
        </w:pBdr>
        <w:spacing w:before="100" w:after="160" w:line="280"/>
        <w:ind w:left="360" w:right="360"/>
      </w:pPr>
      <w:r>
        <w:rPr>
          <w:rFonts w:ascii="Arial" w:cs="Arial" w:eastAsia="Arial" w:hAnsi="Arial"/>
          <w:i/>
          <w:iCs/>
          <w:color w:val="1A5276"/>
          <w:sz w:val="20"/>
          <w:szCs w:val="20"/>
        </w:rPr>
        <w:t xml:space="preserve">The demo reference date must be explicitly defined and used consistently. When the AI answers “which contracts expire in the next 60 days?” it must calculate from this anchor date, not from the actual current date. This ensures demo reproducibility.</w:t>
      </w:r>
    </w:p>
    <w:p>
      <w:pPr>
        <w:spacing w:after="100"/>
      </w:pPr>
    </w:p>
    <w:p>
      <w:pPr>
        <w:pStyle w:val="Heading2"/>
        <w:spacing w:before="280" w:after="160"/>
      </w:pPr>
      <w:r>
        <w:rPr>
          <w:rFonts w:ascii="Arial" w:cs="Arial" w:eastAsia="Arial" w:hAnsi="Arial"/>
          <w:b/>
          <w:bCs/>
          <w:color w:val="2E86C1"/>
          <w:sz w:val="26"/>
          <w:szCs w:val="26"/>
        </w:rPr>
        <w:t xml:space="preserve">D6.3 Volume Distribution Over Time</w:t>
      </w:r>
    </w:p>
    <w:p>
      <w:pPr>
        <w:spacing w:after="140" w:line="300"/>
      </w:pPr>
      <w:r>
        <w:rPr>
          <w:rFonts w:ascii="Arial" w:cs="Arial" w:eastAsia="Arial" w:hAnsi="Arial"/>
          <w:sz w:val="21"/>
          <w:szCs w:val="21"/>
        </w:rPr>
        <w:t xml:space="preserve">Transactional volume should not be uniformly distributed. Real procurement has patterns:</w:t>
      </w:r>
    </w:p>
    <w:p>
      <w:pPr>
        <w:spacing w:after="60"/>
      </w:pPr>
    </w:p>
    <w:p>
      <w:pPr>
        <w:pStyle w:val="ListParagraph"/>
        <w:numPr>
          <w:ilvl w:val="0"/>
          <w:numId w:val="32"/>
        </w:numPr>
        <w:spacing w:after="80" w:line="280"/>
      </w:pPr>
      <w:r>
        <w:rPr>
          <w:rFonts w:ascii="Arial" w:cs="Arial" w:eastAsia="Arial" w:hAnsi="Arial"/>
          <w:sz w:val="21"/>
          <w:szCs w:val="21"/>
        </w:rPr>
        <w:t xml:space="preserve">Monthly PO volumes should show mild seasonality: slightly higher in Q1 (annual contract releases) and Q3 (production ramp-up)</w:t>
      </w:r>
    </w:p>
    <w:p>
      <w:pPr>
        <w:pStyle w:val="ListParagraph"/>
        <w:numPr>
          <w:ilvl w:val="0"/>
          <w:numId w:val="32"/>
        </w:numPr>
        <w:spacing w:after="80" w:line="280"/>
      </w:pPr>
      <w:r>
        <w:rPr>
          <w:rFonts w:ascii="Arial" w:cs="Arial" w:eastAsia="Arial" w:hAnsi="Arial"/>
          <w:sz w:val="21"/>
          <w:szCs w:val="21"/>
        </w:rPr>
        <w:t xml:space="preserve">Q4 may show a slight dip (budget constraints, year-end caution)</w:t>
      </w:r>
    </w:p>
    <w:p>
      <w:pPr>
        <w:pStyle w:val="ListParagraph"/>
        <w:numPr>
          <w:ilvl w:val="0"/>
          <w:numId w:val="32"/>
        </w:numPr>
        <w:spacing w:after="80" w:line="280"/>
      </w:pPr>
      <w:r>
        <w:rPr>
          <w:rFonts w:ascii="Arial" w:cs="Arial" w:eastAsia="Arial" w:hAnsi="Arial"/>
          <w:sz w:val="21"/>
          <w:szCs w:val="21"/>
        </w:rPr>
        <w:t xml:space="preserve">RUSH and URGENT orders should cluster around production ramp periods</w:t>
      </w:r>
    </w:p>
    <w:p>
      <w:pPr>
        <w:pStyle w:val="ListParagraph"/>
        <w:numPr>
          <w:ilvl w:val="0"/>
          <w:numId w:val="32"/>
        </w:numPr>
        <w:spacing w:after="80" w:line="280"/>
      </w:pPr>
      <w:r>
        <w:rPr>
          <w:rFonts w:ascii="Arial" w:cs="Arial" w:eastAsia="Arial" w:hAnsi="Arial"/>
          <w:sz w:val="21"/>
          <w:szCs w:val="21"/>
        </w:rPr>
        <w:t xml:space="preserve">Invoice volumes lag PO volumes by approximately the average lead time</w:t>
      </w:r>
    </w:p>
    <w:p>
      <w:pPr>
        <w:pStyle w:val="ListParagraph"/>
        <w:numPr>
          <w:ilvl w:val="0"/>
          <w:numId w:val="32"/>
        </w:numPr>
        <w:spacing w:after="80" w:line="280"/>
      </w:pPr>
      <w:r>
        <w:rPr>
          <w:rFonts w:ascii="Arial" w:cs="Arial" w:eastAsia="Arial" w:hAnsi="Arial"/>
          <w:sz w:val="21"/>
          <w:szCs w:val="21"/>
        </w:rPr>
        <w:t xml:space="preserve">Payment volumes lag invoice volumes by approximately the average payment terms</w:t>
      </w:r>
    </w:p>
    <w:p>
      <w:pPr>
        <w:spacing w:after="60"/>
      </w:pPr>
    </w:p>
    <w:p>
      <w:pPr>
        <w:spacing w:after="140" w:line="300"/>
      </w:pPr>
      <w:r>
        <w:rPr>
          <w:rFonts w:ascii="Arial" w:cs="Arial" w:eastAsia="Arial" w:hAnsi="Arial"/>
          <w:sz w:val="21"/>
          <w:szCs w:val="21"/>
        </w:rPr>
        <w:t xml:space="preserve">This temporal texture makes trend analysis queries more interesting and realistic. A flat distribution would look synthetic to any procurement analyst.</w:t>
      </w:r>
    </w:p>
    <w:p>
      <w:r>
        <w:br w:type="page"/>
      </w:r>
    </w:p>
    <w:p>
      <w:pPr>
        <w:pStyle w:val="Heading1"/>
        <w:pBdr>
          <w:bottom w:val="single" w:color="1B4F72" w:sz="4" w:space="4"/>
        </w:pBdr>
        <w:spacing w:before="360" w:after="200"/>
      </w:pPr>
      <w:r>
        <w:rPr>
          <w:rFonts w:ascii="Arial" w:cs="Arial" w:eastAsia="Arial" w:hAnsi="Arial"/>
          <w:b/>
          <w:bCs/>
          <w:color w:val="1B4F72"/>
          <w:sz w:val="32"/>
          <w:szCs w:val="32"/>
        </w:rPr>
        <w:t xml:space="preserve">D7. Knowledge Graph Extensions for Transactions</w:t>
      </w:r>
    </w:p>
    <w:p>
      <w:pPr>
        <w:spacing w:after="140" w:line="300"/>
      </w:pPr>
      <w:r>
        <w:rPr>
          <w:rFonts w:ascii="Arial" w:cs="Arial" w:eastAsia="Arial" w:hAnsi="Arial"/>
          <w:sz w:val="21"/>
          <w:szCs w:val="21"/>
        </w:rPr>
        <w:t xml:space="preserve">The transactional layer extends the master data knowledge graph with event nodes and temporal edges:</w:t>
      </w:r>
    </w:p>
    <w:p>
      <w:pPr>
        <w:spacing w:after="80"/>
      </w:pPr>
    </w:p>
    <w:p>
      <w:pPr>
        <w:pStyle w:val="Heading2"/>
        <w:spacing w:before="280" w:after="160"/>
      </w:pPr>
      <w:r>
        <w:rPr>
          <w:rFonts w:ascii="Arial" w:cs="Arial" w:eastAsia="Arial" w:hAnsi="Arial"/>
          <w:b/>
          <w:bCs/>
          <w:color w:val="2E86C1"/>
          <w:sz w:val="26"/>
          <w:szCs w:val="26"/>
        </w:rPr>
        <w:t xml:space="preserve">D7.1 Extended Graph Structure</w:t>
      </w:r>
    </w:p>
    <w:p>
      <w:pPr>
        <w:spacing w:after="140" w:line="300"/>
      </w:pPr>
      <w:r>
        <w:rPr>
          <w:rFonts w:ascii="Arial" w:cs="Arial" w:eastAsia="Arial" w:hAnsi="Arial"/>
          <w:b/>
          <w:bCs/>
          <w:sz w:val="21"/>
          <w:szCs w:val="21"/>
        </w:rPr>
        <w:t xml:space="preserve">PR → PO: </w:t>
      </w:r>
      <w:r>
        <w:rPr>
          <w:rFonts w:ascii="Arial" w:cs="Arial" w:eastAsia="Arial" w:hAnsi="Arial"/>
          <w:sz w:val="21"/>
          <w:szCs w:val="21"/>
        </w:rPr>
        <w:t xml:space="preserve">Demand converts to commitment. Edge carries conversion date and consolidation info.</w:t>
      </w:r>
    </w:p>
    <w:p>
      <w:pPr>
        <w:spacing w:after="140" w:line="300"/>
      </w:pPr>
      <w:r>
        <w:rPr>
          <w:rFonts w:ascii="Arial" w:cs="Arial" w:eastAsia="Arial" w:hAnsi="Arial"/>
          <w:b/>
          <w:bCs/>
          <w:sz w:val="21"/>
          <w:szCs w:val="21"/>
        </w:rPr>
        <w:t xml:space="preserve">PO → Vendor: </w:t>
      </w:r>
      <w:r>
        <w:rPr>
          <w:rFonts w:ascii="Arial" w:cs="Arial" w:eastAsia="Arial" w:hAnsi="Arial"/>
          <w:sz w:val="21"/>
          <w:szCs w:val="21"/>
        </w:rPr>
        <w:t xml:space="preserve">Commercial commitment to supplier. Edge carries pricing and terms.</w:t>
      </w:r>
    </w:p>
    <w:p>
      <w:pPr>
        <w:spacing w:after="140" w:line="300"/>
      </w:pPr>
      <w:r>
        <w:rPr>
          <w:rFonts w:ascii="Arial" w:cs="Arial" w:eastAsia="Arial" w:hAnsi="Arial"/>
          <w:b/>
          <w:bCs/>
          <w:sz w:val="21"/>
          <w:szCs w:val="21"/>
        </w:rPr>
        <w:t xml:space="preserve">PO → Contract: </w:t>
      </w:r>
      <w:r>
        <w:rPr>
          <w:rFonts w:ascii="Arial" w:cs="Arial" w:eastAsia="Arial" w:hAnsi="Arial"/>
          <w:sz w:val="21"/>
          <w:szCs w:val="21"/>
        </w:rPr>
        <w:t xml:space="preserve">PO references pre-negotiated agreement. Enables compliance checking.</w:t>
      </w:r>
    </w:p>
    <w:p>
      <w:pPr>
        <w:spacing w:after="140" w:line="300"/>
      </w:pPr>
      <w:r>
        <w:rPr>
          <w:rFonts w:ascii="Arial" w:cs="Arial" w:eastAsia="Arial" w:hAnsi="Arial"/>
          <w:b/>
          <w:bCs/>
          <w:sz w:val="21"/>
          <w:szCs w:val="21"/>
        </w:rPr>
        <w:t xml:space="preserve">PO → Material: </w:t>
      </w:r>
      <w:r>
        <w:rPr>
          <w:rFonts w:ascii="Arial" w:cs="Arial" w:eastAsia="Arial" w:hAnsi="Arial"/>
          <w:sz w:val="21"/>
          <w:szCs w:val="21"/>
        </w:rPr>
        <w:t xml:space="preserve">What was ordered. Enables spend-by-material analysis.</w:t>
      </w:r>
    </w:p>
    <w:p>
      <w:pPr>
        <w:spacing w:after="140" w:line="300"/>
      </w:pPr>
      <w:r>
        <w:rPr>
          <w:rFonts w:ascii="Arial" w:cs="Arial" w:eastAsia="Arial" w:hAnsi="Arial"/>
          <w:b/>
          <w:bCs/>
          <w:sz w:val="21"/>
          <w:szCs w:val="21"/>
        </w:rPr>
        <w:t xml:space="preserve">GR → PO: </w:t>
      </w:r>
      <w:r>
        <w:rPr>
          <w:rFonts w:ascii="Arial" w:cs="Arial" w:eastAsia="Arial" w:hAnsi="Arial"/>
          <w:sz w:val="21"/>
          <w:szCs w:val="21"/>
        </w:rPr>
        <w:t xml:space="preserve">Delivery event references order. Enables OTD calculation.</w:t>
      </w:r>
    </w:p>
    <w:p>
      <w:pPr>
        <w:spacing w:after="140" w:line="300"/>
      </w:pPr>
      <w:r>
        <w:rPr>
          <w:rFonts w:ascii="Arial" w:cs="Arial" w:eastAsia="Arial" w:hAnsi="Arial"/>
          <w:b/>
          <w:bCs/>
          <w:sz w:val="21"/>
          <w:szCs w:val="21"/>
        </w:rPr>
        <w:t xml:space="preserve">Invoice → PO + GR: </w:t>
      </w:r>
      <w:r>
        <w:rPr>
          <w:rFonts w:ascii="Arial" w:cs="Arial" w:eastAsia="Arial" w:hAnsi="Arial"/>
          <w:sz w:val="21"/>
          <w:szCs w:val="21"/>
        </w:rPr>
        <w:t xml:space="preserve">Payment request references both order and delivery. Enables three-way match.</w:t>
      </w:r>
    </w:p>
    <w:p>
      <w:pPr>
        <w:spacing w:after="140" w:line="300"/>
      </w:pPr>
      <w:r>
        <w:rPr>
          <w:rFonts w:ascii="Arial" w:cs="Arial" w:eastAsia="Arial" w:hAnsi="Arial"/>
          <w:b/>
          <w:bCs/>
          <w:sz w:val="21"/>
          <w:szCs w:val="21"/>
        </w:rPr>
        <w:t xml:space="preserve">Payment → Invoice → Vendor: </w:t>
      </w:r>
      <w:r>
        <w:rPr>
          <w:rFonts w:ascii="Arial" w:cs="Arial" w:eastAsia="Arial" w:hAnsi="Arial"/>
          <w:sz w:val="21"/>
          <w:szCs w:val="21"/>
        </w:rPr>
        <w:t xml:space="preserve">Settlement path. Enables cash flow analysis and payment performance tracking.</w:t>
      </w:r>
    </w:p>
    <w:p>
      <w:pPr>
        <w:spacing w:after="80"/>
      </w:pPr>
    </w:p>
    <w:p>
      <w:pPr>
        <w:pStyle w:val="Heading2"/>
        <w:spacing w:before="280" w:after="160"/>
      </w:pPr>
      <w:r>
        <w:rPr>
          <w:rFonts w:ascii="Arial" w:cs="Arial" w:eastAsia="Arial" w:hAnsi="Arial"/>
          <w:b/>
          <w:bCs/>
          <w:color w:val="2E86C1"/>
          <w:sz w:val="26"/>
          <w:szCs w:val="26"/>
        </w:rPr>
        <w:t xml:space="preserve">D7.2 Multi-Hop Transactional Query Examples</w:t>
      </w:r>
    </w:p>
    <w:p>
      <w:pPr>
        <w:spacing w:after="60"/>
      </w:pPr>
    </w:p>
    <w:p>
      <w:pPr>
        <w:spacing w:after="140" w:line="300"/>
      </w:pPr>
      <w:r>
        <w:rPr>
          <w:rFonts w:ascii="Arial" w:cs="Arial" w:eastAsia="Arial" w:hAnsi="Arial"/>
          <w:b/>
          <w:bCs/>
          <w:i/>
          <w:iCs/>
          <w:sz w:val="21"/>
          <w:szCs w:val="21"/>
        </w:rPr>
        <w:t xml:space="preserve">"Why is this payment blocked?" </w:t>
      </w:r>
      <w:r>
        <w:rPr>
          <w:rFonts w:ascii="Arial" w:cs="Arial" w:eastAsia="Arial" w:hAnsi="Arial"/>
          <w:sz w:val="21"/>
          <w:szCs w:val="21"/>
        </w:rPr>
        <w:t xml:space="preserve">Traversal: Payment(blocked) → Invoice(exception) → match_status(PRICE_VARIANCE) → PO(unit_price=$4.85) → Invoice(unit_price=$5.24) → Contract(agreed=$4.85) → conclusion: supplier invoiced above contract price.</w:t>
      </w:r>
    </w:p>
    <w:p>
      <w:pPr>
        <w:spacing w:after="60"/>
      </w:pPr>
    </w:p>
    <w:p>
      <w:pPr>
        <w:spacing w:after="140" w:line="300"/>
      </w:pPr>
      <w:r>
        <w:rPr>
          <w:rFonts w:ascii="Arial" w:cs="Arial" w:eastAsia="Arial" w:hAnsi="Arial"/>
          <w:b/>
          <w:bCs/>
          <w:i/>
          <w:iCs/>
          <w:sz w:val="21"/>
          <w:szCs w:val="21"/>
        </w:rPr>
        <w:t xml:space="preserve">"What is our maverick spend this quarter?" </w:t>
      </w:r>
      <w:r>
        <w:rPr>
          <w:rFonts w:ascii="Arial" w:cs="Arial" w:eastAsia="Arial" w:hAnsi="Arial"/>
          <w:sz w:val="21"/>
          <w:szCs w:val="21"/>
        </w:rPr>
        <w:t xml:space="preserve">Traversal: PO(maverick_flag=TRUE, po_date in quarter) → aggregate net_value → compare to total PO value → calculate % and breakdown by category and vendor.</w:t>
      </w:r>
    </w:p>
    <w:p>
      <w:pPr>
        <w:spacing w:after="60"/>
      </w:pPr>
    </w:p>
    <w:p>
      <w:pPr>
        <w:spacing w:after="140" w:line="300"/>
      </w:pPr>
      <w:r>
        <w:rPr>
          <w:rFonts w:ascii="Arial" w:cs="Arial" w:eastAsia="Arial" w:hAnsi="Arial"/>
          <w:b/>
          <w:bCs/>
          <w:i/>
          <w:iCs/>
          <w:sz w:val="21"/>
          <w:szCs w:val="21"/>
        </w:rPr>
        <w:t xml:space="preserve">"Why was SHEETPRO put on conditional status?" </w:t>
      </w:r>
      <w:r>
        <w:rPr>
          <w:rFonts w:ascii="Arial" w:cs="Arial" w:eastAsia="Arial" w:hAnsi="Arial"/>
          <w:sz w:val="21"/>
          <w:szCs w:val="21"/>
        </w:rPr>
        <w:t xml:space="preserve">Traversal: Vendor(SHEETPRO-MY, status=CONDITIONAL) → GRs(by quarter) → calculate OTD trend(92% → 83% → 71%) + rejection trend → SourceList(approval_status=CONDITIONAL) → conclusion: declining performance triggered status change.</w:t>
      </w:r>
    </w:p>
    <w:p>
      <w:pPr>
        <w:spacing w:after="60"/>
      </w:pPr>
    </w:p>
    <w:p>
      <w:pPr>
        <w:spacing w:after="140" w:line="300"/>
      </w:pPr>
      <w:r>
        <w:rPr>
          <w:rFonts w:ascii="Arial" w:cs="Arial" w:eastAsia="Arial" w:hAnsi="Arial"/>
          <w:b/>
          <w:bCs/>
          <w:i/>
          <w:iCs/>
          <w:sz w:val="21"/>
          <w:szCs w:val="21"/>
        </w:rPr>
        <w:t xml:space="preserve">"What’s the financial impact of not renewing the Intel contract?" </w:t>
      </w:r>
      <w:r>
        <w:rPr>
          <w:rFonts w:ascii="Arial" w:cs="Arial" w:eastAsia="Arial" w:hAnsi="Arial"/>
          <w:sz w:val="21"/>
          <w:szCs w:val="21"/>
        </w:rPr>
        <w:t xml:space="preserve">Traversal: Contract(CTR-INTEL-2024-01, EXPIRED) → Material(CAM-DEPTH-INTEL) → POs(after contract expiry) → compare unit_price to contract.agreed_price → calculate total overpayment.</w:t>
      </w:r>
    </w:p>
    <w:p>
      <w:pPr>
        <w:spacing w:after="80"/>
      </w:pPr>
    </w:p>
    <w:p>
      <w:pPr>
        <w:pStyle w:val="Heading2"/>
        <w:spacing w:before="280" w:after="160"/>
      </w:pPr>
      <w:r>
        <w:rPr>
          <w:rFonts w:ascii="Arial" w:cs="Arial" w:eastAsia="Arial" w:hAnsi="Arial"/>
          <w:b/>
          <w:bCs/>
          <w:color w:val="2E86C1"/>
          <w:sz w:val="26"/>
          <w:szCs w:val="26"/>
        </w:rPr>
        <w:t xml:space="preserve">D7.3 Graph + Guardrails at the Transactional Level</w:t>
      </w:r>
    </w:p>
    <w:p>
      <w:pPr>
        <w:spacing w:after="140" w:line="300"/>
      </w:pPr>
      <w:r>
        <w:rPr>
          <w:rFonts w:ascii="Arial" w:cs="Arial" w:eastAsia="Arial" w:hAnsi="Arial"/>
          <w:sz w:val="21"/>
          <w:szCs w:val="21"/>
        </w:rPr>
        <w:t xml:space="preserve">Transactional data inherits confidentiality tiers from the master data it references. When the AI traverses into transactional data, it must check:</w:t>
      </w:r>
    </w:p>
    <w:p>
      <w:pPr>
        <w:spacing w:after="60"/>
      </w:pPr>
    </w:p>
    <w:p>
      <w:pPr>
        <w:pStyle w:val="ListParagraph"/>
        <w:numPr>
          <w:ilvl w:val="0"/>
          <w:numId w:val="33"/>
        </w:numPr>
        <w:spacing w:after="80" w:line="280"/>
      </w:pPr>
      <w:r>
        <w:rPr>
          <w:rFonts w:ascii="Arial" w:cs="Arial" w:eastAsia="Arial" w:hAnsi="Arial"/>
          <w:sz w:val="21"/>
          <w:szCs w:val="21"/>
        </w:rPr>
        <w:t xml:space="preserve">Vendor confidentiality tier: if the PO’s vendor is RESTRICTED, the PO itself is RESTRICTED</w:t>
      </w:r>
    </w:p>
    <w:p>
      <w:pPr>
        <w:pStyle w:val="ListParagraph"/>
        <w:numPr>
          <w:ilvl w:val="0"/>
          <w:numId w:val="33"/>
        </w:numPr>
        <w:spacing w:after="80" w:line="280"/>
      </w:pPr>
      <w:r>
        <w:rPr>
          <w:rFonts w:ascii="Arial" w:cs="Arial" w:eastAsia="Arial" w:hAnsi="Arial"/>
          <w:sz w:val="21"/>
          <w:szCs w:val="21"/>
        </w:rPr>
        <w:t xml:space="preserve">Material confidentiality tier: if the material is RESTRICTED, the PO line referencing it is RESTRICTED</w:t>
      </w:r>
    </w:p>
    <w:p>
      <w:pPr>
        <w:pStyle w:val="ListParagraph"/>
        <w:numPr>
          <w:ilvl w:val="0"/>
          <w:numId w:val="33"/>
        </w:numPr>
        <w:spacing w:after="80" w:line="280"/>
      </w:pPr>
      <w:r>
        <w:rPr>
          <w:rFonts w:ascii="Arial" w:cs="Arial" w:eastAsia="Arial" w:hAnsi="Arial"/>
          <w:sz w:val="21"/>
          <w:szCs w:val="21"/>
        </w:rPr>
        <w:t xml:space="preserve">Payment data: bank_account_ref is always RESTRICTED regardless of vendor tier</w:t>
      </w:r>
    </w:p>
    <w:p>
      <w:pPr>
        <w:pStyle w:val="ListParagraph"/>
        <w:numPr>
          <w:ilvl w:val="0"/>
          <w:numId w:val="33"/>
        </w:numPr>
        <w:spacing w:after="80" w:line="280"/>
      </w:pPr>
      <w:r>
        <w:rPr>
          <w:rFonts w:ascii="Arial" w:cs="Arial" w:eastAsia="Arial" w:hAnsi="Arial"/>
          <w:sz w:val="21"/>
          <w:szCs w:val="21"/>
        </w:rPr>
        <w:t xml:space="preserve">Invoice pricing: inherits the confidentiality tier of the referenced contract (if any)</w:t>
      </w:r>
    </w:p>
    <w:p>
      <w:pPr>
        <w:spacing w:after="60"/>
      </w:pPr>
    </w:p>
    <w:p>
      <w:pPr>
        <w:spacing w:after="140" w:line="300"/>
      </w:pPr>
      <w:r>
        <w:rPr>
          <w:rFonts w:ascii="Arial" w:cs="Arial" w:eastAsia="Arial" w:hAnsi="Arial"/>
          <w:sz w:val="21"/>
          <w:szCs w:val="21"/>
        </w:rPr>
        <w:t xml:space="preserve">The observability dashboard can show these inheritance decisions: “Payment PAY-000042 references vendor VND-BMS-01 (RESTRICTED) → payment details suppressed for role PROCUREMENT_VIEWER.”</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AMR Robotics Pte Ltd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999999"/>
        <w:sz w:val="16"/>
        <w:szCs w:val="16"/>
      </w:rPr>
      <w:t xml:space="preserve">Procurement AI Demo – Master Data Generation Plan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9"/>
    <w:lvlOverride w:ilvl="0">
      <w:startOverride w:val="1"/>
    </w:lvlOverride>
  </w:num>
  <w:num w:numId="8">
    <w:abstractNumId w:val="33"/>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26"/>
    <w:lvlOverride w:ilvl="0">
      <w:startOverride w:val="1"/>
    </w:lvlOverride>
  </w:num>
  <w:num w:numId="13">
    <w:abstractNumId w:val="27"/>
    <w:lvlOverride w:ilvl="0">
      <w:startOverride w:val="1"/>
    </w:lvlOverride>
  </w:num>
  <w:num w:numId="14">
    <w:abstractNumId w:val="28"/>
    <w:lvlOverride w:ilvl="0">
      <w:startOverride w:val="1"/>
    </w:lvlOverride>
  </w:num>
  <w:num w:numId="15">
    <w:abstractNumId w:val="29"/>
    <w:lvlOverride w:ilvl="0">
      <w:startOverride w:val="1"/>
    </w:lvlOverride>
  </w:num>
  <w:num w:numId="16">
    <w:abstractNumId w:val="30"/>
    <w:lvlOverride w:ilvl="0">
      <w:startOverride w:val="1"/>
    </w:lvlOverride>
  </w:num>
  <w:num w:numId="17">
    <w:abstractNumId w:val="31"/>
    <w:lvlOverride w:ilvl="0">
      <w:startOverride w:val="1"/>
    </w:lvlOverride>
  </w:num>
  <w:num w:numId="18">
    <w:abstractNumId w:val="32"/>
    <w:lvlOverride w:ilvl="0">
      <w:startOverride w:val="1"/>
    </w:lvlOverride>
  </w:num>
  <w:num w:numId="19">
    <w:abstractNumId w:val="21"/>
    <w:lvlOverride w:ilvl="0">
      <w:startOverride w:val="1"/>
    </w:lvlOverride>
  </w:num>
  <w:num w:numId="20">
    <w:abstractNumId w:val="23"/>
    <w:lvlOverride w:ilvl="0">
      <w:startOverride w:val="1"/>
    </w:lvlOverride>
  </w:num>
  <w:num w:numId="21">
    <w:abstractNumId w:val="24"/>
    <w:lvlOverride w:ilvl="0">
      <w:startOverride w:val="1"/>
    </w:lvlOverride>
  </w:num>
  <w:num w:numId="22">
    <w:abstractNumId w:val="10"/>
    <w:lvlOverride w:ilvl="0">
      <w:startOverride w:val="1"/>
    </w:lvlOverride>
  </w:num>
  <w:num w:numId="23">
    <w:abstractNumId w:val="11"/>
    <w:lvlOverride w:ilvl="0">
      <w:startOverride w:val="1"/>
    </w:lvlOverride>
  </w:num>
  <w:num w:numId="24">
    <w:abstractNumId w:val="12"/>
    <w:lvlOverride w:ilvl="0">
      <w:startOverride w:val="1"/>
    </w:lvlOverride>
  </w:num>
  <w:num w:numId="25">
    <w:abstractNumId w:val="13"/>
    <w:lvlOverride w:ilvl="0">
      <w:startOverride w:val="1"/>
    </w:lvlOverride>
  </w:num>
  <w:num w:numId="26">
    <w:abstractNumId w:val="14"/>
    <w:lvlOverride w:ilvl="0">
      <w:startOverride w:val="1"/>
    </w:lvlOverride>
  </w:num>
  <w:num w:numId="27">
    <w:abstractNumId w:val="15"/>
    <w:lvlOverride w:ilvl="0">
      <w:startOverride w:val="1"/>
    </w:lvlOverride>
  </w:num>
  <w:num w:numId="28">
    <w:abstractNumId w:val="16"/>
    <w:lvlOverride w:ilvl="0">
      <w:startOverride w:val="1"/>
    </w:lvlOverride>
  </w:num>
  <w:num w:numId="29">
    <w:abstractNumId w:val="17"/>
    <w:lvlOverride w:ilvl="0">
      <w:startOverride w:val="1"/>
    </w:lvlOverride>
  </w:num>
  <w:num w:numId="30">
    <w:abstractNumId w:val="18"/>
    <w:lvlOverride w:ilvl="0">
      <w:startOverride w:val="1"/>
    </w:lvlOverride>
  </w:num>
  <w:num w:numId="31">
    <w:abstractNumId w:val="25"/>
    <w:lvlOverride w:ilvl="0">
      <w:startOverride w:val="1"/>
    </w:lvlOverride>
  </w:num>
  <w:num w:numId="32">
    <w:abstractNumId w:val="19"/>
    <w:lvlOverride w:ilvl="0">
      <w:startOverride w:val="1"/>
    </w:lvlOverride>
  </w:num>
  <w:num w:numId="33">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2026-03-06T03:44:09.113Z</dcterms:created>
  <dcterms:modified xsi:type="dcterms:W3CDTF">2026-03-06T03:44:09.116Z</dcterms:modified>
</cp:coreProperties>
</file>

<file path=docProps/custom.xml><?xml version="1.0" encoding="utf-8"?>
<Properties xmlns="http://schemas.openxmlformats.org/officeDocument/2006/custom-properties" xmlns:vt="http://schemas.openxmlformats.org/officeDocument/2006/docPropsVTypes"/>
</file>