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Customer Opportunity Package</w:t>
      </w:r>
    </w:p>
    <w:p>
      <w:pPr>
        <w:jc w:val="center"/>
      </w:pPr>
      <w:r>
        <w:rPr>
          <w:b/>
        </w:rPr>
        <w:t>EVINV-POC-001 | EV-INV-800 Demonstration Traction Inverter</w:t>
        <w:br/>
        <w:t>Phase 0 / Gate 0 | Version 1.0</w:t>
      </w:r>
    </w:p>
    <w:p>
      <w:pPr>
        <w:jc w:val="center"/>
      </w:pPr>
      <w:r>
        <w:rPr>
          <w:b/>
          <w:color w:val="C00000"/>
        </w:rPr>
        <w:t>Synthetic POC Data - Not TT Electronics Product Data - Not for Design, Fabrication, Certification, Procurement, or Production.</w:t>
      </w:r>
    </w:p>
    <w:p>
      <w:pPr>
        <w:pStyle w:val="Heading1"/>
      </w:pPr>
      <w:r>
        <w:t>Customer Inquiry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Apex Electric Mobility</w:t>
            </w:r>
          </w:p>
        </w:tc>
      </w:tr>
      <w:tr>
        <w:tc>
          <w:tcPr>
            <w:tcW w:type="dxa" w:w="5112"/>
          </w:tcPr>
          <w:p>
            <w:r>
              <w:t>Program</w:t>
            </w:r>
          </w:p>
        </w:tc>
        <w:tc>
          <w:tcPr>
            <w:tcW w:type="dxa" w:w="5112"/>
          </w:tcPr>
          <w:p>
            <w:r>
              <w:t>AMX-800 Passenger EV Platform</w:t>
            </w:r>
          </w:p>
        </w:tc>
      </w:tr>
      <w:tr>
        <w:tc>
          <w:tcPr>
            <w:tcW w:type="dxa" w:w="5112"/>
          </w:tcPr>
          <w:p>
            <w:r>
              <w:t>Requested Product</w:t>
            </w:r>
          </w:p>
        </w:tc>
        <w:tc>
          <w:tcPr>
            <w:tcW w:type="dxa" w:w="5112"/>
          </w:tcPr>
          <w:p>
            <w:r>
              <w:t>800 V liquid-cooled traction inverter</w:t>
            </w:r>
          </w:p>
        </w:tc>
      </w:tr>
      <w:tr>
        <w:tc>
          <w:tcPr>
            <w:tcW w:type="dxa" w:w="5112"/>
          </w:tcPr>
          <w:p>
            <w:r>
              <w:t>Target SOP</w:t>
            </w:r>
          </w:p>
        </w:tc>
        <w:tc>
          <w:tcPr>
            <w:tcW w:type="dxa" w:w="5112"/>
          </w:tcPr>
          <w:p>
            <w:r>
              <w:t>Q3 2029</w:t>
            </w:r>
          </w:p>
        </w:tc>
      </w:tr>
      <w:tr>
        <w:tc>
          <w:tcPr>
            <w:tcW w:type="dxa" w:w="5112"/>
          </w:tcPr>
          <w:p>
            <w:r>
              <w:t>Prototype Quantity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Annual Volume</w:t>
            </w:r>
          </w:p>
        </w:tc>
        <w:tc>
          <w:tcPr>
            <w:tcW w:type="dxa" w:w="5112"/>
          </w:tcPr>
          <w:p>
            <w:r>
              <w:t>35,000 units</w:t>
            </w:r>
          </w:p>
        </w:tc>
      </w:tr>
      <w:tr>
        <w:tc>
          <w:tcPr>
            <w:tcW w:type="dxa" w:w="5112"/>
          </w:tcPr>
          <w:p>
            <w:r>
              <w:t>Commercial Request</w:t>
            </w:r>
          </w:p>
        </w:tc>
        <w:tc>
          <w:tcPr>
            <w:tcW w:type="dxa" w:w="5112"/>
          </w:tcPr>
          <w:p>
            <w:r>
              <w:t>Budgetary proposal and development approach</w:t>
            </w:r>
          </w:p>
        </w:tc>
      </w:tr>
    </w:tbl>
    <w:p>
      <w:pPr>
        <w:pStyle w:val="Heading1"/>
      </w:pPr>
      <w:r>
        <w:t>Scope and Deliverables</w:t>
      </w:r>
    </w:p>
    <w:p>
      <w:pPr>
        <w:pStyle w:val="ListBullet"/>
      </w:pPr>
      <w:r>
        <w:t>150 kW continuous and 220 kW peak three-phase traction inverter.</w:t>
      </w:r>
    </w:p>
    <w:p>
      <w:pPr>
        <w:pStyle w:val="ListBullet"/>
      </w:pPr>
      <w:r>
        <w:t>Provide engineering development, prototypes, validation support, and production-intent documentation.</w:t>
      </w:r>
    </w:p>
    <w:p>
      <w:pPr>
        <w:pStyle w:val="ListBullet"/>
      </w:pPr>
      <w:r>
        <w:t>Support CAN communications, diagnostics, sealed enclosure, and liquid cooling.</w:t>
      </w:r>
    </w:p>
    <w:p>
      <w:pPr>
        <w:pStyle w:val="Heading1"/>
      </w:pPr>
      <w:r>
        <w:t>Mandatory Requirements</w:t>
      </w:r>
    </w:p>
    <w:p>
      <w:pPr>
        <w:pStyle w:val="ListBullet"/>
      </w:pPr>
      <w:r>
        <w:t>Input operating range: 550-920 VDC.</w:t>
      </w:r>
    </w:p>
    <w:p>
      <w:pPr>
        <w:pStyle w:val="ListBullet"/>
      </w:pPr>
      <w:r>
        <w:t>Peak efficiency target: at least 97.5 percent at nominal operating point.</w:t>
      </w:r>
    </w:p>
    <w:p>
      <w:pPr>
        <w:pStyle w:val="ListBullet"/>
      </w:pPr>
      <w:r>
        <w:t>Customer requires evidence of production readiness before release.</w:t>
      </w:r>
    </w:p>
    <w:p>
      <w:pPr>
        <w:pStyle w:val="ListBullet"/>
      </w:pPr>
      <w:r>
        <w:t>Export/security screen required before bid decision.</w:t>
      </w:r>
    </w:p>
    <w:sectPr w:rsidR="00FC693F" w:rsidRPr="0006063C" w:rsidSect="00034616">
      <w:head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C00000"/>
        <w:sz w:val="16"/>
      </w:rPr>
      <w:t>SYNTHETIC POC INPUT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