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5FBC3D7B" wp14:textId="77777777">
      <w:pPr>
        <w:spacing w:after="40"/>
      </w:pPr>
      <w:r>
        <w:rPr>
          <w:b/>
          <w:bCs/>
          <w:color w:val="1F4E79"/>
          <w:sz w:val="32"/>
          <w:szCs w:val="32"/>
        </w:rPr>
        <w:t xml:space="preserve">Our Proposal: Automating the Product Lifecycle with AI — Human in the Loop</w:t>
      </w:r>
    </w:p>
    <w:p xmlns:wp14="http://schemas.microsoft.com/office/word/2010/wordml" w14:paraId="54645D73" wp14:textId="77777777">
      <w:pPr>
        <w:spacing w:after="60"/>
      </w:pPr>
      <w:r w:rsidRPr="780580BC" w:rsidR="780580BC">
        <w:rPr>
          <w:i w:val="1"/>
          <w:iCs w:val="1"/>
          <w:color w:val="595959"/>
          <w:sz w:val="21"/>
          <w:szCs w:val="21"/>
          <w:lang w:val="en-US"/>
        </w:rPr>
        <w:t>A TechSur GenAI proposal, designed to work with TT Electronics’ Product Lifecycle Process (ENG 001 v4.1)</w:t>
      </w:r>
    </w:p>
    <w:p xmlns:wp14="http://schemas.microsoft.com/office/word/2010/wordml" w:rsidP="780580BC" w14:paraId="3CF3FBC9" wp14:textId="77777777">
      <w:pPr>
        <w:pBdr>
          <w:bottom w:val="single" w:color="2E75B6" w:sz="12" w:space="6"/>
        </w:pBdr>
        <w:spacing w:after="160"/>
      </w:pPr>
      <w:r w:rsidRPr="780580BC" w:rsidR="780580BC">
        <w:rPr>
          <w:color w:val="595959"/>
          <w:sz w:val="18"/>
          <w:szCs w:val="18"/>
          <w:lang w:val="en-US"/>
        </w:rPr>
        <w:t>Prepared by TechSur Solutions for Sanjeev Sachan, Director — Engineering &amp; Program Management (North America), TT Electronics</w:t>
      </w:r>
    </w:p>
    <w:p xmlns:wp14="http://schemas.microsoft.com/office/word/2010/wordml" w14:paraId="41985A45" wp14:textId="77777777">
      <w:pPr>
        <w:pStyle w:val="Heading1"/>
      </w:pPr>
      <w:r>
        <w:t xml:space="preserve">1. What We Propose</w:t>
      </w:r>
    </w:p>
    <w:p xmlns:wp14="http://schemas.microsoft.com/office/word/2010/wordml" w14:paraId="7ED10921" wp14:textId="77777777">
      <w:pPr>
        <w:spacing w:after="120" w:line="276" w:lineRule="auto"/>
      </w:pPr>
      <w:r w:rsidRPr="780580BC" w:rsidR="780580BC">
        <w:rPr>
          <w:b w:val="1"/>
          <w:bCs w:val="1"/>
          <w:lang w:val="en-US"/>
        </w:rPr>
        <w:t xml:space="preserve">TechSur proposes to automate TT Electronics’ product lifecycle using Generative AI (GenAI), with a human always in the loop. </w:t>
      </w:r>
      <w:r w:rsidRPr="780580BC" w:rsidR="780580BC">
        <w:rPr>
          <w:lang w:val="en-US"/>
        </w:rPr>
        <w:t xml:space="preserve">We would deliver an internal-only, multi-agent “TT Engineering Copilot” that drafts, checks and packages work at every phase — while your engineers keep every decision. Our two priorities are: </w:t>
      </w:r>
      <w:r w:rsidRPr="780580BC" w:rsidR="780580BC">
        <w:rPr>
          <w:b w:val="1"/>
          <w:bCs w:val="1"/>
          <w:lang w:val="en-US"/>
        </w:rPr>
        <w:t xml:space="preserve">(1) automate the lifecycle end-to-end wherever it adds value, and (2) lead with validating designs against standards for manufacturability </w:t>
      </w:r>
      <w:r w:rsidRPr="780580BC" w:rsidR="780580BC">
        <w:rPr>
          <w:lang w:val="en-US"/>
        </w:rPr>
        <w:t>— the highest-payoff, easiest-to-demonstrate capability.</w:t>
      </w:r>
    </w:p>
    <w:p xmlns:wp14="http://schemas.microsoft.com/office/word/2010/wordml" w14:paraId="10471ED0" wp14:textId="77777777">
      <w:pPr>
        <w:spacing w:after="120" w:line="276"/>
      </w:pPr>
      <w:r>
        <w:rPr>
          <w:b/>
          <w:bCs/>
        </w:rPr>
        <w:t xml:space="preserve">Human-in-the-loop is a design principle, not a feature. </w:t>
      </w:r>
      <w:r>
        <w:t xml:space="preserve">The AI proposes; the engineer disposes. Every consequential output — a gate pass/fail, a design-change suggestion, a PPAP approval — requires human review and sign-off. Nothing is grounded in guesswork: retrieval-augmented generation ties every answer to a cited source, and no TT data leaves your tenant. TT-specific baselines and targets would be sized in a short discovery sprint.</w:t>
      </w:r>
    </w:p>
    <w:p xmlns:wp14="http://schemas.microsoft.com/office/word/2010/wordml" w14:paraId="72605326" wp14:textId="77777777">
      <w:pPr>
        <w:pStyle w:val="Heading1"/>
      </w:pPr>
      <w:r>
        <w:t xml:space="preserve">2. Why Our Approach Fits TT From Day One</w:t>
      </w:r>
    </w:p>
    <w:p xmlns:wp14="http://schemas.microsoft.com/office/word/2010/wordml" w14:paraId="00C8BBC7" wp14:textId="77777777">
      <w:pPr>
        <w:spacing w:after="120" w:line="276"/>
      </w:pPr>
      <w:r>
        <w:t xml:space="preserve">Rather than change how TT works, </w:t>
      </w:r>
      <w:r>
        <w:rPr>
          <w:b/>
          <w:bCs/>
        </w:rPr>
        <w:t xml:space="preserve">we layer AI onto the gated process you already run in Cora. </w:t>
      </w:r>
      <w:r>
        <w:t xml:space="preserve">Three things already true in your environment make our automation low-risk and fast to land — we simply build on them:</w:t>
      </w:r>
    </w:p>
    <w:p xmlns:wp14="http://schemas.microsoft.com/office/word/2010/wordml" w14:paraId="245F9DF2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We plug into your single source of truth. </w:t>
      </w:r>
      <w:r w:rsidRPr="780580BC" w:rsidR="780580BC">
        <w:rPr>
          <w:lang w:val="en-US"/>
        </w:rPr>
        <w:t>Because the process runs in Cora — which the policy itself calls “a critical enabler for increased use of GenAI business intelligence” — our Copilot reads from and writes back to Cora without disrupting the gated flow.</w:t>
      </w:r>
    </w:p>
    <w:p xmlns:wp14="http://schemas.microsoft.com/office/word/2010/wordml" w14:paraId="2167783E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We automate rules that already exist. </w:t>
      </w:r>
      <w:r w:rsidRPr="780580BC" w:rsidR="780580BC">
        <w:rPr>
          <w:lang w:val="en-US"/>
        </w:rPr>
        <w:t>Your gates have defined exit criteria and Pass / Conditional Pass / Fail outcomes. We turn those written rules into automated first-checks, so the AI does the reading and drafting and the engineer does the judging.</w:t>
      </w:r>
    </w:p>
    <w:p xmlns:wp14="http://schemas.microsoft.com/office/word/2010/wordml" w14:paraId="3E66EF32" wp14:textId="77777777"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We turn static checklists into active, signed-off checks. </w:t>
      </w:r>
      <w:r>
        <w:t xml:space="preserve">Where a gate checklist is stored today as evidence, our agents pre-populate it with cited findings that an engineer reviews and signs — strengthening your audit trail, not replacing it.</w:t>
      </w:r>
    </w:p>
    <w:p xmlns:wp14="http://schemas.microsoft.com/office/word/2010/wordml" w14:paraId="59EBAF28" wp14:textId="77777777">
      <w:pPr>
        <w:pStyle w:val="Heading1"/>
      </w:pPr>
      <w:r>
        <w:t xml:space="preserve">3. The Copilot We Propose — One Platform, Delivered in Three Waves</w:t>
      </w:r>
    </w:p>
    <w:p xmlns:wp14="http://schemas.microsoft.com/office/word/2010/wordml" w14:paraId="7EE25F91" wp14:textId="77777777">
      <w:pPr>
        <w:spacing w:after="120" w:line="276" w:lineRule="auto"/>
      </w:pPr>
      <w:r w:rsidRPr="780580BC" w:rsidR="780580BC">
        <w:rPr>
          <w:lang w:val="en-US"/>
        </w:rPr>
        <w:t xml:space="preserve">We propose an </w:t>
      </w:r>
      <w:r w:rsidRPr="780580BC" w:rsidR="780580BC">
        <w:rPr>
          <w:b w:val="1"/>
          <w:bCs w:val="1"/>
          <w:lang w:val="en-US"/>
        </w:rPr>
        <w:t>internal-only, multi-agent Copilot</w:t>
      </w:r>
      <w:r w:rsidRPr="780580BC" w:rsidR="780580BC">
        <w:rPr>
          <w:lang w:val="en-US"/>
        </w:rPr>
        <w:t xml:space="preserve"> alongside Cora (and CAD, PLM, ERP and the standards library) that adds three capability groups, each keeping a human decision-maker:</w:t>
      </w:r>
    </w:p>
    <w:p xmlns:wp14="http://schemas.microsoft.com/office/word/2010/wordml" w14:paraId="3FB2C762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Automated first-checks </w:t>
      </w:r>
      <w:r w:rsidRPr="780580BC" w:rsidR="780580BC">
        <w:rPr>
          <w:lang w:val="en-US"/>
        </w:rPr>
        <w:t>on proposals, requirements, designs, manufacturability, production readiness and lessons learned — for the engineer to confirm.</w:t>
      </w:r>
    </w:p>
    <w:p xmlns:wp14="http://schemas.microsoft.com/office/word/2010/wordml" w14:paraId="2E0FC661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Pre-review intelligence </w:t>
      </w:r>
      <w:r w:rsidRPr="780580BC" w:rsidR="780580BC">
        <w:rPr>
          <w:lang w:val="en-US"/>
        </w:rPr>
        <w:t>that drafts the gate-review pack from Cora artifacts and flags likely Conditional-Pass / Fail risks before the review — so reviewers focus on judgment.</w:t>
      </w:r>
    </w:p>
    <w:p xmlns:wp14="http://schemas.microsoft.com/office/word/2010/wordml" w14:paraId="21F1AFBC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Design-validation agents </w:t>
      </w:r>
      <w:r w:rsidRPr="780580BC" w:rsidR="780580BC">
        <w:rPr>
          <w:lang w:val="en-US"/>
        </w:rPr>
        <w:t>that check CAD and BOM data against external standards, TT internal rules and TT historical defect/yield data — with findings the engineer signs off.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780580BC" w14:paraId="5E7C2F57" wp14:textId="77777777">
        <w:tc>
          <w:tcPr>
            <w:tcW w:w="10080" w:type="dxa"/>
            <w:tcBorders>
              <w:top w:val="single" w:color="C9971B" w:sz="4"/>
              <w:left w:val="single" w:color="C9971B" w:sz="18"/>
              <w:bottom w:val="single" w:color="C9971B" w:sz="4"/>
              <w:right w:val="single" w:color="C9971B" w:sz="4"/>
            </w:tcBorders>
            <w:shd w:val="clear" w:color="auto" w:fill="FCEFC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680F18" wp14:textId="77777777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One platform, not two — manufacturability validation is a gate agent, not a separate app.</w:t>
            </w:r>
          </w:p>
          <w:p w14:paraId="5BBAF4DB" wp14:textId="77777777">
            <w:pPr>
              <w:spacing w:after="0" w:line="270" w:lineRule="auto"/>
            </w:pPr>
            <w:r w:rsidRPr="780580BC" w:rsidR="780580BC">
              <w:rPr>
                <w:lang w:val="en-US"/>
              </w:rPr>
              <w:t xml:space="preserve">Manufacturability &amp; standards validation is </w:t>
            </w:r>
            <w:r w:rsidRPr="780580BC" w:rsidR="780580BC">
              <w:rPr>
                <w:b w:val="1"/>
                <w:bCs w:val="1"/>
                <w:lang w:val="en-US"/>
              </w:rPr>
              <w:t xml:space="preserve">not a second product. </w:t>
            </w:r>
            <w:r w:rsidRPr="780580BC" w:rsidR="780580BC">
              <w:rPr>
                <w:lang w:val="en-US"/>
              </w:rPr>
              <w:t xml:space="preserve">It is the </w:t>
            </w:r>
            <w:r w:rsidRPr="780580BC" w:rsidR="780580BC">
              <w:rPr>
                <w:b w:val="1"/>
                <w:bCs w:val="1"/>
                <w:lang w:val="en-US"/>
              </w:rPr>
              <w:t>DFM/DFA + Compliance agent that runs at Gate 3 (light screen) and Gate 4 (deep audit)</w:t>
            </w:r>
            <w:r w:rsidRPr="780580BC" w:rsidR="780580BC">
              <w:rPr>
                <w:lang w:val="en-US"/>
              </w:rPr>
              <w:t xml:space="preserve"> — one of the ten phase agents in the same Copilot. “Leading with it” is purely a </w:t>
            </w:r>
            <w:r w:rsidRPr="780580BC" w:rsidR="780580BC">
              <w:rPr>
                <w:b w:val="1"/>
                <w:bCs w:val="1"/>
                <w:lang w:val="en-US"/>
              </w:rPr>
              <w:t>delivery-sequencing choice</w:t>
            </w:r>
            <w:r w:rsidRPr="780580BC" w:rsidR="780580BC">
              <w:rPr>
                <w:lang w:val="en-US"/>
              </w:rPr>
              <w:t xml:space="preserve">: we build that agent first (the Wave 2 flagship) because it has the clearest ROI and is the easiest to demo. It shares the </w:t>
            </w:r>
            <w:r w:rsidRPr="780580BC" w:rsidR="780580BC">
              <w:rPr>
                <w:b w:val="1"/>
                <w:bCs w:val="1"/>
                <w:lang w:val="en-US"/>
              </w:rPr>
              <w:t>same architecture, knowledge graph, connectors, RAG grounding, Gate Cockpit UI and governance</w:t>
            </w:r>
            <w:r w:rsidRPr="780580BC" w:rsidR="780580BC">
              <w:rPr>
                <w:lang w:val="en-US"/>
              </w:rPr>
              <w:t xml:space="preserve"> as every other agent. After Wave 3 it is simply a mature member of the same crew — </w:t>
            </w:r>
            <w:r w:rsidRPr="780580BC" w:rsidR="780580BC">
              <w:rPr>
                <w:b w:val="1"/>
                <w:bCs w:val="1"/>
                <w:lang w:val="en-US"/>
              </w:rPr>
              <w:t>one application, one codebase.</w:t>
            </w:r>
          </w:p>
        </w:tc>
      </w:tr>
    </w:tbl>
    <w:p xmlns:wp14="http://schemas.microsoft.com/office/word/2010/wordml" w14:paraId="3978FF79" wp14:textId="77777777">
      <w:pPr>
        <w:spacing w:after="120" w:line="276"/>
      </w:pPr>
      <w:r>
        <w:rPr>
          <w:b/>
          <w:bCs/>
        </w:rPr>
        <w:t xml:space="preserve">We would sequence delivery in three waves so value lands early and risk stays low: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80"/>
        <w:gridCol w:w="3200"/>
      </w:tblGrid>
      <w:tr xmlns:wp14="http://schemas.microsoft.com/office/word/2010/wordml" w:rsidTr="780580BC" w14:paraId="7142A050" wp14:textId="77777777">
        <w:trPr>
          <w:tblHeader/>
        </w:trPr>
        <w:tc>
          <w:tcPr>
            <w:tcW w:w="1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7C13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w="51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E617A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What we automate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746B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Why now</w:t>
            </w:r>
          </w:p>
        </w:tc>
      </w:tr>
      <w:tr xmlns:wp14="http://schemas.microsoft.com/office/word/2010/wordml" w:rsidTr="780580BC" w14:paraId="2B5C913B" wp14:textId="77777777">
        <w:tc>
          <w:tcPr>
            <w:tcW w:w="1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DB868" wp14:textId="77777777">
            <w:pPr>
              <w:spacing w:line="252"/>
            </w:pPr>
            <w:r>
              <w:rPr>
                <w:b/>
                <w:bCs/>
              </w:rPr>
              <w:t xml:space="preserve">Wave 1</w:t>
            </w:r>
            <w:r>
              <w:t xml:space="preserve"> — Foundational</w:t>
            </w:r>
            <w:r>
              <w:rPr>
                <w:color w:val="595959"/>
                <w:sz w:val="18"/>
                <w:szCs w:val="18"/>
              </w:rPr>
              <w:t xml:space="preserve"> Months 0–6</w:t>
            </w:r>
          </w:p>
        </w:tc>
        <w:tc>
          <w:tcPr>
            <w:tcW w:w="51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0D21F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Cora natural-language Q&amp;A; gate-checklist auto-fill; proposal / business-case draft generator; requirements decomposition &amp; traceability. Gate Cockpit v1.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E996C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Highest ease; directly cuts review-prep and proposal effort. Builds trust fast.</w:t>
            </w:r>
          </w:p>
        </w:tc>
      </w:tr>
      <w:tr xmlns:wp14="http://schemas.microsoft.com/office/word/2010/wordml" w:rsidTr="780580BC" w14:paraId="654FD92A" wp14:textId="77777777">
        <w:tc>
          <w:tcPr>
            <w:tcW w:w="1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37A7" wp14:textId="77777777">
            <w:pPr>
              <w:spacing w:line="252"/>
            </w:pPr>
            <w:r>
              <w:rPr>
                <w:b/>
                <w:bCs/>
              </w:rPr>
              <w:t xml:space="preserve">Wave 2</w:t>
            </w:r>
            <w:r>
              <w:t xml:space="preserve"> — Advanced</w:t>
            </w:r>
            <w:r>
              <w:rPr>
                <w:color w:val="595959"/>
                <w:sz w:val="18"/>
                <w:szCs w:val="18"/>
              </w:rPr>
              <w:t xml:space="preserve"> Months 6–14</w:t>
            </w:r>
          </w:p>
        </w:tc>
        <w:tc>
          <w:tcPr>
            <w:tcW w:w="51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6B74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Standards &amp; DFM/DFA compliance agent (flagship); historical defect &amp; yield predictor; V&amp;V test-plan generator; production-readiness (PPAP-style / MRL) assembly.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057E8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Where late, costly manufacturability failures get collapsed — the headline ROI.</w:t>
            </w:r>
          </w:p>
        </w:tc>
      </w:tr>
      <w:tr xmlns:wp14="http://schemas.microsoft.com/office/word/2010/wordml" w:rsidTr="780580BC" w14:paraId="4A2CF461" wp14:textId="77777777">
        <w:tc>
          <w:tcPr>
            <w:tcW w:w="1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68802" wp14:textId="77777777">
            <w:pPr>
              <w:spacing w:line="252"/>
            </w:pPr>
            <w:r>
              <w:rPr>
                <w:b/>
                <w:bCs/>
              </w:rPr>
              <w:t xml:space="preserve">Wave 3</w:t>
            </w:r>
            <w:r>
              <w:t xml:space="preserve"> — Agentic</w:t>
            </w:r>
            <w:r>
              <w:rPr>
                <w:color w:val="595959"/>
                <w:sz w:val="18"/>
                <w:szCs w:val="18"/>
              </w:rPr>
              <w:t xml:space="preserve"> Months 14–24</w:t>
            </w:r>
          </w:p>
        </w:tc>
        <w:tc>
          <w:tcPr>
            <w:tcW w:w="51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B295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Autonomous gate-prep orchestrator (matures the Gate Cockpit); design-optimization advisor; cross-project reuse; portfolio “chief engineer” analytics — all with human approval.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7EC6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Compounding advantage once data and trust are established.</w:t>
            </w:r>
          </w:p>
        </w:tc>
      </w:tr>
    </w:tbl>
    <w:p xmlns:wp14="http://schemas.microsoft.com/office/word/2010/wordml" w14:paraId="3F93358F" wp14:textId="77777777">
      <w:pPr>
        <w:pStyle w:val="Heading1"/>
      </w:pPr>
      <w:r>
        <w:t xml:space="preserve">4. How We Automate the Full Lifecycle — Phase by Phase</w:t>
      </w:r>
    </w:p>
    <w:p xmlns:wp14="http://schemas.microsoft.com/office/word/2010/wordml" w14:paraId="2BFFA87E" wp14:textId="77777777">
      <w:pPr>
        <w:spacing w:after="120" w:line="276"/>
      </w:pPr>
      <w:r>
        <w:t xml:space="preserve">For each phase we propose a specific AI agent that drafts, checks and packages the work — mapped to that gate’s exit criteria — while the engineer keeps the decision. The manufacturability agent (★ Phase 4) is one of these, not a separate track.</w:t>
      </w:r>
    </w:p>
    <w:p xmlns:wp14="http://schemas.microsoft.com/office/word/2010/wordml" w14:paraId="672A6659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2B304BEF" wp14:editId="7777777">
            <wp:extent cx="6286500" cy="2028825"/>
            <wp:effectExtent l="0" t="0" r="0" b="0"/>
            <wp:docPr id="1" name="Figure 1 — The AI agent we propose for each phase, all within one platform. AI drafts and checks; the engineer signs every gate (G0–G9). Phase 4 manufacturability validation is the flagship." descr="Figure 1 — The AI agent we propose for each phase, all within one platform. AI drafts and checks; the engineer signs every gate (G0–G9). Phase 4 manufacturability validation is the flagship." title="Figure 1 — The AI agent we propose for each phase, all within one platform. AI drafts and checks; the engineer signs every gate (G0–G9). Phase 4 manufacturability validation is the flagsh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23B734" wp14:textId="77777777">
      <w:pPr>
        <w:spacing w:after="150"/>
        <w:jc w:val="center"/>
      </w:pPr>
      <w:r>
        <w:rPr>
          <w:i/>
          <w:iCs/>
          <w:color w:val="595959"/>
          <w:sz w:val="16"/>
          <w:szCs w:val="16"/>
        </w:rPr>
        <w:t xml:space="preserve">Figure 1 — The AI agent we propose for each phase, all within one platform. AI drafts and checks; the engineer signs every gate (G0–G9). Phase 4 manufacturability validation is the flagship.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 xmlns:wp14="http://schemas.microsoft.com/office/word/2010/wordml" w:rsidTr="780580BC" w14:paraId="4A49BA63" wp14:textId="77777777">
        <w:trPr>
          <w:tblHeader/>
        </w:trPr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BCCB6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Phase → Gate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2D36D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What we propose to automate (human keeps the decision)</w:t>
            </w:r>
          </w:p>
        </w:tc>
      </w:tr>
      <w:tr xmlns:wp14="http://schemas.microsoft.com/office/word/2010/wordml" w:rsidTr="780580BC" w14:paraId="41AF8042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717E" wp14:textId="77777777">
            <w:pPr>
              <w:spacing w:line="252"/>
            </w:pPr>
            <w:r>
              <w:rPr>
                <w:b/>
                <w:bCs/>
              </w:rPr>
              <w:t xml:space="preserve">Phase 0 → Gate 0</w:t>
            </w:r>
            <w:r>
              <w:rPr>
                <w:color w:val="595959"/>
                <w:sz w:val="17"/>
                <w:szCs w:val="17"/>
              </w:rPr>
              <w:t xml:space="preserve"> Project Initiation / Bid–No-Bid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4153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opportunity triage and Salesforce enrichment; capability match against TT history; information-sufficiency check on customer drawings/specs; strategy-fit and export-control screening; a drafted one-page Bid/No-Bid brief. Human decides the bid.</w:t>
            </w:r>
          </w:p>
        </w:tc>
      </w:tr>
      <w:tr xmlns:wp14="http://schemas.microsoft.com/office/word/2010/wordml" w:rsidTr="780580BC" w14:paraId="43570962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12C6" wp14:textId="77777777">
            <w:pPr>
              <w:spacing w:line="252"/>
            </w:pPr>
            <w:r>
              <w:rPr>
                <w:b/>
                <w:bCs/>
              </w:rPr>
              <w:t xml:space="preserve">Phase 1 → Gate 1</w:t>
            </w:r>
            <w:r>
              <w:rPr>
                <w:color w:val="595959"/>
                <w:sz w:val="17"/>
                <w:szCs w:val="17"/>
              </w:rPr>
              <w:t xml:space="preserve"> Concept &amp; Proposal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32FF2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a drafted costed proposal / business case from historical projects and parametric estimation; a concept-level DFM sanity check; feasibility Q&amp;A over design libraries; NTI starting-TRL assessment; auto-creation of the Cora baseline and Executive Summary. Engineer approves the proposal.</w:t>
            </w:r>
          </w:p>
        </w:tc>
      </w:tr>
      <w:tr xmlns:wp14="http://schemas.microsoft.com/office/word/2010/wordml" w:rsidTr="780580BC" w14:paraId="2A37D648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01F2" wp14:textId="77777777">
            <w:pPr>
              <w:spacing w:line="252"/>
            </w:pPr>
            <w:r>
              <w:rPr>
                <w:b/>
                <w:bCs/>
              </w:rPr>
              <w:t xml:space="preserve">Phase 2 → Gate 2</w:t>
            </w:r>
            <w:r>
              <w:rPr>
                <w:color w:val="595959"/>
                <w:sz w:val="17"/>
                <w:szCs w:val="17"/>
              </w:rPr>
              <w:t xml:space="preserve"> Requirements Development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6DE5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requirements decomposition (direct vs. derived); a traceability-matrix draft into Cora; a testability audit; suggested mandatory requirements drawn from applicable standards. Engineer confirms the requirement set.</w:t>
            </w:r>
          </w:p>
        </w:tc>
      </w:tr>
      <w:tr xmlns:wp14="http://schemas.microsoft.com/office/word/2010/wordml" w:rsidTr="780580BC" w14:paraId="10868800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76452" wp14:textId="77777777">
            <w:pPr>
              <w:spacing w:line="252"/>
            </w:pPr>
            <w:r>
              <w:rPr>
                <w:b/>
                <w:bCs/>
              </w:rPr>
              <w:t xml:space="preserve">Phase 3 → Gate 3</w:t>
            </w:r>
            <w:r>
              <w:rPr>
                <w:color w:val="595959"/>
                <w:sz w:val="17"/>
                <w:szCs w:val="17"/>
              </w:rPr>
              <w:t xml:space="preserve"> Preliminary Design (PDR)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34C4A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concept trade-off support; early DFM/DFA screening (flagship agent, light pass); a proposed Cora Risk &amp; Issues register; a drafted PDR pack; a check that prior-gate actions are closed. Reviewers own the Gate 3 decision.</w:t>
            </w:r>
          </w:p>
        </w:tc>
      </w:tr>
      <w:tr xmlns:wp14="http://schemas.microsoft.com/office/word/2010/wordml" w:rsidTr="780580BC" w14:paraId="517CBE26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C36F" wp14:textId="77777777">
            <w:pPr>
              <w:spacing w:line="252"/>
            </w:pPr>
            <w:r>
              <w:rPr>
                <w:b/>
                <w:bCs/>
              </w:rPr>
              <w:t xml:space="preserve">Phase 4 → Gate 4</w:t>
            </w:r>
            <w:r>
              <w:rPr>
                <w:color w:val="595959"/>
                <w:sz w:val="17"/>
                <w:szCs w:val="17"/>
              </w:rPr>
              <w:t xml:space="preserve"> Detail Design / Design Freeze (CDR)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4FC63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FLAGSHIP — we automate: deep DFM/DFA + standards audit on the frozen design (see §5); BOM health check (obsolescence, single-source, preferred-parts); a drafted CDR pack; drafted provisional production docs (BOMs, routes, SOPs, work instructions). Engineer signs the freeze.</w:t>
            </w:r>
          </w:p>
        </w:tc>
      </w:tr>
      <w:tr xmlns:wp14="http://schemas.microsoft.com/office/word/2010/wordml" w:rsidTr="780580BC" w14:paraId="39817864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84566" wp14:textId="77777777">
            <w:pPr>
              <w:spacing w:line="252"/>
            </w:pPr>
            <w:r>
              <w:rPr>
                <w:b/>
                <w:bCs/>
              </w:rPr>
              <w:t xml:space="preserve">Phase 5 → Gate 5</w:t>
            </w:r>
            <w:r>
              <w:rPr>
                <w:color w:val="595959"/>
                <w:sz w:val="17"/>
                <w:szCs w:val="17"/>
              </w:rPr>
              <w:t xml:space="preserve"> Design Validation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ED37F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a V&amp;V test-plan draft derived from requirements; a test-failure diagnostic against historical failures; pre-compliance environmental prediction (thermal, vibration, humidity) before costly chamber time; a Gate 5 evidence pack. Engineer validates results.</w:t>
            </w:r>
          </w:p>
        </w:tc>
      </w:tr>
      <w:tr xmlns:wp14="http://schemas.microsoft.com/office/word/2010/wordml" w:rsidTr="780580BC" w14:paraId="0E45813C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5B8A" wp14:textId="77777777">
            <w:pPr>
              <w:spacing w:line="252"/>
            </w:pPr>
            <w:r>
              <w:rPr>
                <w:b/>
                <w:bCs/>
              </w:rPr>
              <w:t xml:space="preserve">Phase 6 → Gate 6</w:t>
            </w:r>
            <w:r>
              <w:rPr>
                <w:color w:val="595959"/>
                <w:sz w:val="17"/>
                <w:szCs w:val="17"/>
              </w:rPr>
              <w:t xml:space="preserve"> Production Prep &amp; Qualification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643FF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manufacturing-readiness (MRL) scoring; PPAP-precursor and control-plan / PFMEA drafts; a Gate 6 pack with financials, schedule vs. baseline, risks and business-case update. Ops/quality approve full-rate production.</w:t>
            </w:r>
          </w:p>
        </w:tc>
      </w:tr>
      <w:tr xmlns:wp14="http://schemas.microsoft.com/office/word/2010/wordml" w:rsidTr="780580BC" w14:paraId="736796B0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E460C" wp14:textId="77777777">
            <w:pPr>
              <w:spacing w:line="252"/>
            </w:pPr>
            <w:r>
              <w:rPr>
                <w:b/>
                <w:bCs/>
              </w:rPr>
              <w:t xml:space="preserve">Phase 7 → Gate 7</w:t>
            </w:r>
            <w:r>
              <w:rPr>
                <w:color w:val="595959"/>
                <w:sz w:val="17"/>
                <w:szCs w:val="17"/>
              </w:rPr>
              <w:t xml:space="preserve"> Transfer &amp; Monitor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E4B0B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lessons-learned capture from Cora, gate minutes and action registers; early production anomaly detection; a transfer-completeness audit; candidate Continuous Improvement (PDCA/DMAIC) items. Engineer confirms transfer.</w:t>
            </w:r>
          </w:p>
        </w:tc>
      </w:tr>
      <w:tr xmlns:wp14="http://schemas.microsoft.com/office/word/2010/wordml" w:rsidTr="780580BC" w14:paraId="1BAA1812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EA9B7" wp14:textId="77777777">
            <w:pPr>
              <w:spacing w:line="252"/>
            </w:pPr>
            <w:r>
              <w:rPr>
                <w:b/>
                <w:bCs/>
              </w:rPr>
              <w:t xml:space="preserve">Phase 8 → Gate 8</w:t>
            </w:r>
            <w:r>
              <w:rPr>
                <w:color w:val="595959"/>
                <w:sz w:val="17"/>
                <w:szCs w:val="17"/>
              </w:rPr>
              <w:t xml:space="preserve"> Manufacture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7DFA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natural-language yield &amp; quality interrogation; an obsolescence radar over supplier PCN/PDN feeds (18–36 months out); Change Review Board support; financial-anomaly detection. Board owns the change decision.</w:t>
            </w:r>
          </w:p>
        </w:tc>
      </w:tr>
      <w:tr xmlns:wp14="http://schemas.microsoft.com/office/word/2010/wordml" w:rsidTr="780580BC" w14:paraId="77C7A47B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E0EC" wp14:textId="77777777">
            <w:pPr>
              <w:spacing w:line="252"/>
            </w:pPr>
            <w:r>
              <w:rPr>
                <w:b/>
                <w:bCs/>
              </w:rPr>
              <w:t xml:space="preserve">Phase 9 → Gate 9</w:t>
            </w:r>
            <w:r>
              <w:rPr>
                <w:color w:val="595959"/>
                <w:sz w:val="17"/>
                <w:szCs w:val="17"/>
              </w:rPr>
              <w:t xml:space="preserve"> End-of-Life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0786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We automate: drafted EOL customer notifications and last-time-buy packs; a redevelopment business-case advisor; a retention &amp; disposal / ERP-update audit; institutional-memory extraction before knowledge is lost. Engineer approves EOL actions.</w:t>
            </w:r>
          </w:p>
        </w:tc>
      </w:tr>
    </w:tbl>
    <w:p xmlns:wp14="http://schemas.microsoft.com/office/word/2010/wordml" w14:paraId="5CE37D6A" wp14:textId="77777777">
      <w:pPr>
        <w:pStyle w:val="Heading1"/>
      </w:pPr>
      <w:r>
        <w:t xml:space="preserve">5. Flagship — We Propose to Validate Designs Against Standards for Manufacturability</w:t>
      </w:r>
    </w:p>
    <w:p xmlns:wp14="http://schemas.microsoft.com/office/word/2010/wordml" w14:paraId="32451C38" wp14:textId="77777777">
      <w:pPr>
        <w:spacing w:after="120" w:line="276" w:lineRule="auto"/>
      </w:pPr>
      <w:r w:rsidRPr="780580BC" w:rsidR="780580BC">
        <w:rPr>
          <w:b w:val="1"/>
          <w:bCs w:val="1"/>
          <w:lang w:val="en-US"/>
        </w:rPr>
        <w:t xml:space="preserve">This is the agent we recommend building first. </w:t>
      </w:r>
      <w:r w:rsidRPr="780580BC" w:rsidR="780580BC">
        <w:rPr>
          <w:lang w:val="en-US"/>
        </w:rPr>
        <w:t xml:space="preserve">It targets a problem every engineering leader recognizes: designs that look fine on screen but </w:t>
      </w:r>
      <w:r w:rsidRPr="780580BC" w:rsidR="780580BC">
        <w:rPr>
          <w:b w:val="1"/>
          <w:bCs w:val="1"/>
          <w:lang w:val="en-US"/>
        </w:rPr>
        <w:t xml:space="preserve">fail to manufacture — and are discovered too late. </w:t>
      </w:r>
      <w:r w:rsidRPr="780580BC" w:rsidR="780580BC">
        <w:rPr>
          <w:lang w:val="en-US"/>
        </w:rPr>
        <w:t>It runs at Gate 3 (light screen) and Gate 4 (deep audit) inside the same platform, and the engineer always confirms the findings.</w:t>
      </w:r>
    </w:p>
    <w:p xmlns:wp14="http://schemas.microsoft.com/office/word/2010/wordml" w14:paraId="0B612988" wp14:textId="77777777">
      <w:pPr>
        <w:pStyle w:val="Heading2"/>
      </w:pPr>
      <w:r>
        <w:t xml:space="preserve">The gap we would close</w:t>
      </w:r>
    </w:p>
    <w:p xmlns:wp14="http://schemas.microsoft.com/office/word/2010/wordml" w14:paraId="61676248" wp14:textId="77777777">
      <w:pPr>
        <w:spacing w:after="120" w:line="276"/>
      </w:pPr>
      <w:r>
        <w:t xml:space="preserve">Today, gate-exit criteria are answered by people reading checklists. A hidden tolerance stack-up or non-manufacturable feature can pass Preliminary Design, survive the Gate 4 “freeze,” and only bite in Phase 6 — when tooling is being commissioned and change is most expensive. We propose to move that discovery to Gate 3/Gate 4.</w:t>
      </w:r>
    </w:p>
    <w:p xmlns:wp14="http://schemas.microsoft.com/office/word/2010/wordml" w14:paraId="61B88E12" wp14:textId="77777777">
      <w:pPr>
        <w:pStyle w:val="Heading2"/>
      </w:pPr>
      <w:r>
        <w:t xml:space="preserve">How our proposed agent works</w:t>
      </w:r>
    </w:p>
    <w:p xmlns:wp14="http://schemas.microsoft.com/office/word/2010/wordml" w14:paraId="554BFD02" wp14:textId="77777777">
      <w:pPr>
        <w:spacing w:after="120" w:line="276" w:lineRule="auto"/>
      </w:pPr>
      <w:r w:rsidRPr="780580BC" w:rsidR="780580BC">
        <w:rPr>
          <w:lang w:val="en-US"/>
        </w:rPr>
        <w:t>On CAD upload, the agent extracts features, runs three sub-checks in parallel, and returns one consolidated, risk-scored, source-cited report that auto-fills the Cora gate checklist — surfaced in the Gate Cockpit for the engineer to review and sign:</w:t>
      </w:r>
    </w:p>
    <w:p xmlns:wp14="http://schemas.microsoft.com/office/word/2010/wordml" w14:paraId="0A37501D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3C4C5394" wp14:editId="7777777">
            <wp:extent cx="6286500" cy="2543175"/>
            <wp:effectExtent l="0" t="0" r="0" b="0"/>
            <wp:docPr id="1454646658" name="Figure 2 — The flagship Gate 3/Gate 4 agent (part of the same platform). The AI produces cited findings; the engineer reviews and signs in the Gate Cockpit (human-in-the-loop)." descr="Figure 2 — The flagship Gate 3/Gate 4 agent (part of the same platform). The AI produces cited findings; the engineer reviews and signs in the Gate Cockpit (human-in-the-loop)." title="Figure 2 — The flagship Gate 3/Gate 4 agent (part of the same platform). The AI produces cited findings; the engineer reviews and signs in the Gate Cockpit (human-in-the-loop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09F66B1" wp14:textId="77777777">
      <w:pPr>
        <w:spacing w:after="150"/>
        <w:jc w:val="center"/>
      </w:pPr>
      <w:r w:rsidRPr="780580BC" w:rsidR="780580BC">
        <w:rPr>
          <w:i w:val="1"/>
          <w:iCs w:val="1"/>
          <w:color w:val="595959"/>
          <w:sz w:val="16"/>
          <w:szCs w:val="16"/>
          <w:lang w:val="en-US"/>
        </w:rPr>
        <w:t>Figure 2 — The flagship Gate 3/Gate 4 agent (part of the same platform). The AI produces cited findings; the engineer reviews and signs in the Gate Cockpit (human-in-the-loop).</w:t>
      </w:r>
    </w:p>
    <w:p xmlns:wp14="http://schemas.microsoft.com/office/word/2010/wordml" w14:paraId="5D7E7349" wp14:textId="77777777"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Standards Compliance check </w:t>
      </w:r>
      <w:r>
        <w:t xml:space="preserve">— against applicable external standards (e.g., AS9100, ISO 2768 tolerances, IPC / J-STD, MIL-STD, UL/IEC), as relevant to the product.</w:t>
      </w:r>
    </w:p>
    <w:p xmlns:wp14="http://schemas.microsoft.com/office/word/2010/wordml" w14:paraId="719F8013" wp14:textId="77777777"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Internal Checklist check </w:t>
      </w:r>
      <w:r>
        <w:t xml:space="preserve">— against TT’s own DFM rules and design checklists.</w:t>
      </w:r>
    </w:p>
    <w:p xmlns:wp14="http://schemas.microsoft.com/office/word/2010/wordml" w14:paraId="319F5BFC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Historical Defect &amp; Yield check </w:t>
      </w:r>
      <w:r w:rsidRPr="780580BC" w:rsidR="780580BC">
        <w:rPr>
          <w:lang w:val="en-US"/>
        </w:rPr>
        <w:t>— correlates the design signature against TT’s CAPA and yield history to predict likely failure modes and yield ranges.</w:t>
      </w:r>
    </w:p>
    <w:p xmlns:wp14="http://schemas.microsoft.com/office/word/2010/wordml" w14:paraId="5D2E9667" wp14:textId="77777777">
      <w:pPr>
        <w:spacing w:after="120" w:line="276" w:lineRule="auto"/>
      </w:pPr>
      <w:r w:rsidRPr="780580BC" w:rsidR="780580BC">
        <w:rPr>
          <w:lang w:val="en-US"/>
        </w:rPr>
        <w:t xml:space="preserve">For make-to-print work, the same agent drafts the customer manufacturability-advisory report. Every engineer override trains the rules over time. </w:t>
      </w:r>
      <w:r w:rsidRPr="780580BC" w:rsidR="780580BC">
        <w:rPr>
          <w:b w:val="1"/>
          <w:bCs w:val="1"/>
          <w:lang w:val="en-US"/>
        </w:rPr>
        <w:t>Net effect: non-manufacturable designs are caught at or before Gate 4 — not in production — with a human signing every finding.</w:t>
      </w:r>
    </w:p>
    <w:p xmlns:wp14="http://schemas.microsoft.com/office/word/2010/wordml" w14:paraId="7F50F9BD" wp14:textId="77777777">
      <w:pPr>
        <w:pStyle w:val="Heading2"/>
      </w:pPr>
      <w:r>
        <w:t xml:space="preserve">Why we recommend leading here</w:t>
      </w:r>
    </w:p>
    <w:p xmlns:wp14="http://schemas.microsoft.com/office/word/2010/wordml" w14:paraId="49E22A29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Tangible and measurable </w:t>
      </w:r>
      <w:r w:rsidRPr="780580BC" w:rsidR="780580BC">
        <w:rPr>
          <w:lang w:val="en-US"/>
        </w:rPr>
        <w:t>— fewer late ECOs, less scrap/rework, fewer requalifications; a clean before/after story on a real pilot part.</w:t>
      </w:r>
    </w:p>
    <w:p xmlns:wp14="http://schemas.microsoft.com/office/word/2010/wordml" w14:paraId="5E9C1951" wp14:textId="77777777"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Rides on the existing process </w:t>
      </w:r>
      <w:r>
        <w:t xml:space="preserve">— it fills the Gate 3/Gate 4 checklist already mandated, strengthening compliance rather than adding overhead.</w:t>
      </w:r>
    </w:p>
    <w:p xmlns:wp14="http://schemas.microsoft.com/office/word/2010/wordml" w14:paraId="7131228A" wp14:textId="77777777"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Universally understood </w:t>
      </w:r>
      <w:r>
        <w:t xml:space="preserve">— “the design can’t be built” is a pain every stakeholder feels, so the value needs no translation.</w:t>
      </w:r>
    </w:p>
    <w:p xmlns:wp14="http://schemas.microsoft.com/office/word/2010/wordml" w14:paraId="6C8333E7" wp14:textId="77777777">
      <w:pPr>
        <w:pStyle w:val="Heading1"/>
      </w:pPr>
      <w:r>
        <w:t xml:space="preserve">6. How We Would Build It — One Architecture, With a Web Gate Cockpit</w:t>
      </w:r>
    </w:p>
    <w:p xmlns:wp14="http://schemas.microsoft.com/office/word/2010/wordml" w14:paraId="28D618A6" wp14:textId="77777777">
      <w:pPr>
        <w:spacing w:after="120" w:line="276" w:lineRule="auto"/>
      </w:pPr>
      <w:r w:rsidRPr="780580BC" w:rsidR="780580BC">
        <w:rPr>
          <w:lang w:val="en-US"/>
        </w:rPr>
        <w:t xml:space="preserve">We propose a </w:t>
      </w:r>
      <w:r w:rsidRPr="780580BC" w:rsidR="780580BC">
        <w:rPr>
          <w:b w:val="1"/>
          <w:bCs w:val="1"/>
          <w:lang w:val="en-US"/>
        </w:rPr>
        <w:t>single six-layer platform</w:t>
      </w:r>
      <w:r w:rsidRPr="780580BC" w:rsidR="780580BC">
        <w:rPr>
          <w:lang w:val="en-US"/>
        </w:rPr>
        <w:t xml:space="preserve"> with governance — including human-in-the-loop — running vertically through every layer. The engineer’s primary surface is a purpose-built </w:t>
      </w:r>
      <w:r w:rsidRPr="780580BC" w:rsidR="780580BC">
        <w:rPr>
          <w:b w:val="1"/>
          <w:bCs w:val="1"/>
          <w:lang w:val="en-US"/>
        </w:rPr>
        <w:t>Web Gate Cockpit</w:t>
      </w:r>
      <w:r w:rsidRPr="780580BC" w:rsidR="780580BC">
        <w:rPr>
          <w:lang w:val="en-US"/>
        </w:rPr>
        <w:t xml:space="preserve">: a UI with workflow and RBAC to navigate gates G0–G9, review the AI-drafted packs and checklists, and confirm/sign each gate. </w:t>
      </w:r>
      <w:r w:rsidRPr="780580BC" w:rsidR="780580BC">
        <w:rPr>
          <w:b w:val="1"/>
          <w:bCs w:val="1"/>
          <w:lang w:val="en-US"/>
        </w:rPr>
        <w:t>Cora remains the system of record and approval engine</w:t>
      </w:r>
      <w:r w:rsidRPr="780580BC" w:rsidR="780580BC">
        <w:rPr>
          <w:lang w:val="en-US"/>
        </w:rPr>
        <w:t xml:space="preserve"> — the Cockpit federates with Cora and writes approvals, checklists and the RAIL back to it, so we never build a second workflow engine.</w:t>
      </w:r>
    </w:p>
    <w:p xmlns:wp14="http://schemas.microsoft.com/office/word/2010/wordml" w14:paraId="5DAB6C7B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02732041" wp14:editId="7777777">
            <wp:extent cx="5334000" cy="4210050"/>
            <wp:effectExtent l="0" t="0" r="0" b="0"/>
            <wp:docPr id="257670310" name="Figure 3 — One platform: data sources → governed connectors → ingestion → knowledge graph + RAG → multi-agent orchestration → the Web Gate Cockpit (primary human-in-the-loop surface), with other channels feeding into it and governance spanning every layer." descr="Figure 3 — One platform: data sources → governed connectors → ingestion → knowledge graph + RAG → multi-agent orchestration → the Web Gate Cockpit (primary human-in-the-loop surface), with other channels feeding into it and governance spanning every layer." title="Figure 3 — One platform: data sources → governed connectors → ingestion → knowledge graph + RAG → multi-agent orchestration → the Web Gate Cockpit (primary human-in-the-loop surface), with other channels feeding into it and governance spanning every lay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3F5F81" wp14:textId="77777777">
      <w:pPr>
        <w:spacing w:after="150"/>
        <w:jc w:val="center"/>
      </w:pPr>
      <w:r>
        <w:rPr>
          <w:i/>
          <w:iCs/>
          <w:color w:val="595959"/>
          <w:sz w:val="16"/>
          <w:szCs w:val="16"/>
        </w:rPr>
        <w:t xml:space="preserve">Figure 3 — One platform: data sources → governed connectors → ingestion → knowledge graph + RAG → multi-agent orchestration → the Web Gate Cockpit (primary human-in-the-loop surface), with other channels feeding into it and governance spanning every layer.</w:t>
      </w:r>
    </w:p>
    <w:p xmlns:wp14="http://schemas.microsoft.com/office/word/2010/wordml" w14:paraId="3A6130DD" wp14:textId="77777777">
      <w:pPr>
        <w:pStyle w:val="Heading2"/>
      </w:pPr>
      <w:r>
        <w:t xml:space="preserve">Why a Web Gate Cockpit — and not “everything in the Cora side-panel”</w:t>
      </w:r>
    </w:p>
    <w:p xmlns:wp14="http://schemas.microsoft.com/office/word/2010/wordml" w14:paraId="00B969FB" wp14:textId="77777777">
      <w:pPr>
        <w:spacing w:after="120" w:line="276" w:lineRule="auto"/>
      </w:pPr>
      <w:r w:rsidRPr="780580BC" w:rsidR="780580BC">
        <w:rPr>
          <w:lang w:val="en-US"/>
        </w:rPr>
        <w:t xml:space="preserve">You raised the right concern: driving a multi-agent gate workflow entirely from the Cora side-panel is limiting — it’s constrained by Cora’s screen real estate and extensibility. Our recommendation is a </w:t>
      </w:r>
      <w:r w:rsidRPr="780580BC" w:rsidR="780580BC">
        <w:rPr>
          <w:b w:val="1"/>
          <w:bCs w:val="1"/>
          <w:lang w:val="en-US"/>
        </w:rPr>
        <w:t>dedicated Web Gate Cockpit as the primary surface</w:t>
      </w:r>
      <w:r w:rsidRPr="780580BC" w:rsidR="780580BC">
        <w:rPr>
          <w:lang w:val="en-US"/>
        </w:rPr>
        <w:t xml:space="preserve">, with the other Layer 6 items as </w:t>
      </w:r>
      <w:r w:rsidRPr="780580BC" w:rsidR="780580BC">
        <w:rPr>
          <w:b w:val="1"/>
          <w:bCs w:val="1"/>
          <w:lang w:val="en-US"/>
        </w:rPr>
        <w:t>lightweight channels</w:t>
      </w:r>
      <w:r w:rsidRPr="780580BC" w:rsidR="780580BC">
        <w:rPr>
          <w:lang w:val="en-US"/>
        </w:rPr>
        <w:t xml:space="preserve"> into the same cockpit and agents. This keeps one platform while giving engineers a proper cockpit, and it lets us evolve the UX (Wave 1 basic → Wave 3 autonomous gate-prep) without touching the architecture.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 xmlns:wp14="http://schemas.microsoft.com/office/word/2010/wordml" w:rsidTr="780580BC" w14:paraId="722C768B" wp14:textId="77777777">
        <w:trPr>
          <w:tblHeader/>
        </w:trPr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F387" wp14:textId="77777777">
            <w:r w:rsidRPr="780580BC" w:rsidR="780580BC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Layer 6 component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EB533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Purpose — where/when it is used</w:t>
            </w:r>
          </w:p>
        </w:tc>
      </w:tr>
      <w:tr xmlns:wp14="http://schemas.microsoft.com/office/word/2010/wordml" w:rsidTr="780580BC" w14:paraId="5436B511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D0B0" wp14:textId="77777777">
            <w:pPr>
              <w:spacing w:line="252"/>
            </w:pPr>
            <w:r>
              <w:rPr>
                <w:b/>
                <w:bCs/>
              </w:rPr>
              <w:t xml:space="preserve">Web Gate Cockpit</w:t>
            </w:r>
            <w:r>
              <w:rPr>
                <w:color w:val="2E7D32"/>
                <w:sz w:val="17"/>
                <w:szCs w:val="17"/>
              </w:rPr>
              <w:t xml:space="preserve"> (primary surface)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81D7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The main human-in-the-loop surface. UI + workflow + RBAC to move through gates G0–G9, review AI-drafted packs/checklists and confirm/sign. Orchestrates the agent crew; federates with Cora for the actual approval and record.</w:t>
            </w:r>
          </w:p>
        </w:tc>
      </w:tr>
      <w:tr xmlns:wp14="http://schemas.microsoft.com/office/word/2010/wordml" w:rsidTr="780580BC" w14:paraId="42DE5265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8ED11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Cora side-panel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F3976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A channel for engineers who prefer to stay in Cora — shows the same drafted pack/checklist and routes the sign-off through Cora’s native approval + RBAC.</w:t>
            </w:r>
          </w:p>
        </w:tc>
      </w:tr>
      <w:tr xmlns:wp14="http://schemas.microsoft.com/office/word/2010/wordml" w:rsidTr="780580BC" w14:paraId="6A19C2EA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0B0A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CAD-side plugin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722A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Where the design engineer actually works. Surfaces DFM/standards findings live as they model — so issues are caught before they ever reach a gate.</w:t>
            </w:r>
          </w:p>
        </w:tc>
      </w:tr>
      <w:tr xmlns:wp14="http://schemas.microsoft.com/office/word/2010/wordml" w:rsidTr="780580BC" w14:paraId="1ADFC166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37EB" wp14:textId="77777777">
            <w:pPr>
              <w:spacing w:line="252" w:lineRule="auto"/>
            </w:pPr>
            <w:r w:rsidRPr="780580BC" w:rsidR="780580BC">
              <w:rPr>
                <w:sz w:val="19"/>
                <w:szCs w:val="19"/>
                <w:lang w:val="en-US"/>
              </w:rPr>
              <w:t>Teams bot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2B209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Conversational, on-the-go access: “What’s blocking Gate 4 on Project X?”, quick Q&amp;A, and approval nudges/notifications.</w:t>
            </w:r>
          </w:p>
        </w:tc>
      </w:tr>
      <w:tr xmlns:wp14="http://schemas.microsoft.com/office/word/2010/wordml" w:rsidTr="780580BC" w14:paraId="425EAC05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BB1A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Outlook add-in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18ED7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Gate-review action reminders and executive summaries pushed to the inbox.</w:t>
            </w:r>
          </w:p>
        </w:tc>
      </w:tr>
      <w:tr xmlns:wp14="http://schemas.microsoft.com/office/word/2010/wordml" w:rsidTr="780580BC" w14:paraId="1CBCFC6B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97CAE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Leadership dashboards</w:t>
            </w:r>
          </w:p>
        </w:tc>
        <w:tc>
          <w:tcPr>
            <w:tcW w:w="70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B91A" wp14:textId="77777777">
            <w:pPr>
              <w:spacing w:line="252"/>
            </w:pPr>
            <w:r>
              <w:rPr>
                <w:sz w:val="19"/>
                <w:szCs w:val="19"/>
              </w:rPr>
              <w:t xml:space="preserve">Portfolio view for the Technology Director / Steering Group: TRL/MRL roll-ups, gate-outcome analytics, portfolio health.</w:t>
            </w:r>
          </w:p>
        </w:tc>
      </w:tr>
    </w:tbl>
    <w:p xmlns:wp14="http://schemas.microsoft.com/office/word/2010/wordml" w14:paraId="6F2BD3AB" wp14:textId="77777777">
      <w:pPr>
        <w:spacing w:after="120" w:line="276"/>
      </w:pPr>
      <w:r>
        <w:rPr>
          <w:b/>
          <w:bCs/>
        </w:rPr>
        <w:t xml:space="preserve">Division of labor (so there is no duplication): </w:t>
      </w:r>
      <w:r>
        <w:t xml:space="preserve">the </w:t>
      </w:r>
      <w:r>
        <w:rPr>
          <w:b/>
          <w:bCs/>
        </w:rPr>
        <w:t xml:space="preserve">Cockpit</w:t>
      </w:r>
      <w:r>
        <w:t xml:space="preserve"> owns the experience, agent orchestration and gate navigation; </w:t>
      </w:r>
      <w:r>
        <w:rPr>
          <w:b/>
          <w:bCs/>
        </w:rPr>
        <w:t xml:space="preserve">Cora</w:t>
      </w:r>
      <w:r>
        <w:t xml:space="preserve"> stays the workflow engine and system of record for gate approvals and the RAIL; </w:t>
      </w:r>
      <w:r>
        <w:rPr>
          <w:b/>
          <w:bCs/>
        </w:rPr>
        <w:t xml:space="preserve">RBAC</w:t>
      </w:r>
      <w:r>
        <w:t xml:space="preserve"> is inherited from Entra ID / Active Directory and mirrors Cora’s existing approver roles — one identity model, not a new one.</w:t>
      </w:r>
    </w:p>
    <w:p xmlns:wp14="http://schemas.microsoft.com/office/word/2010/wordml" w14:paraId="476B888E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Data &amp; connectors (Layers 1–2) </w:t>
      </w:r>
      <w:r w:rsidRPr="780580BC" w:rsidR="780580BC">
        <w:rPr>
          <w:lang w:val="en-US"/>
        </w:rPr>
        <w:t>— governed read access to Cora, CAD, PLM, ERP, MES/quality, requirements, standards and Salesforce, with controlled write-back to Cora (gate approvals, checklists, RAIL, health-check).</w:t>
      </w:r>
    </w:p>
    <w:p xmlns:wp14="http://schemas.microsoft.com/office/word/2010/wordml" w14:paraId="4D239E14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Knowledge &amp; agents (Layers 3–5) </w:t>
      </w:r>
      <w:r w:rsidRPr="780580BC" w:rsidR="780580BC">
        <w:rPr>
          <w:lang w:val="en-US"/>
        </w:rPr>
        <w:t>— a medallion data pipeline and CAD/BOM feature extraction feed a knowledge graph and vector store; RAG grounds every answer in a cited source; specialized agents cross-verify each other.</w:t>
      </w:r>
    </w:p>
    <w:p xmlns:wp14="http://schemas.microsoft.com/office/word/2010/wordml" w14:paraId="614258C9" wp14:textId="77777777">
      <w:pPr>
        <w:pStyle w:val="Heading1"/>
      </w:pPr>
      <w:r>
        <w:t xml:space="preserve">7. How We Keep It Defensible — Governance &amp; Human Control</w:t>
      </w:r>
    </w:p>
    <w:p xmlns:wp14="http://schemas.microsoft.com/office/word/2010/wordml" w14:paraId="0831651E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Human-in-the-loop by default </w:t>
      </w:r>
      <w:r w:rsidRPr="780580BC" w:rsidR="780580BC">
        <w:rPr>
          <w:lang w:val="en-US"/>
        </w:rPr>
        <w:t>on all consequential decisions (gate pass/fail, design-change proposals, PPAP approvals). The Copilot augments your engineers; it never overrides them and never passes a gate on its own.</w:t>
      </w:r>
    </w:p>
    <w:p xmlns:wp14="http://schemas.microsoft.com/office/word/2010/wordml" w14:paraId="1606419B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Grounded, no hallucinations </w:t>
      </w:r>
      <w:r w:rsidRPr="780580BC" w:rsidR="780580BC">
        <w:rPr>
          <w:lang w:val="en-US"/>
        </w:rPr>
        <w:t>— retrieval-augmented generation ensures every answer is drawn from TT’s own documents and data, and every finding cites its source clause, rule or record.</w:t>
      </w:r>
    </w:p>
    <w:p xmlns:wp14="http://schemas.microsoft.com/office/word/2010/wordml" w14:paraId="2024595F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Data stays in TT’s tenancy </w:t>
      </w:r>
      <w:r w:rsidRPr="780580BC" w:rsidR="780580BC">
        <w:rPr>
          <w:lang w:val="en-US"/>
        </w:rPr>
        <w:t>— no TT design or IP data leaves your environment; models fine-tuned in-tenant if required, with UK/EU/US residency as needed.</w:t>
      </w:r>
    </w:p>
    <w:p xmlns:wp14="http://schemas.microsoft.com/office/word/2010/wordml" w14:paraId="6BDF032E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Aligned to NIST AI RMF </w:t>
      </w:r>
      <w:r w:rsidRPr="780580BC" w:rsidR="780580BC">
        <w:rPr>
          <w:lang w:val="en-US"/>
        </w:rPr>
        <w:t>(Govern–Map–Measure–Manage), with RBAC via Entra ID/SSO, an immutable audit log, and continuous monitoring for bias, drift and hallucination — the posture TechSur operationalizes in regulated federal work.</w:t>
      </w:r>
    </w:p>
    <w:p xmlns:wp14="http://schemas.microsoft.com/office/word/2010/wordml" w14:paraId="79EE7938" wp14:textId="77777777">
      <w:pPr>
        <w:pStyle w:val="Heading1"/>
      </w:pPr>
      <w:r>
        <w:t xml:space="preserve">8. What We Recommend Next</w:t>
      </w:r>
    </w:p>
    <w:p xmlns:wp14="http://schemas.microsoft.com/office/word/2010/wordml" w14:paraId="5F14ADAD" wp14:textId="77777777">
      <w:pPr>
        <w:pStyle w:val="ListParagraph"/>
        <w:numPr>
          <w:ilvl w:val="0"/>
          <w:numId w:val="3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Endorse a charter </w:t>
      </w:r>
      <w:r w:rsidRPr="780580BC" w:rsidR="780580BC">
        <w:rPr>
          <w:lang w:val="en-US"/>
        </w:rPr>
        <w:t>for an internal-only, human-in-the-loop TT Engineering Copilot with a Web Gate Cockpit, integrated with Cora, CAD, PLM, ERP/MES and the standards library.</w:t>
      </w:r>
    </w:p>
    <w:p xmlns:wp14="http://schemas.microsoft.com/office/word/2010/wordml" w14:paraId="353A18B9" wp14:textId="77777777"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Nominate an executive sponsor </w:t>
      </w:r>
      <w:r>
        <w:t xml:space="preserve">in Engineering / Technology (the Technology Director owns ENG 001).</w:t>
      </w:r>
    </w:p>
    <w:p xmlns:wp14="http://schemas.microsoft.com/office/word/2010/wordml" w14:paraId="01AF7576" wp14:textId="77777777"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Run a focused discovery sprint </w:t>
      </w:r>
      <w:r>
        <w:t xml:space="preserve">with us to confirm the CAD/PLM/ERP/MES stack, the Cora federation approach for the Cockpit, and digitize a first slice of TT DFM rules and standards.</w:t>
      </w:r>
    </w:p>
    <w:p xmlns:wp14="http://schemas.microsoft.com/office/word/2010/wordml" w14:paraId="50F2AB26" wp14:textId="77777777"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Pilot the manufacturability wedge first </w:t>
      </w:r>
      <w:r>
        <w:t xml:space="preserve">— 2–3 representative projects (one Cat 1 NPI A, one Cat 2 NPI B, one make-to-print) and one part for a live Gate 3/Gate 4 DFM/standards demo with baseline vs. post-deployment metrics.</w:t>
      </w:r>
    </w:p>
    <w:p xmlns:wp14="http://schemas.microsoft.com/office/word/2010/wordml" w14:paraId="7418560A" wp14:textId="77777777">
      <w:pPr>
        <w:pStyle w:val="ListParagraph"/>
        <w:numPr>
          <w:ilvl w:val="0"/>
          <w:numId w:val="3"/>
        </w:numPr>
        <w:spacing w:after="60" w:line="268" w:lineRule="auto"/>
        <w:rPr/>
      </w:pPr>
      <w:r w:rsidRPr="780580BC" w:rsidR="780580BC">
        <w:rPr>
          <w:b w:val="1"/>
          <w:bCs w:val="1"/>
          <w:lang w:val="en-US"/>
        </w:rPr>
        <w:t xml:space="preserve">Confirm site scope </w:t>
      </w:r>
      <w:r w:rsidRPr="780580BC" w:rsidR="780580BC">
        <w:rPr>
          <w:lang w:val="en-US"/>
        </w:rPr>
        <w:t>(we recommend Plano North America plus one European site to prove global-parity from the start).</w:t>
      </w:r>
    </w:p>
    <w:p xmlns:wp14="http://schemas.microsoft.com/office/word/2010/wordml" w14:paraId="7F7749CF" wp14:textId="77777777">
      <w:pPr>
        <w:spacing w:after="120" w:line="276"/>
      </w:pPr>
      <w:r>
        <w:rPr>
          <w:i/>
          <w:iCs/>
          <w:color w:val="595959"/>
        </w:rPr>
        <w:t xml:space="preserve">Bottom line: one platform, not two. We layer a governed, human-in-the-loop Copilot — fronted by a Web Gate Cockpit that federates with Cora — onto the lifecycle TT already runs, lead with manufacturability validation as the first agent, and expand wave by wave. The AI does the heavy lifting; your engineers stay in control at every gate.</w:t>
      </w:r>
    </w:p>
    <w:p xmlns:wp14="http://schemas.microsoft.com/office/word/2010/wordml" w14:paraId="02EB378F" wp14:textId="77777777"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  <w:cols w:num="1"/>
        </w:sectPr>
      </w:pPr>
    </w:p>
    <w:p xmlns:wp14="http://schemas.microsoft.com/office/word/2010/wordml" w14:paraId="576EE29D" wp14:textId="77777777">
      <w:pPr>
        <w:pStyle w:val="Heading1"/>
        <w:spacing w:before="80" w:after="60"/>
      </w:pPr>
      <w:r>
        <w:t xml:space="preserve">Appendix A — Agent Inputs &amp; Outputs by Gate</w:t>
      </w:r>
    </w:p>
    <w:p xmlns:wp14="http://schemas.microsoft.com/office/word/2010/wordml" w14:paraId="745B2E89" wp14:textId="77777777">
      <w:pPr>
        <w:spacing w:after="120" w:line="276" w:lineRule="auto"/>
      </w:pPr>
      <w:r w:rsidRPr="780580BC" w:rsidR="780580BC">
        <w:rPr>
          <w:lang w:val="en-US"/>
        </w:rPr>
        <w:t xml:space="preserve">Representative (not exhaustive) inputs each agent relies on to generate its artifacts, tuned to TT Electronics’ product mix (sensors, power management, magnetics, mil-spec connectors, optoelectronics, PCBAs and electromechanical box-builds). Standards are applied </w:t>
      </w:r>
      <w:r w:rsidRPr="780580BC" w:rsidR="780580BC">
        <w:rPr>
          <w:b w:val="1"/>
          <w:bCs w:val="1"/>
          <w:lang w:val="en-US"/>
        </w:rPr>
        <w:t>as relevant to the product</w:t>
      </w:r>
      <w:r w:rsidRPr="780580BC" w:rsidR="780580BC">
        <w:rPr>
          <w:lang w:val="en-US"/>
        </w:rPr>
        <w:t xml:space="preserve"> — e.g., a mil-spec connector pulls MIL-DTL/DO-160, a medical sensor pulls ISO 13485, a PCBA pulls IPC.</w:t>
      </w:r>
    </w:p>
    <w:tbl>
      <w:tblPr>
        <w:tblW w:w="14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950"/>
        <w:gridCol w:w="3950"/>
        <w:gridCol w:w="3950"/>
      </w:tblGrid>
      <w:tr xmlns:wp14="http://schemas.microsoft.com/office/word/2010/wordml" w:rsidTr="780580BC" w14:paraId="78605265" wp14:textId="77777777">
        <w:trPr>
          <w:tblHeader/>
        </w:trPr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AD40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Agent / Gate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4234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External sources (inputs)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BCFD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Internal artifacts (inputs)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1F54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Outputs (artifacts generated)</w:t>
            </w:r>
          </w:p>
        </w:tc>
      </w:tr>
      <w:tr xmlns:wp14="http://schemas.microsoft.com/office/word/2010/wordml" w:rsidTr="780580BC" w14:paraId="33C30CEE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36C91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Bid/No-Bid Copilot</w:t>
            </w:r>
            <w:r>
              <w:rPr>
                <w:color w:val="595959"/>
                <w:sz w:val="15"/>
                <w:szCs w:val="15"/>
              </w:rPr>
              <w:t xml:space="preserve"> Phase 0 / Gate 0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18473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Customer RFQ/RFP/SOW; customer drawings &amp; specs; ITAR/EAR &amp; UK export-control lists; DFARS / customer flow-downs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D62B1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Salesforce opportunity record; TT capability &amp; skills library; historical project &amp; win/loss data; site capacity / loading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B8FC3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Opportunity summary; capability-match &amp; spec-gap assessment; export/security screen; drafted 1-page Bid/No-Bid brief</w:t>
            </w:r>
          </w:p>
        </w:tc>
      </w:tr>
      <w:tr xmlns:wp14="http://schemas.microsoft.com/office/word/2010/wordml" w:rsidTr="780580BC" w14:paraId="3B5C0AD4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31B14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Proposal &amp; Cost Agent</w:t>
            </w:r>
            <w:r>
              <w:rPr>
                <w:color w:val="595959"/>
                <w:sz w:val="15"/>
                <w:szCs w:val="15"/>
              </w:rPr>
              <w:t xml:space="preserve"> Phase 1 / Gate 1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6E30A" wp14:textId="77777777">
            <w:pPr>
              <w:spacing w:line="248" w:lineRule="auto"/>
            </w:pPr>
            <w:r w:rsidRPr="780580BC" w:rsidR="780580BC">
              <w:rPr>
                <w:sz w:val="17"/>
                <w:szCs w:val="17"/>
                <w:lang w:val="en-US"/>
              </w:rPr>
              <w:t>Customer requirements/spec; supplier budgetary quotes &amp; distributor lead-times (Mouser/TTI/DigiKey); market / target-price data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DEAFF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Historical proposals of similar NPI type; parametric cost models; preliminary BOM; labor / rate cards; Cora templates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F8045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Costed proposal / business case; resource &amp; schedule plan; auto-created Cora baseline &amp; Executive Summary; NTI starting-TRL note</w:t>
            </w:r>
          </w:p>
        </w:tc>
      </w:tr>
      <w:tr xmlns:wp14="http://schemas.microsoft.com/office/word/2010/wordml" w:rsidTr="780580BC" w14:paraId="36065C56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B1857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Requirements Agent</w:t>
            </w:r>
            <w:r>
              <w:rPr>
                <w:color w:val="595959"/>
                <w:sz w:val="15"/>
                <w:szCs w:val="15"/>
              </w:rPr>
              <w:t xml:space="preserve"> Phase 2 / Gate 2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6A121" wp14:textId="77777777">
            <w:pPr>
              <w:spacing w:line="248" w:lineRule="auto"/>
            </w:pPr>
            <w:r w:rsidRPr="780580BC" w:rsidR="780580BC">
              <w:rPr>
                <w:sz w:val="17"/>
                <w:szCs w:val="17"/>
                <w:lang w:val="en-US"/>
              </w:rPr>
              <w:t>Customer system/interface specs; applicable standards (AS9100D, DO-160, MIL-STD-810/461, UL/IEC); regulatory reqs (medical: ISO 13485 / FDA)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7EEBC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Draft requirements set; prior requirement libraries; interface control documents; Cora / requirements repository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D00A6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Decomposed direct &amp; derived requirements; requirements-traceability matrix; testability audit; standards-driven mandatory requirements</w:t>
            </w:r>
          </w:p>
        </w:tc>
      </w:tr>
      <w:tr xmlns:wp14="http://schemas.microsoft.com/office/word/2010/wordml" w:rsidTr="780580BC" w14:paraId="5C0CE9C1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89FDB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PDR + Early DFM Agent</w:t>
            </w:r>
            <w:r>
              <w:rPr>
                <w:color w:val="595959"/>
                <w:sz w:val="15"/>
                <w:szCs w:val="15"/>
              </w:rPr>
              <w:t xml:space="preserve"> Phase 3 / Gate 3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15C98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ASME Y14.5 (GD&amp;T); ISO 2768 general tolerances; IPC-2221 (PCB design); plant / process-capability references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CEBFD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Concept CAD (SolidWorks/NX/Creo); preliminary BOM; prior-gate RAIL / actions; historical yield for similar parts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B9304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Design trade-off analysis; early DFM/DFA screen; seeded Risk &amp; Issues register; drafted PDR pack; action-closure check</w:t>
            </w:r>
          </w:p>
        </w:tc>
      </w:tr>
      <w:tr xmlns:wp14="http://schemas.microsoft.com/office/word/2010/wordml" w:rsidTr="780580BC" w14:paraId="6B679F67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DEF68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DFM / Standards Audit Agent (flagship)</w:t>
            </w:r>
            <w:r>
              <w:rPr>
                <w:color w:val="595959"/>
                <w:sz w:val="15"/>
                <w:szCs w:val="15"/>
              </w:rPr>
              <w:t xml:space="preserve"> Phase 4 / Gate 4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A3727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AS9100D; ASME Y14.5; ISO 2768; IPC-A-610 &amp; IPC-J-STD-001 (assembly); MIL-STD / UL / IEC as applicable; RoHS / REACH / conflict-minerals; supplier PCN/PDN feeds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2CF58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Frozen CAD + GD&amp;T; released BOM &amp; PLM (ECN/ECO); TT internal DFM rules / checklists; tolerance stack-ups; CAPA &amp; yield history (MES/quality); preferred-parts library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D7515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Risk-scored, source-cited DFM/DFA &amp; standards audit; BOM health check; drafted CDR pack; provisional production docs (routes, SOPs, WIs); make-to-print manufacturability advisory</w:t>
            </w:r>
          </w:p>
        </w:tc>
      </w:tr>
      <w:tr xmlns:wp14="http://schemas.microsoft.com/office/word/2010/wordml" w:rsidTr="780580BC" w14:paraId="5AC0110E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03F55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V&amp;V Test-Plan Agent</w:t>
            </w:r>
            <w:r>
              <w:rPr>
                <w:color w:val="595959"/>
                <w:sz w:val="15"/>
                <w:szCs w:val="15"/>
              </w:rPr>
              <w:t xml:space="preserve"> Phase 5 / Gate 5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1B4FE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Test-method standards (MIL-STD-810 methods, DO-160 sections, IEC 61000 EMC); customer acceptance criteria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10A95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Requirements / traceability matrix; DFMEA; historical test-failure database; material selections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984FE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V&amp;V test matrix (analysis/inspection/demo/test); pre-compliance environmental prediction; test-failure diagnostics; Gate 5 evidence pack</w:t>
            </w:r>
          </w:p>
        </w:tc>
      </w:tr>
      <w:tr xmlns:wp14="http://schemas.microsoft.com/office/word/2010/wordml" w:rsidTr="780580BC" w14:paraId="18581D70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31CA8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MRL / PPAP Agent</w:t>
            </w:r>
            <w:r>
              <w:rPr>
                <w:color w:val="595959"/>
                <w:sz w:val="15"/>
                <w:szCs w:val="15"/>
              </w:rPr>
              <w:t xml:space="preserve"> Phase 6 / Gate 6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823B1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PPAP / APQP &amp; control-plan conventions; first-article standard (AS9102); customer PPAP requirements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69312" wp14:textId="77777777">
            <w:pPr>
              <w:spacing w:line="248" w:lineRule="auto"/>
            </w:pPr>
            <w:r w:rsidRPr="780580BC" w:rsidR="780580BC">
              <w:rPr>
                <w:sz w:val="17"/>
                <w:szCs w:val="17"/>
                <w:lang w:val="en-US"/>
              </w:rPr>
              <w:t>Process flow &amp; routings; PFMEA; first-article / FAI data; equipment qualification &amp; Cpk data; cost / baseline in Cora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8C163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MRL score; PPAP-precursor package; control plan / PFMEA draft; Gate 6 pack (financials, schedule vs. baseline, risks)</w:t>
            </w:r>
          </w:p>
        </w:tc>
      </w:tr>
      <w:tr xmlns:wp14="http://schemas.microsoft.com/office/word/2010/wordml" w:rsidTr="780580BC" w14:paraId="766A7E0C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4BDE8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Lessons-Learned Agent</w:t>
            </w:r>
            <w:r>
              <w:rPr>
                <w:color w:val="595959"/>
                <w:sz w:val="15"/>
                <w:szCs w:val="15"/>
              </w:rPr>
              <w:t xml:space="preserve"> Phase 7 / Gate 7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7006A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Customer field / acceptance feedback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B48E5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Cora gate minutes &amp; RAIL; early-production MES yield/scrap data; defect / CAPA reports; meeting transcripts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3DAB5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Structured lessons-learned (tagged by type/category); production anomaly flags; transfer-completeness audit; CI (PDCA/DMAIC) candidates</w:t>
            </w:r>
          </w:p>
        </w:tc>
      </w:tr>
      <w:tr xmlns:wp14="http://schemas.microsoft.com/office/word/2010/wordml" w:rsidTr="780580BC" w14:paraId="6116F985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79611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Yield &amp; Obsolescence Radar</w:t>
            </w:r>
            <w:r>
              <w:rPr>
                <w:color w:val="595959"/>
                <w:sz w:val="15"/>
                <w:szCs w:val="15"/>
              </w:rPr>
              <w:t xml:space="preserve"> Phase 8 / Gate 8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630C6" wp14:textId="77777777">
            <w:pPr>
              <w:spacing w:line="248" w:lineRule="auto"/>
            </w:pPr>
            <w:r w:rsidRPr="780580BC" w:rsidR="780580BC">
              <w:rPr>
                <w:sz w:val="17"/>
                <w:szCs w:val="17"/>
                <w:lang w:val="en-US"/>
              </w:rPr>
              <w:t>Supplier PCN/PDN &amp; EOL notices; distributor stock / lead-time; obsolescence databases (SiliconExpert / IHS)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8A720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MES / ERP yield, scrap &amp; cost data; BOM &amp; preferred-parts library; Change Review Board records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E78C7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Yield / quality Q&amp;A; 18–36-month obsolescence risk forecast; CRB support pack; financial-anomaly alerts</w:t>
            </w:r>
          </w:p>
        </w:tc>
      </w:tr>
      <w:tr xmlns:wp14="http://schemas.microsoft.com/office/word/2010/wordml" w:rsidTr="780580BC" w14:paraId="225B9B0C" wp14:textId="77777777">
        <w:tc>
          <w:tcPr>
            <w:tcW w:w="25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1B585" wp14:textId="77777777">
            <w:pPr>
              <w:spacing w:line="248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EOL &amp; Memory Agent</w:t>
            </w:r>
            <w:r>
              <w:rPr>
                <w:color w:val="595959"/>
                <w:sz w:val="15"/>
                <w:szCs w:val="15"/>
              </w:rPr>
              <w:t xml:space="preserve"> Phase 9 / Gate 9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83948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Customer EOL / last-time-buy requirements; EHS / disposal &amp; records-retention regs; contractual data-retention terms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611D3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ERP material status; final BOM &amp; demand history; fixtures / tooling records; full project archive</w:t>
            </w:r>
          </w:p>
        </w:tc>
        <w:tc>
          <w:tcPr>
            <w:tcW w:w="395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19979" wp14:textId="77777777">
            <w:pPr>
              <w:spacing w:line="248"/>
            </w:pPr>
            <w:r>
              <w:rPr>
                <w:sz w:val="17"/>
                <w:szCs w:val="17"/>
              </w:rPr>
              <w:t xml:space="preserve">Drafted EOL notices &amp; last-time-buy packs; redevelopment business-case advisory; retention/disposal &amp; ERP-update audit; institutional-memory knowledge asset</w:t>
            </w:r>
          </w:p>
        </w:tc>
      </w:tr>
    </w:tbl>
    <w:p xmlns:wp14="http://schemas.microsoft.com/office/word/2010/wordml" w14:paraId="54B4D289" wp14:textId="77777777">
      <w:pPr>
        <w:spacing w:before="120"/>
      </w:pPr>
      <w:r w:rsidRPr="780580BC" w:rsidR="780580BC">
        <w:rPr>
          <w:i w:val="1"/>
          <w:iCs w:val="1"/>
          <w:color w:val="595959"/>
          <w:sz w:val="16"/>
          <w:szCs w:val="16"/>
          <w:lang w:val="en-US"/>
        </w:rPr>
        <w:t>Note: the Gate 4 flagship row is deliberately the richest — it is where CAD + GD&amp;T, IPC/AS9100 standards, TT internal DFM rules and CAPA/yield history converge to validate manufacturability before design freeze.</w:t>
      </w:r>
    </w:p>
    <w:sectPr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80580BC" w14:paraId="19B3710A" wp14:textId="77777777">
    <w:pPr>
      <w:jc w:val="center"/>
      <w:rPr>
        <w:lang w:val="en-US"/>
      </w:rPr>
    </w:pPr>
    <w:r w:rsidRPr="780580BC" w:rsidR="780580BC">
      <w:rPr>
        <w:color w:val="595959"/>
        <w:sz w:val="16"/>
        <w:szCs w:val="16"/>
        <w:lang w:val="en-US"/>
      </w:rPr>
      <w:t xml:space="preserve">TechSur Solutions  |  Proposal to TT Electronics — Engineering &amp; Program Management  |  Internal / Confidential  |  Page </w:t>
    </w:r>
    <w:r w:rsidRPr="780580BC">
      <w:rPr>
        <w:color w:val="595959"/>
        <w:sz w:val="16"/>
        <w:szCs w:val="16"/>
        <w:lang w:val="en-US"/>
      </w:rPr>
      <w:fldChar w:fldCharType="begin"/>
    </w:r>
    <w:r w:rsidRPr="780580BC">
      <w:rPr>
        <w:color w:val="595959"/>
        <w:sz w:val="16"/>
        <w:szCs w:val="16"/>
      </w:rPr>
      <w:instrText xml:space="preserve">PAGE</w:instrText>
    </w:r>
    <w:r w:rsidRPr="780580BC">
      <w:rPr>
        <w:color w:val="595959"/>
        <w:sz w:val="16"/>
        <w:szCs w:val="16"/>
      </w:rPr>
      <w:fldChar w:fldCharType="separate"/>
    </w:r>
    <w:r w:rsidRPr="780580BC">
      <w:rPr>
        <w:color w:val="595959"/>
        <w:sz w:val="16"/>
        <w:szCs w:val="16"/>
        <w:lang w:val="en-US"/>
      </w:rPr>
      <w:fldChar w:fldCharType="end"/>
    </w:r>
    <w:r w:rsidRPr="780580BC" w:rsidR="780580BC">
      <w:rPr>
        <w:color w:val="595959"/>
        <w:sz w:val="16"/>
        <w:szCs w:val="16"/>
        <w:lang w:val="en-US"/>
      </w:rPr>
      <w:t xml:space="preserve"> of </w:t>
    </w:r>
    <w:r w:rsidRPr="780580BC">
      <w:rPr>
        <w:color w:val="595959"/>
        <w:sz w:val="16"/>
        <w:szCs w:val="16"/>
        <w:lang w:val="en-US"/>
      </w:rPr>
      <w:fldChar w:fldCharType="begin"/>
    </w:r>
    <w:r w:rsidRPr="780580BC">
      <w:rPr>
        <w:color w:val="595959"/>
        <w:sz w:val="16"/>
        <w:szCs w:val="16"/>
      </w:rPr>
      <w:instrText xml:space="preserve">NUMPAGES</w:instrText>
    </w:r>
    <w:r w:rsidRPr="780580BC">
      <w:rPr>
        <w:color w:val="595959"/>
        <w:sz w:val="16"/>
        <w:szCs w:val="16"/>
      </w:rPr>
      <w:fldChar w:fldCharType="separate"/>
    </w:r>
    <w:r w:rsidRPr="780580BC">
      <w:rPr>
        <w:color w:val="595959"/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80580BC" w14:paraId="7959C475" wp14:textId="77777777">
    <w:pPr>
      <w:jc w:val="center"/>
      <w:rPr>
        <w:lang w:val="en-US"/>
      </w:rPr>
    </w:pPr>
    <w:r w:rsidRPr="780580BC" w:rsidR="780580BC">
      <w:rPr>
        <w:color w:val="595959"/>
        <w:sz w:val="16"/>
        <w:szCs w:val="16"/>
        <w:lang w:val="en-US"/>
      </w:rPr>
      <w:t xml:space="preserve">TechSur Solutions  |  Proposal to TT Electronics — Engineering &amp; Program Management  |  Internal / Confidential  |  Page </w:t>
    </w:r>
    <w:r w:rsidRPr="780580BC">
      <w:rPr>
        <w:color w:val="595959"/>
        <w:sz w:val="16"/>
        <w:szCs w:val="16"/>
        <w:lang w:val="en-US"/>
      </w:rPr>
      <w:fldChar w:fldCharType="begin"/>
    </w:r>
    <w:r w:rsidRPr="780580BC">
      <w:rPr>
        <w:color w:val="595959"/>
        <w:sz w:val="16"/>
        <w:szCs w:val="16"/>
      </w:rPr>
      <w:instrText xml:space="preserve">PAGE</w:instrText>
    </w:r>
    <w:r w:rsidRPr="780580BC">
      <w:rPr>
        <w:color w:val="595959"/>
        <w:sz w:val="16"/>
        <w:szCs w:val="16"/>
      </w:rPr>
      <w:fldChar w:fldCharType="separate"/>
    </w:r>
    <w:r w:rsidRPr="780580BC">
      <w:rPr>
        <w:color w:val="595959"/>
        <w:sz w:val="16"/>
        <w:szCs w:val="16"/>
        <w:lang w:val="en-US"/>
      </w:rPr>
      <w:fldChar w:fldCharType="end"/>
    </w:r>
    <w:r w:rsidRPr="780580BC" w:rsidR="780580BC">
      <w:rPr>
        <w:color w:val="595959"/>
        <w:sz w:val="16"/>
        <w:szCs w:val="16"/>
        <w:lang w:val="en-US"/>
      </w:rPr>
      <w:t xml:space="preserve"> of </w:t>
    </w:r>
    <w:r w:rsidRPr="780580BC">
      <w:rPr>
        <w:color w:val="595959"/>
        <w:sz w:val="16"/>
        <w:szCs w:val="16"/>
        <w:lang w:val="en-US"/>
      </w:rPr>
      <w:fldChar w:fldCharType="begin"/>
    </w:r>
    <w:r w:rsidRPr="780580BC">
      <w:rPr>
        <w:color w:val="595959"/>
        <w:sz w:val="16"/>
        <w:szCs w:val="16"/>
      </w:rPr>
      <w:instrText xml:space="preserve">NUMPAGES</w:instrText>
    </w:r>
    <w:r w:rsidRPr="780580BC">
      <w:rPr>
        <w:color w:val="595959"/>
        <w:sz w:val="16"/>
        <w:szCs w:val="16"/>
      </w:rPr>
      <w:fldChar w:fldCharType="separate"/>
    </w:r>
    <w:r w:rsidRPr="780580BC">
      <w:rPr>
        <w:color w:val="595959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e708c3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733b34"/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nsid w:val="ef008ef"/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72E658"/>
  <w15:docId w15:val="{EC2F9158-512E-421F-9523-C265D7B91EC7}"/>
  <w:rsids>
    <w:rsidRoot w:val="780580BC"/>
    <w:rsid w:val="780580B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60" w:after="120"/>
      <w:outlineLvl w:val="0"/>
    </w:pPr>
    <w:rPr>
      <w:rFonts w:ascii="Calibri" w:hAnsi="Calibri" w:eastAsia="Calibri" w:cs="Calibri"/>
      <w:b/>
      <w:bCs/>
      <w:color w:val="1F4E79"/>
      <w:sz w:val="27"/>
      <w:szCs w:val="27"/>
    </w:rPr>
  </w:style>
  <w:style w:type="paragraph" w:styleId="Heading2">
    <w:name w:val="heading 20"/>
    <w:basedOn w:val="Normal"/>
    <w:next w:val="Normal"/>
    <w:qFormat/>
    <w:pPr>
      <w:spacing w:before="160" w:after="80"/>
      <w:outlineLvl w:val="1"/>
    </w:pPr>
    <w:rPr>
      <w:rFonts w:ascii="Calibri" w:hAnsi="Calibri" w:eastAsia="Calibri" w:cs="Calibri"/>
      <w:b/>
      <w:bCs/>
      <w:color w:val="2E75B6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oter" Target="footer2.xml" Id="rId8" /><Relationship Type="http://schemas.openxmlformats.org/officeDocument/2006/relationships/image" Target="media/1ca5a2ec7824253117aa41ff2d454ec24e6fae08.png" Id="rId9" /><Relationship Type="http://schemas.openxmlformats.org/officeDocument/2006/relationships/image" Target="media/3d58c7bdda1345ecf4a43eeea7d7b835065ce542.png" Id="rId10" /><Relationship Type="http://schemas.openxmlformats.org/officeDocument/2006/relationships/image" Target="media/63b4da069888e80579320b5881fd6addca48faf4.png" Id="rId11" /><Relationship Type="http://schemas.openxmlformats.org/officeDocument/2006/relationships/fontTable" Target="fontTable.xml" Id="rId1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TT Electronics — GenAI Automation Proposal</dc:title>
  <dc:creator>Sridhar Kesiraju</dc:creator>
  <lastModifiedBy>Sridhar Kesiraju</lastModifiedBy>
  <revision>2</revision>
  <dcterms:created xsi:type="dcterms:W3CDTF">2026-07-22T17:52:35.8720266Z</dcterms:created>
  <dcterms:modified xsi:type="dcterms:W3CDTF">2026-07-22T17:55:35.4320785Z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