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Customer EOL, Last-Time-Buy, Retention, and Disposal Package</w:t>
      </w:r>
    </w:p>
    <w:p>
      <w:pPr>
        <w:jc w:val="center"/>
      </w:pPr>
      <w:r>
        <w:rPr>
          <w:b/>
        </w:rPr>
        <w:t>EVINV-POC-001 | EV-INV-800 Demonstration Traction Inverter</w:t>
        <w:br/>
        <w:t>Phase 9 / Gate 9 | Version 1.0</w:t>
      </w:r>
    </w:p>
    <w:p>
      <w:pPr>
        <w:jc w:val="center"/>
      </w:pPr>
      <w:r>
        <w:rPr>
          <w:b/>
          <w:color w:val="C00000"/>
        </w:rPr>
        <w:t>Synthetic POC Data - Not TT Electronics Product Data - Not for Design, Fabrication, Certification, Procurement, or Production.</w:t>
      </w:r>
    </w:p>
    <w:p>
      <w:pPr>
        <w:pStyle w:val="Heading1"/>
      </w:pPr>
      <w:r>
        <w:t>Customer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EOL notification lead time</w:t>
            </w:r>
          </w:p>
        </w:tc>
        <w:tc>
          <w:tcPr>
            <w:tcW w:type="dxa" w:w="5112"/>
          </w:tcPr>
          <w:p>
            <w:r>
              <w:t>12 months</w:t>
            </w:r>
          </w:p>
        </w:tc>
      </w:tr>
      <w:tr>
        <w:tc>
          <w:tcPr>
            <w:tcW w:type="dxa" w:w="5112"/>
          </w:tcPr>
          <w:p>
            <w:r>
              <w:t>Last-time-buy response due</w:t>
            </w:r>
          </w:p>
        </w:tc>
        <w:tc>
          <w:tcPr>
            <w:tcW w:type="dxa" w:w="5112"/>
          </w:tcPr>
          <w:p>
            <w:r>
              <w:t>2034-09-30</w:t>
            </w:r>
          </w:p>
        </w:tc>
      </w:tr>
      <w:tr>
        <w:tc>
          <w:tcPr>
            <w:tcW w:type="dxa" w:w="5112"/>
          </w:tcPr>
          <w:p>
            <w:r>
              <w:t>Final requested units</w:t>
            </w:r>
          </w:p>
        </w:tc>
        <w:tc>
          <w:tcPr>
            <w:tcW w:type="dxa" w:w="5112"/>
          </w:tcPr>
          <w:p>
            <w:r>
              <w:t>900</w:t>
            </w:r>
          </w:p>
        </w:tc>
      </w:tr>
      <w:tr>
        <w:tc>
          <w:tcPr>
            <w:tcW w:type="dxa" w:w="5112"/>
          </w:tcPr>
          <w:p>
            <w:r>
              <w:t>Final delivery date</w:t>
            </w:r>
          </w:p>
        </w:tc>
        <w:tc>
          <w:tcPr>
            <w:tcW w:type="dxa" w:w="5112"/>
          </w:tcPr>
          <w:p>
            <w:r>
              <w:t>2035-06-30</w:t>
            </w:r>
          </w:p>
        </w:tc>
      </w:tr>
      <w:tr>
        <w:tc>
          <w:tcPr>
            <w:tcW w:type="dxa" w:w="5112"/>
          </w:tcPr>
          <w:p>
            <w:r>
              <w:t>Service-support period</w:t>
            </w:r>
          </w:p>
        </w:tc>
        <w:tc>
          <w:tcPr>
            <w:tcW w:type="dxa" w:w="5112"/>
          </w:tcPr>
          <w:p>
            <w:r>
              <w:t>7 years after final delivery</w:t>
            </w:r>
          </w:p>
        </w:tc>
      </w:tr>
    </w:tbl>
    <w:p>
      <w:pPr>
        <w:pStyle w:val="Heading1"/>
      </w:pPr>
      <w:r>
        <w:t>Retention and Disposal</w:t>
      </w:r>
    </w:p>
    <w:p>
      <w:pPr>
        <w:pStyle w:val="ListBullet"/>
      </w:pPr>
      <w:r>
        <w:t>Retain design, validation, and production records for 10 years after final delivery.</w:t>
      </w:r>
    </w:p>
    <w:p>
      <w:pPr>
        <w:pStyle w:val="ListBullet"/>
      </w:pPr>
      <w:r>
        <w:t>Notify customer before disposal of customer-specific tooling.</w:t>
      </w:r>
    </w:p>
    <w:p>
      <w:pPr>
        <w:pStyle w:val="ListBullet"/>
      </w:pPr>
      <w:r>
        <w:t>Dispose of residual hazardous materials through approved channels.</w:t>
      </w:r>
    </w:p>
    <w:p>
      <w:pPr>
        <w:pStyle w:val="ListBullet"/>
      </w:pPr>
      <w:r>
        <w:t>Close all contractual purchase orders before Gate 9.</w:t>
      </w:r>
    </w:p>
    <w:p>
      <w:pPr>
        <w:pStyle w:val="Heading1"/>
      </w:pPr>
      <w:r>
        <w:t>Completion Evidence</w:t>
      </w:r>
    </w:p>
    <w:p>
      <w:pPr>
        <w:pStyle w:val="ListBullet"/>
      </w:pPr>
      <w:r>
        <w:t>Customer notification acknowledgement</w:t>
      </w:r>
    </w:p>
    <w:p>
      <w:pPr>
        <w:pStyle w:val="ListBullet"/>
      </w:pPr>
      <w:r>
        <w:t>Last-time-buy order confirmation</w:t>
      </w:r>
    </w:p>
    <w:p>
      <w:pPr>
        <w:pStyle w:val="ListBullet"/>
      </w:pPr>
      <w:r>
        <w:t>Final production completion record</w:t>
      </w:r>
    </w:p>
    <w:p>
      <w:pPr>
        <w:pStyle w:val="ListBullet"/>
      </w:pPr>
      <w:r>
        <w:t>Inventory disposition record</w:t>
      </w:r>
    </w:p>
    <w:p>
      <w:pPr>
        <w:pStyle w:val="ListBullet"/>
      </w:pPr>
      <w:r>
        <w:t>Tooling and archive disposition record</w:t>
      </w:r>
    </w:p>
    <w:sectPr w:rsidR="00FC693F" w:rsidRPr="0006063C" w:rsidSect="00034616">
      <w:head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SYNTHETIC POC INPUT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