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Liability Insurance — SAMPLE POLICY</w:t>
      </w:r>
    </w:p>
    <w:p>
      <w:r>
        <w:t>FICTIONAL DEMO DOCUMENT | NOT VALID INSURANCE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DEMO-INS-007</w:t>
            </w:r>
          </w:p>
        </w:tc>
      </w:tr>
      <w:tr>
        <w:tc>
          <w:tcPr>
            <w:tcW w:type="dxa" w:w="4320"/>
          </w:tcPr>
          <w:p>
            <w:r>
              <w:t>Policy Type</w:t>
            </w:r>
          </w:p>
        </w:tc>
        <w:tc>
          <w:tcPr>
            <w:tcW w:type="dxa" w:w="4320"/>
          </w:tcPr>
          <w:p>
            <w:r>
              <w:t>General Liability Insurance</w:t>
            </w:r>
          </w:p>
        </w:tc>
      </w:tr>
      <w:tr>
        <w:tc>
          <w:tcPr>
            <w:tcW w:type="dxa" w:w="4320"/>
          </w:tcPr>
          <w:p>
            <w:r>
              <w:t>Illustrative Policy Period</w:t>
            </w:r>
          </w:p>
        </w:tc>
        <w:tc>
          <w:tcPr>
            <w:tcW w:type="dxa" w:w="4320"/>
          </w:tcPr>
          <w:p>
            <w:r>
              <w:t>January 1, 2027 – December 31, 2027</w:t>
            </w:r>
          </w:p>
        </w:tc>
      </w:tr>
      <w:tr>
        <w:tc>
          <w:tcPr>
            <w:tcW w:type="dxa" w:w="4320"/>
          </w:tcPr>
          <w:p>
            <w:r>
              <w:t>Coverage Limit</w:t>
            </w:r>
          </w:p>
        </w:tc>
        <w:tc>
          <w:tcPr>
            <w:tcW w:type="dxa" w:w="4320"/>
          </w:tcPr>
          <w:p>
            <w:r>
              <w:t>$1,000,000 per occurrence; $2,000,000 aggregate</w:t>
            </w:r>
          </w:p>
        </w:tc>
      </w:tr>
      <w:tr>
        <w:tc>
          <w:tcPr>
            <w:tcW w:type="dxa" w:w="4320"/>
          </w:tcPr>
          <w:p>
            <w:r>
              <w:t>Deductible / Elimination Period</w:t>
            </w:r>
          </w:p>
        </w:tc>
        <w:tc>
          <w:tcPr>
            <w:tcW w:type="dxa" w:w="4320"/>
          </w:tcPr>
          <w:p>
            <w:r>
              <w:t>$2,500 per occurrence</w:t>
            </w:r>
          </w:p>
        </w:tc>
      </w:tr>
      <w:tr>
        <w:tc>
          <w:tcPr>
            <w:tcW w:type="dxa" w:w="4320"/>
          </w:tcPr>
          <w:p>
            <w:r>
              <w:t>Waiting / Notice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 | APPROVED (SIMULATED)</w:t>
            </w:r>
          </w:p>
        </w:tc>
      </w:tr>
    </w:tbl>
    <w:p>
      <w:pPr>
        <w:pStyle w:val="Heading2"/>
      </w:pPr>
      <w:r>
        <w:t>Coverage Summary</w:t>
      </w:r>
    </w:p>
    <w:p>
      <w:r>
        <w:t>Third-party bodily injury, property damage and personal injury</w:t>
      </w:r>
    </w:p>
    <w:p>
      <w:pPr>
        <w:pStyle w:val="Heading2"/>
      </w:pPr>
      <w:r>
        <w:t>Covered Events</w:t>
      </w:r>
    </w:p>
    <w:p>
      <w:r>
        <w:t>Covered third-party injury, accidental property damage and qualifying advertising injury</w:t>
      </w:r>
    </w:p>
    <w:p>
      <w:pPr>
        <w:pStyle w:val="Heading2"/>
      </w:pPr>
      <w:r>
        <w:t>Key Exclusions</w:t>
      </w:r>
    </w:p>
    <w:p>
      <w:r>
        <w:t>Professional errors; employment disputes; deliberate injury; contractual liability beyond policy terms</w:t>
      </w:r>
    </w:p>
    <w:p>
      <w:pPr>
        <w:pStyle w:val="Heading2"/>
      </w:pPr>
      <w:r>
        <w:t>Reporting and Special Conditions</w:t>
      </w:r>
    </w:p>
    <w:p>
      <w:r>
        <w:t>Notify the insurer of claims or suits promptly; forward legal notices without delay.</w:t>
      </w:r>
    </w:p>
    <w:p>
      <w:pPr>
        <w:pStyle w:val="Heading2"/>
      </w:pPr>
      <w:r>
        <w:t>Claim Evidence</w:t>
      </w:r>
    </w:p>
    <w:p>
      <w:r>
        <w:t>Incident details, witness information, demand letters and supporting records</w:t>
      </w:r>
    </w:p>
    <w:p>
      <w:pPr>
        <w:pStyle w:val="Heading2"/>
      </w:pPr>
      <w:r>
        <w:t>1. Policy Overview</w:t>
      </w:r>
    </w:p>
    <w:p>
      <w:r>
        <w:t>This fictional sample illustrates a typical insurance contract structure for software development, document ingestion, retrieval and claims workflow testing. It is not an issued policy, legal advice or an offer of insurance.</w:t>
      </w:r>
    </w:p>
    <w:p>
      <w:pPr>
        <w:pStyle w:val="Heading2"/>
      </w:pPr>
      <w:r>
        <w:t>2. Insuring Agreement</w:t>
      </w:r>
    </w:p>
    <w:p>
      <w:r>
        <w:t>Subject to all conditions, exclusions, definitions and the limits shown in the schedule, the insurer agrees to pay eligible covered losses occurring within the policy period.</w:t>
      </w:r>
    </w:p>
    <w:p>
      <w:pPr>
        <w:pStyle w:val="Heading2"/>
      </w:pPr>
      <w:r>
        <w:t>3. Eligibility and Effective Date</w:t>
      </w:r>
    </w:p>
    <w:p>
      <w:r>
        <w:t>Coverage applies only to the insured person, property, organization or pet identified on an issued declarations page. Coverage starts on the effective date after acceptance and receipt of required premium.</w:t>
      </w:r>
    </w:p>
    <w:p>
      <w:pPr>
        <w:pStyle w:val="Heading2"/>
      </w:pPr>
      <w:r>
        <w:t>4. Premium and Renewal</w:t>
      </w:r>
    </w:p>
    <w:p>
      <w:r>
        <w:t>Premiums are payable according to the declarations page. Renewal is subject to underwriting, applicable law and written renewal terms. Changes to coverage require written endorsement.</w:t>
      </w:r>
    </w:p>
    <w:p>
      <w:pPr>
        <w:pStyle w:val="Heading2"/>
      </w:pPr>
      <w:r>
        <w:t>5. Claim Review and Appeals</w:t>
      </w:r>
    </w:p>
    <w:p>
      <w:r>
        <w:t>The insurer may request reasonable supporting evidence, investigate coverage and issue a written decision. A claimant may request internal reconsideration within 60 days of a denial; statutory appeal rights remain unaffected.</w:t>
      </w:r>
    </w:p>
    <w:p>
      <w:pPr>
        <w:pStyle w:val="Heading2"/>
      </w:pPr>
      <w:r>
        <w:t>6. Fraud and Material Misrepresentation</w:t>
      </w:r>
    </w:p>
    <w:p>
      <w:r>
        <w:t>Knowingly false claims may result in denial and other remedies permitted by applicable law. No provision overrides mandatory consumer protections.</w:t>
      </w:r>
    </w:p>
    <w:p>
      <w:pPr>
        <w:pStyle w:val="Heading2"/>
      </w:pPr>
      <w:r>
        <w:t>7. Cancellation and Termination</w:t>
      </w:r>
    </w:p>
    <w:p>
      <w:r>
        <w:t>Cancellation, nonrenewal and any premium refund follow the issued contract and applicable jurisdictional notice requirements. Claims for covered events before termination remain subject to contract terms.</w:t>
      </w:r>
    </w:p>
    <w:p>
      <w:pPr>
        <w:pStyle w:val="Heading2"/>
      </w:pPr>
      <w:r>
        <w:t>8. Privacy and Record Retention</w:t>
      </w:r>
    </w:p>
    <w:p>
      <w:r>
        <w:t>Claim data should be processed only for authorized underwriting, servicing and claims purposes, with role-based access, retention controls and secure transfer.</w:t>
      </w:r>
    </w:p>
    <w:p>
      <w:pPr>
        <w:pStyle w:val="Heading2"/>
      </w:pPr>
      <w:r>
        <w:t>9. Definitions</w:t>
      </w:r>
    </w:p>
    <w:p>
      <w:r>
        <w:t>Covered loss: an event that meets the insuring agreement and is not excluded. Deductible: the amount borne by the insured. Limit: the maximum payable subject to contract terms. Endorsement: an approved written change to the policy.</w:t>
      </w:r>
    </w:p>
    <w:p>
      <w:pPr>
        <w:pStyle w:val="Heading2"/>
      </w:pPr>
      <w:r>
        <w:t>10. Governing Terms</w:t>
      </w:r>
    </w:p>
    <w:p>
      <w:r>
        <w:t>This sample intentionally does not designate a jurisdiction. In an actual contract, state/country-specific mandatory language, insurer licensing, notices, schedules and endorsements control.</w:t>
      </w:r>
    </w:p>
    <w:p>
      <w:r>
        <w:t>Document control: Sample issuer: Northstar Demo Insurance Co. | Owner: Demo Policy Operations | Classification: Synthetic test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ONLY — NOT AN INSURANCE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NORTHSTAR DEMO INSURANCE  |  SYNTHETIC POLICY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