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56"/>
          <w:sz w:val="44"/>
        </w:rPr>
        <w:t>HeliumLearn Replit Build Spec</w:t>
        <w:br/>
      </w:r>
      <w:r>
        <w:rPr>
          <w:color w:val="464646"/>
          <w:sz w:val="23"/>
        </w:rPr>
        <w:t>Copy-paste instructions for rebuilding the website cleanly</w:t>
        <w:br/>
      </w:r>
    </w:p>
    <w:p>
      <w:pPr>
        <w:jc w:val="center"/>
      </w:pPr>
      <w:r>
        <w:t>Use this document as the source of truth for Replit AI.</w:t>
        <w:br/>
      </w:r>
      <w:r>
        <w:t>Scope: main website only. Blog stays separate. Hybrid learning only in Azamgarh, U.P.</w:t>
      </w:r>
    </w:p>
    <w:p/>
    <w:tbl>
      <w:tblPr>
        <w:tblStyle w:val="TableGrid"/>
        <w:tblW w:type="auto" w:w="0"/>
        <w:jc w:val="center"/>
        <w:tblLook w:firstColumn="1" w:firstRow="1" w:lastColumn="0" w:lastRow="0" w:noHBand="0" w:noVBand="1" w:val="04A0"/>
      </w:tblPr>
      <w:tblGrid>
        <w:gridCol w:w="4968"/>
        <w:gridCol w:w="4968"/>
      </w:tblGrid>
      <w:tr>
        <w:tc>
          <w:tcPr>
            <w:tcW w:type="dxa" w:w="4968"/>
            <w:shd w:fill="DCEBF7"/>
            <w:tcMar>
              <w:top w:w="80" w:type="dxa"/>
              <w:start w:w="90" w:type="dxa"/>
              <w:bottom w:w="80" w:type="dxa"/>
              <w:end w:w="90" w:type="dxa"/>
            </w:tcMar>
            <w:vAlign w:val="center"/>
          </w:tcPr>
          <w:p>
            <w:r>
              <w:t>Business direction</w:t>
            </w:r>
          </w:p>
        </w:tc>
        <w:tc>
          <w:tcPr>
            <w:tcW w:type="dxa" w:w="4968"/>
            <w:tcMar>
              <w:top w:w="80" w:type="dxa"/>
              <w:start w:w="90" w:type="dxa"/>
              <w:bottom w:w="80" w:type="dxa"/>
              <w:end w:w="90" w:type="dxa"/>
            </w:tcMar>
            <w:vAlign w:val="center"/>
          </w:tcPr>
          <w:p>
            <w:r>
              <w:t>Online-first EdTech platform.</w:t>
            </w:r>
          </w:p>
        </w:tc>
      </w:tr>
      <w:tr>
        <w:tc>
          <w:tcPr>
            <w:tcW w:type="dxa" w:w="4968"/>
            <w:shd w:fill="DCEBF7"/>
            <w:tcMar>
              <w:top w:w="80" w:type="dxa"/>
              <w:start w:w="90" w:type="dxa"/>
              <w:bottom w:w="80" w:type="dxa"/>
              <w:end w:w="90" w:type="dxa"/>
            </w:tcMar>
            <w:vAlign w:val="center"/>
          </w:tcPr>
          <w:p>
            <w:r>
              <w:t>Allowed exception</w:t>
            </w:r>
          </w:p>
        </w:tc>
        <w:tc>
          <w:tcPr>
            <w:tcW w:type="dxa" w:w="4968"/>
            <w:tcMar>
              <w:top w:w="80" w:type="dxa"/>
              <w:start w:w="90" w:type="dxa"/>
              <w:bottom w:w="80" w:type="dxa"/>
              <w:end w:w="90" w:type="dxa"/>
            </w:tcMar>
            <w:vAlign w:val="center"/>
          </w:tcPr>
          <w:p>
            <w:r>
              <w:t>Hybrid learning only in Azamgarh, U.P.</w:t>
            </w:r>
          </w:p>
        </w:tc>
      </w:tr>
      <w:tr>
        <w:tc>
          <w:tcPr>
            <w:tcW w:type="dxa" w:w="4968"/>
            <w:shd w:fill="DCEBF7"/>
            <w:tcMar>
              <w:top w:w="80" w:type="dxa"/>
              <w:start w:w="90" w:type="dxa"/>
              <w:bottom w:w="80" w:type="dxa"/>
              <w:end w:w="90" w:type="dxa"/>
            </w:tcMar>
            <w:vAlign w:val="center"/>
          </w:tcPr>
          <w:p>
            <w:r>
              <w:t>Primary CTA</w:t>
            </w:r>
          </w:p>
        </w:tc>
        <w:tc>
          <w:tcPr>
            <w:tcW w:type="dxa" w:w="4968"/>
            <w:tcMar>
              <w:top w:w="80" w:type="dxa"/>
              <w:start w:w="90" w:type="dxa"/>
              <w:bottom w:w="80" w:type="dxa"/>
              <w:end w:w="90" w:type="dxa"/>
            </w:tcMar>
            <w:vAlign w:val="center"/>
          </w:tcPr>
          <w:p>
            <w:r>
              <w:t>Download Helium App (Android).</w:t>
            </w:r>
          </w:p>
        </w:tc>
      </w:tr>
      <w:tr>
        <w:tc>
          <w:tcPr>
            <w:tcW w:type="dxa" w:w="4968"/>
            <w:shd w:fill="DCEBF7"/>
            <w:tcMar>
              <w:top w:w="80" w:type="dxa"/>
              <w:start w:w="90" w:type="dxa"/>
              <w:bottom w:w="80" w:type="dxa"/>
              <w:end w:w="90" w:type="dxa"/>
            </w:tcMar>
            <w:vAlign w:val="center"/>
          </w:tcPr>
          <w:p>
            <w:r>
              <w:t>Do not rebuild</w:t>
            </w:r>
          </w:p>
        </w:tc>
        <w:tc>
          <w:tcPr>
            <w:tcW w:type="dxa" w:w="4968"/>
            <w:tcMar>
              <w:top w:w="80" w:type="dxa"/>
              <w:start w:w="90" w:type="dxa"/>
              <w:bottom w:w="80" w:type="dxa"/>
              <w:end w:w="90" w:type="dxa"/>
            </w:tcMar>
            <w:vAlign w:val="center"/>
          </w:tcPr>
          <w:p>
            <w:r>
              <w:t>WordPress blog, ASTEX, Shakti, legacy funnels.</w:t>
            </w:r>
          </w:p>
        </w:tc>
      </w:tr>
    </w:tbl>
    <w:p>
      <w:r>
        <w:br w:type="page"/>
      </w:r>
    </w:p>
    <w:p>
      <w:pPr>
        <w:pStyle w:val="Heading1"/>
      </w:pPr>
      <w:r>
        <w:t>1. Objective</w:t>
      </w:r>
    </w:p>
    <w:p>
      <w:pPr>
        <w:spacing w:after="120"/>
      </w:pPr>
      <w:r>
        <w:t>Rebuild the HeliumLearn main website as a clean, enterprise-grade, online-first EdTech marketing site that pushes app downloads and counselling conversions.</w:t>
      </w:r>
    </w:p>
    <w:p>
      <w:pPr>
        <w:spacing w:after="120"/>
      </w:pPr>
      <w:r>
        <w:t>Do not redesign the WordPress blog inside this project. The blog must remain separate and only be linked from the footer.</w:t>
      </w:r>
    </w:p>
    <w:p>
      <w:pPr>
        <w:pStyle w:val="Heading1"/>
      </w:pPr>
      <w:r>
        <w:t>2. Non-Negotiable Rules</w:t>
      </w:r>
    </w:p>
    <w:p>
      <w:pPr>
        <w:spacing w:after="60"/>
        <w:ind w:left="288"/>
      </w:pPr>
      <w:r>
        <w:t>• Use one public brand message: online learning first.</w:t>
      </w:r>
    </w:p>
    <w:p>
      <w:pPr>
        <w:spacing w:after="60"/>
        <w:ind w:left="288"/>
      </w:pPr>
      <w:r>
        <w:t>• Keep hybrid learning only for the Azamgarh branch.</w:t>
      </w:r>
    </w:p>
    <w:p>
      <w:pPr>
        <w:spacing w:after="60"/>
        <w:ind w:left="288"/>
      </w:pPr>
      <w:r>
        <w:t>• Remove ASTEX, Shakti, FAQs, and Blogs from the header.</w:t>
      </w:r>
    </w:p>
    <w:p>
      <w:pPr>
        <w:spacing w:after="60"/>
        <w:ind w:left="288"/>
      </w:pPr>
      <w:r>
        <w:t>• Keep Blog and FAQs in the footer only.</w:t>
      </w:r>
    </w:p>
    <w:p>
      <w:pPr>
        <w:spacing w:after="60"/>
        <w:ind w:left="288"/>
      </w:pPr>
      <w:r>
        <w:t>• Primary CTA = Download App. Secondary CTA = Book Counselling.</w:t>
      </w:r>
    </w:p>
    <w:p>
      <w:pPr>
        <w:spacing w:after="60"/>
        <w:ind w:left="288"/>
      </w:pPr>
      <w:r>
        <w:t>• Do not publish any unverified claims, ranks, or outcomes.</w:t>
      </w:r>
    </w:p>
    <w:p>
      <w:pPr>
        <w:pStyle w:val="Heading1"/>
      </w:pPr>
      <w:r>
        <w:t>3. Required Site Pages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Mar>
              <w:top w:w="80" w:type="dxa"/>
              <w:start w:w="90" w:type="dxa"/>
              <w:bottom w:w="80" w:type="dxa"/>
              <w:end w:w="90" w:type="dxa"/>
            </w:tcMar>
          </w:tcPr>
          <w:p>
            <w:r>
              <w:rPr>
                <w:b/>
                <w:color w:val="FFFFFF"/>
              </w:rPr>
              <w:t>Page</w:t>
            </w:r>
          </w:p>
        </w:tc>
        <w:tc>
          <w:tcPr>
            <w:tcW w:type="dxa" w:w="4968"/>
            <w:shd w:fill="1F4E79"/>
            <w:tcMar>
              <w:top w:w="80" w:type="dxa"/>
              <w:start w:w="90" w:type="dxa"/>
              <w:bottom w:w="80" w:type="dxa"/>
              <w:end w:w="90" w:type="dxa"/>
            </w:tcMar>
          </w:tcPr>
          <w:p>
            <w:r>
              <w:rPr>
                <w:b/>
                <w:color w:val="FFFFFF"/>
              </w:rPr>
              <w:t>Purpose</w:t>
            </w:r>
          </w:p>
        </w:tc>
      </w:tr>
      <w:tr>
        <w:tc>
          <w:tcPr>
            <w:tcW w:type="dxa" w:w="4968"/>
            <w:tcMar>
              <w:top w:w="80" w:type="dxa"/>
              <w:start w:w="90" w:type="dxa"/>
              <w:bottom w:w="80" w:type="dxa"/>
              <w:end w:w="90" w:type="dxa"/>
            </w:tcMar>
          </w:tcPr>
          <w:p>
            <w:r>
              <w:t>Home</w:t>
            </w:r>
          </w:p>
        </w:tc>
        <w:tc>
          <w:tcPr>
            <w:tcW w:type="dxa" w:w="4968"/>
            <w:tcMar>
              <w:top w:w="80" w:type="dxa"/>
              <w:start w:w="90" w:type="dxa"/>
              <w:bottom w:w="80" w:type="dxa"/>
              <w:end w:w="90" w:type="dxa"/>
            </w:tcMar>
          </w:tcPr>
          <w:p>
            <w:r>
              <w:t>Hero, app CTA, course grid, faculty trust, app benefits, counselling CTA.</w:t>
            </w:r>
          </w:p>
        </w:tc>
      </w:tr>
      <w:tr>
        <w:tc>
          <w:tcPr>
            <w:tcW w:type="dxa" w:w="4968"/>
            <w:tcMar>
              <w:top w:w="80" w:type="dxa"/>
              <w:start w:w="90" w:type="dxa"/>
              <w:bottom w:w="80" w:type="dxa"/>
              <w:end w:w="90" w:type="dxa"/>
            </w:tcMar>
          </w:tcPr>
          <w:p>
            <w:r>
              <w:t>Courses</w:t>
            </w:r>
          </w:p>
        </w:tc>
        <w:tc>
          <w:tcPr>
            <w:tcW w:type="dxa" w:w="4968"/>
            <w:tcMar>
              <w:top w:w="80" w:type="dxa"/>
              <w:start w:w="90" w:type="dxa"/>
              <w:bottom w:w="80" w:type="dxa"/>
              <w:end w:w="90" w:type="dxa"/>
            </w:tcMar>
          </w:tcPr>
          <w:p>
            <w:r>
              <w:t>One hub for all tracks.</w:t>
            </w:r>
          </w:p>
        </w:tc>
      </w:tr>
      <w:tr>
        <w:tc>
          <w:tcPr>
            <w:tcW w:type="dxa" w:w="4968"/>
            <w:tcMar>
              <w:top w:w="80" w:type="dxa"/>
              <w:start w:w="90" w:type="dxa"/>
              <w:bottom w:w="80" w:type="dxa"/>
              <w:end w:w="90" w:type="dxa"/>
            </w:tcMar>
          </w:tcPr>
          <w:p>
            <w:r>
              <w:t>9th</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10th</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11th</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12th</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IIT-JEE</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NEET-UG</w:t>
            </w:r>
          </w:p>
        </w:tc>
        <w:tc>
          <w:tcPr>
            <w:tcW w:type="dxa" w:w="4968"/>
            <w:tcMar>
              <w:top w:w="80" w:type="dxa"/>
              <w:start w:w="90" w:type="dxa"/>
              <w:bottom w:w="80" w:type="dxa"/>
              <w:end w:w="90" w:type="dxa"/>
            </w:tcMar>
          </w:tcPr>
          <w:p>
            <w:r>
              <w:t>Standard course page.</w:t>
            </w:r>
          </w:p>
        </w:tc>
      </w:tr>
      <w:tr>
        <w:tc>
          <w:tcPr>
            <w:tcW w:type="dxa" w:w="4968"/>
            <w:tcMar>
              <w:top w:w="80" w:type="dxa"/>
              <w:start w:w="90" w:type="dxa"/>
              <w:bottom w:w="80" w:type="dxa"/>
              <w:end w:w="90" w:type="dxa"/>
            </w:tcMar>
          </w:tcPr>
          <w:p>
            <w:r>
              <w:t>Faculty</w:t>
            </w:r>
          </w:p>
        </w:tc>
        <w:tc>
          <w:tcPr>
            <w:tcW w:type="dxa" w:w="4968"/>
            <w:tcMar>
              <w:top w:w="80" w:type="dxa"/>
              <w:start w:w="90" w:type="dxa"/>
              <w:bottom w:w="80" w:type="dxa"/>
              <w:end w:w="90" w:type="dxa"/>
            </w:tcMar>
          </w:tcPr>
          <w:p>
            <w:r>
              <w:t>Verified teacher profiles.</w:t>
            </w:r>
          </w:p>
        </w:tc>
      </w:tr>
      <w:tr>
        <w:tc>
          <w:tcPr>
            <w:tcW w:type="dxa" w:w="4968"/>
            <w:tcMar>
              <w:top w:w="80" w:type="dxa"/>
              <w:start w:w="90" w:type="dxa"/>
              <w:bottom w:w="80" w:type="dxa"/>
              <w:end w:w="90" w:type="dxa"/>
            </w:tcMar>
          </w:tcPr>
          <w:p>
            <w:r>
              <w:t>App</w:t>
            </w:r>
          </w:p>
        </w:tc>
        <w:tc>
          <w:tcPr>
            <w:tcW w:type="dxa" w:w="4968"/>
            <w:tcMar>
              <w:top w:w="80" w:type="dxa"/>
              <w:start w:w="90" w:type="dxa"/>
              <w:bottom w:w="80" w:type="dxa"/>
              <w:end w:w="90" w:type="dxa"/>
            </w:tcMar>
          </w:tcPr>
          <w:p>
            <w:r>
              <w:t>App benefits and Play Store CTA.</w:t>
            </w:r>
          </w:p>
        </w:tc>
      </w:tr>
      <w:tr>
        <w:tc>
          <w:tcPr>
            <w:tcW w:type="dxa" w:w="4968"/>
            <w:tcMar>
              <w:top w:w="80" w:type="dxa"/>
              <w:start w:w="90" w:type="dxa"/>
              <w:bottom w:w="80" w:type="dxa"/>
              <w:end w:w="90" w:type="dxa"/>
            </w:tcMar>
          </w:tcPr>
          <w:p>
            <w:r>
              <w:t>Contact</w:t>
            </w:r>
          </w:p>
        </w:tc>
        <w:tc>
          <w:tcPr>
            <w:tcW w:type="dxa" w:w="4968"/>
            <w:tcMar>
              <w:top w:w="80" w:type="dxa"/>
              <w:start w:w="90" w:type="dxa"/>
              <w:bottom w:w="80" w:type="dxa"/>
              <w:end w:w="90" w:type="dxa"/>
            </w:tcMar>
          </w:tcPr>
          <w:p>
            <w:r>
              <w:t>Support details, form, WhatsApp, phone.</w:t>
            </w:r>
          </w:p>
        </w:tc>
      </w:tr>
      <w:tr>
        <w:tc>
          <w:tcPr>
            <w:tcW w:type="dxa" w:w="4968"/>
            <w:tcMar>
              <w:top w:w="80" w:type="dxa"/>
              <w:start w:w="90" w:type="dxa"/>
              <w:bottom w:w="80" w:type="dxa"/>
              <w:end w:w="90" w:type="dxa"/>
            </w:tcMar>
          </w:tcPr>
          <w:p>
            <w:r>
              <w:t>Azamgarh</w:t>
            </w:r>
          </w:p>
        </w:tc>
        <w:tc>
          <w:tcPr>
            <w:tcW w:type="dxa" w:w="4968"/>
            <w:tcMar>
              <w:top w:w="80" w:type="dxa"/>
              <w:start w:w="90" w:type="dxa"/>
              <w:bottom w:w="80" w:type="dxa"/>
              <w:end w:w="90" w:type="dxa"/>
            </w:tcMar>
          </w:tcPr>
          <w:p>
            <w:r>
              <w:t>Only approved hybrid center page.</w:t>
            </w:r>
          </w:p>
        </w:tc>
      </w:tr>
      <w:tr>
        <w:tc>
          <w:tcPr>
            <w:tcW w:type="dxa" w:w="4968"/>
            <w:tcMar>
              <w:top w:w="80" w:type="dxa"/>
              <w:start w:w="90" w:type="dxa"/>
              <w:bottom w:w="80" w:type="dxa"/>
              <w:end w:w="90" w:type="dxa"/>
            </w:tcMar>
          </w:tcPr>
          <w:p>
            <w:r>
              <w:t>Privacy Policy</w:t>
            </w:r>
          </w:p>
        </w:tc>
        <w:tc>
          <w:tcPr>
            <w:tcW w:type="dxa" w:w="4968"/>
            <w:tcMar>
              <w:top w:w="80" w:type="dxa"/>
              <w:start w:w="90" w:type="dxa"/>
              <w:bottom w:w="80" w:type="dxa"/>
              <w:end w:w="90" w:type="dxa"/>
            </w:tcMar>
          </w:tcPr>
          <w:p>
            <w:r>
              <w:t>Footer page.</w:t>
            </w:r>
          </w:p>
        </w:tc>
      </w:tr>
      <w:tr>
        <w:tc>
          <w:tcPr>
            <w:tcW w:type="dxa" w:w="4968"/>
            <w:tcMar>
              <w:top w:w="80" w:type="dxa"/>
              <w:start w:w="90" w:type="dxa"/>
              <w:bottom w:w="80" w:type="dxa"/>
              <w:end w:w="90" w:type="dxa"/>
            </w:tcMar>
          </w:tcPr>
          <w:p>
            <w:r>
              <w:t>Terms</w:t>
            </w:r>
          </w:p>
        </w:tc>
        <w:tc>
          <w:tcPr>
            <w:tcW w:type="dxa" w:w="4968"/>
            <w:tcMar>
              <w:top w:w="80" w:type="dxa"/>
              <w:start w:w="90" w:type="dxa"/>
              <w:bottom w:w="80" w:type="dxa"/>
              <w:end w:w="90" w:type="dxa"/>
            </w:tcMar>
          </w:tcPr>
          <w:p>
            <w:r>
              <w:t>Footer page.</w:t>
            </w:r>
          </w:p>
        </w:tc>
      </w:tr>
    </w:tbl>
    <w:p>
      <w:pPr>
        <w:pStyle w:val="Heading1"/>
      </w:pPr>
      <w:r>
        <w:t>4. Header and Footer Rules</w:t>
      </w:r>
    </w:p>
    <w:p>
      <w:pPr>
        <w:spacing w:after="60"/>
        <w:ind w:left="288"/>
      </w:pPr>
      <w:r>
        <w:t>• Header should include: Home, Courses, Faculty, App, Contact, Download App CTA.</w:t>
      </w:r>
    </w:p>
    <w:p>
      <w:pPr>
        <w:spacing w:after="60"/>
        <w:ind w:left="288"/>
      </w:pPr>
      <w:r>
        <w:t>• Footer should include: Blog, FAQs, Privacy Policy, Terms, Contact, Azamgarh.</w:t>
      </w:r>
    </w:p>
    <w:p>
      <w:pPr>
        <w:spacing w:after="60"/>
        <w:ind w:left="288"/>
      </w:pPr>
      <w:r>
        <w:t>• Do not show ASTEX or Shakti anywhere in the main navigation.</w:t>
      </w:r>
    </w:p>
    <w:p>
      <w:pPr>
        <w:spacing w:after="60"/>
        <w:ind w:left="288"/>
      </w:pPr>
      <w:r>
        <w:t>• Do not show Blog in the header.</w:t>
      </w:r>
    </w:p>
    <w:p>
      <w:pPr>
        <w:pStyle w:val="Heading1"/>
      </w:pPr>
      <w:r>
        <w:t>5. Home Page Structure</w:t>
      </w:r>
    </w:p>
    <w:p>
      <w:pPr>
        <w:spacing w:after="60"/>
        <w:ind w:left="288"/>
      </w:pPr>
      <w:r>
        <w:t>• Hero: one clear message, one app download CTA, one counselling CTA.</w:t>
      </w:r>
    </w:p>
    <w:p>
      <w:pPr>
        <w:spacing w:after="60"/>
        <w:ind w:left="288"/>
      </w:pPr>
      <w:r>
        <w:t>• Course grid: 9th, 10th, 11th, 12th, IIT-JEE, NEET-UG.</w:t>
      </w:r>
    </w:p>
    <w:p>
      <w:pPr>
        <w:spacing w:after="60"/>
        <w:ind w:left="288"/>
      </w:pPr>
      <w:r>
        <w:t>• App benefits: live classes, doubt-solving, practice, behaviour analysis, weekly mentorship.</w:t>
      </w:r>
    </w:p>
    <w:p>
      <w:pPr>
        <w:spacing w:after="60"/>
        <w:ind w:left="288"/>
      </w:pPr>
      <w:r>
        <w:t>• Faculty credibility section.</w:t>
      </w:r>
    </w:p>
    <w:p>
      <w:pPr>
        <w:spacing w:after="60"/>
        <w:ind w:left="288"/>
      </w:pPr>
      <w:r>
        <w:t>• Student outcome section only if claims are verified.</w:t>
      </w:r>
    </w:p>
    <w:p>
      <w:pPr>
        <w:spacing w:after="60"/>
        <w:ind w:left="288"/>
      </w:pPr>
      <w:r>
        <w:t>• Azamgarh note in a small local branch block, not in the main hero.</w:t>
      </w:r>
    </w:p>
    <w:p>
      <w:pPr>
        <w:pStyle w:val="Heading1"/>
      </w:pPr>
      <w:r>
        <w:t>6. Course Page Template</w:t>
      </w:r>
    </w:p>
    <w:p>
      <w:pPr>
        <w:spacing w:after="60"/>
        <w:ind w:left="288"/>
      </w:pPr>
      <w:r>
        <w:t>• Overview</w:t>
      </w:r>
    </w:p>
    <w:p>
      <w:pPr>
        <w:spacing w:after="60"/>
        <w:ind w:left="288"/>
      </w:pPr>
      <w:r>
        <w:t>• Who it is for</w:t>
      </w:r>
    </w:p>
    <w:p>
      <w:pPr>
        <w:spacing w:after="60"/>
        <w:ind w:left="288"/>
      </w:pPr>
      <w:r>
        <w:t>• Curriculum / syllabus summary</w:t>
      </w:r>
    </w:p>
    <w:p>
      <w:pPr>
        <w:spacing w:after="60"/>
        <w:ind w:left="288"/>
      </w:pPr>
      <w:r>
        <w:t>• Weekly mentorship</w:t>
      </w:r>
    </w:p>
    <w:p>
      <w:pPr>
        <w:spacing w:after="60"/>
        <w:ind w:left="288"/>
      </w:pPr>
      <w:r>
        <w:t>• App workflow</w:t>
      </w:r>
    </w:p>
    <w:p>
      <w:pPr>
        <w:spacing w:after="60"/>
        <w:ind w:left="288"/>
      </w:pPr>
      <w:r>
        <w:t>• Test plan</w:t>
      </w:r>
    </w:p>
    <w:p>
      <w:pPr>
        <w:spacing w:after="60"/>
        <w:ind w:left="288"/>
      </w:pPr>
      <w:r>
        <w:t>• Faculty</w:t>
      </w:r>
    </w:p>
    <w:p>
      <w:pPr>
        <w:spacing w:after="60"/>
        <w:ind w:left="288"/>
      </w:pPr>
      <w:r>
        <w:t>• FAQs</w:t>
      </w:r>
    </w:p>
    <w:p>
      <w:pPr>
        <w:spacing w:after="60"/>
        <w:ind w:left="288"/>
      </w:pPr>
      <w:r>
        <w:t>• CTA block</w:t>
      </w:r>
    </w:p>
    <w:p>
      <w:pPr>
        <w:spacing w:after="60"/>
        <w:ind w:left="288"/>
      </w:pPr>
      <w:r>
        <w:t>• Add Course schema, FAQ schema, breadcrumb schema, unique title, unique meta description, and one canonical URL.</w:t>
      </w:r>
    </w:p>
    <w:p>
      <w:pPr>
        <w:pStyle w:val="Heading1"/>
      </w:pPr>
      <w:r>
        <w:t>7. Faculty Page Rules</w:t>
      </w:r>
    </w:p>
    <w:p>
      <w:pPr>
        <w:spacing w:after="60"/>
        <w:ind w:left="288"/>
      </w:pPr>
      <w:r>
        <w:t>• Use only verified public information.</w:t>
      </w:r>
    </w:p>
    <w:p>
      <w:pPr>
        <w:spacing w:after="60"/>
        <w:ind w:left="288"/>
      </w:pPr>
      <w:r>
        <w:t>• Create one profile card per faculty member.</w:t>
      </w:r>
    </w:p>
    <w:p>
      <w:pPr>
        <w:spacing w:after="60"/>
        <w:ind w:left="288"/>
      </w:pPr>
      <w:r>
        <w:t>• Include subject, experience, institutions, and specialization.</w:t>
      </w:r>
    </w:p>
    <w:p>
      <w:pPr>
        <w:spacing w:after="60"/>
        <w:ind w:left="288"/>
      </w:pPr>
      <w:r>
        <w:t>• Do not invent ranks, awards, or placement claims.</w:t>
      </w:r>
    </w:p>
    <w:p>
      <w:pPr>
        <w:pStyle w:val="Heading1"/>
      </w:pPr>
      <w:r>
        <w:t>8. Azamgarh Branch Rule</w:t>
      </w:r>
    </w:p>
    <w:p>
      <w:pPr>
        <w:spacing w:after="120"/>
      </w:pPr>
      <w:r>
        <w:t>Azamgarh is the only location allowed to show hybrid learning. Every other page must present Helium as online-first.</w:t>
      </w:r>
    </w:p>
    <w:p>
      <w:pPr>
        <w:pStyle w:val="Heading1"/>
      </w:pPr>
      <w:r>
        <w:t>9. SEO and Technical Rules</w:t>
      </w:r>
    </w:p>
    <w:p>
      <w:pPr>
        <w:spacing w:after="60"/>
        <w:ind w:left="288"/>
      </w:pPr>
      <w:r>
        <w:t>• One H1 per page.</w:t>
      </w:r>
    </w:p>
    <w:p>
      <w:pPr>
        <w:spacing w:after="60"/>
        <w:ind w:left="288"/>
      </w:pPr>
      <w:r>
        <w:t>• Unique metadata for every page.</w:t>
      </w:r>
    </w:p>
    <w:p>
      <w:pPr>
        <w:spacing w:after="60"/>
        <w:ind w:left="288"/>
      </w:pPr>
      <w:r>
        <w:t>• Clean internal linking.</w:t>
      </w:r>
    </w:p>
    <w:p>
      <w:pPr>
        <w:spacing w:after="60"/>
        <w:ind w:left="288"/>
      </w:pPr>
      <w:r>
        <w:t>• Image compression and lazy loading.</w:t>
      </w:r>
    </w:p>
    <w:p>
      <w:pPr>
        <w:spacing w:after="60"/>
        <w:ind w:left="288"/>
      </w:pPr>
      <w:r>
        <w:t>• Accessible forms and navigation.</w:t>
      </w:r>
    </w:p>
    <w:p>
      <w:pPr>
        <w:spacing w:after="60"/>
        <w:ind w:left="288"/>
      </w:pPr>
      <w:r>
        <w:t>• Analytics events: app_download_click, counselling_submit, course_view, faculty_view, branch_click.</w:t>
      </w:r>
    </w:p>
    <w:p>
      <w:pPr>
        <w:pStyle w:val="Heading1"/>
      </w:pPr>
      <w:r>
        <w:t>10. Replit AI Build Order</w:t>
      </w:r>
    </w:p>
    <w:p>
      <w:pPr>
        <w:spacing w:after="60"/>
        <w:ind w:left="288"/>
      </w:pPr>
      <w:r>
        <w:t>• Create the site shell and shared components.</w:t>
      </w:r>
    </w:p>
    <w:p>
      <w:pPr>
        <w:spacing w:after="60"/>
        <w:ind w:left="288"/>
      </w:pPr>
      <w:r>
        <w:t>• Build Home, Courses, App, Faculty, Contact, and Azamgarh pages.</w:t>
      </w:r>
    </w:p>
    <w:p>
      <w:pPr>
        <w:spacing w:after="60"/>
        <w:ind w:left="288"/>
      </w:pPr>
      <w:r>
        <w:t>• Build standardized course detail pages.</w:t>
      </w:r>
    </w:p>
    <w:p>
      <w:pPr>
        <w:spacing w:after="60"/>
        <w:ind w:left="288"/>
      </w:pPr>
      <w:r>
        <w:t>• Move Blog and FAQs to the footer only.</w:t>
      </w:r>
    </w:p>
    <w:p>
      <w:pPr>
        <w:spacing w:after="60"/>
        <w:ind w:left="288"/>
      </w:pPr>
      <w:r>
        <w:t>• Add SEO, schema, analytics, and redirects.</w:t>
      </w:r>
    </w:p>
    <w:p>
      <w:pPr>
        <w:spacing w:after="60"/>
        <w:ind w:left="288"/>
      </w:pPr>
      <w:r>
        <w:t>• QA every page for consistency and claim safety.</w:t>
      </w:r>
    </w:p>
    <w:p>
      <w:pPr>
        <w:pStyle w:val="Heading1"/>
      </w:pPr>
      <w:r>
        <w:t>11. Copy-Paste Prompt for Replit AI</w:t>
      </w:r>
    </w:p>
    <w:p>
      <w:pPr>
        <w:spacing w:after="120"/>
      </w:pPr>
      <w:r>
        <w:t>Rebuild HeliumLearn as an online-first EdTech marketing website. Keep hybrid learning only for Azamgarh, U.P. Remove ASTEX, Shakti, FAQs, and Blogs from the header. Move Blog and FAQs to the footer only. Make Download App the primary CTA and Book Counselling the secondary CTA. Create canonical pages for Home, Courses, 9th, 10th, 11th, 12th, IIT-JEE, NEET-UG, Faculty, App, Contact, Azamgarh, Privacy Policy, and Terms. Use verified faculty profiles only. Do not rebuild the WordPress blog in this project. Add SEO metadata, schema, accessibility, analytics events, and performance optimization. Do not publish any unverified numerical claim or achievement.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056"/>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24E8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230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