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608" w14:textId="40050553" w:rsidR="00BF22B5" w:rsidRPr="0031607C" w:rsidRDefault="00BF22B5" w:rsidP="00BF22B5">
      <w:pPr>
        <w:pStyle w:val="Title1"/>
        <w:spacing w:before="0" w:after="360" w:line="259" w:lineRule="auto"/>
        <w:ind w:left="994"/>
        <w:rPr>
          <w:rFonts w:eastAsia="PMingLiU"/>
          <w:sz w:val="28"/>
          <w:szCs w:val="28"/>
          <w:lang w:eastAsia="zh-TW"/>
        </w:rPr>
      </w:pPr>
      <w:r>
        <w:rPr>
          <w:sz w:val="28"/>
          <w:szCs w:val="28"/>
        </w:rPr>
        <w:t xml:space="preserve">KNOW THE GENRE, KNOW THE KEY: GENRE-CONDITIONED KEY PROFILE SELECTION FOR UNTAGGED MUSIC CATALOGS</w:t>
      </w:r>
    </w:p>
    <w:tbl>
      <w:tblPr>
        <w:tblW w:w="9571" w:type="dxa"/>
        <w:tblInd w:w="250" w:type="dxa"/>
        <w:tblLayout w:type="fixed"/>
        <w:tblLook w:val="0000" w:firstRow="0" w:lastRow="0" w:firstColumn="0" w:lastColumn="0" w:noHBand="0" w:noVBand="0"/>
      </w:tblPr>
      <w:tblGrid>
        <w:gridCol w:w="2714"/>
        <w:gridCol w:w="4143"/>
        <w:gridCol w:w="2714"/>
      </w:tblGrid>
      <w:tr w:rsidR="00BF22B5" w14:paraId="1874B094" w14:textId="77777777" w:rsidTr="00C42E20">
        <w:trPr>
          <w:trHeight w:val="259"/>
        </w:trPr>
        <w:tc>
          <w:tcPr>
            <w:tcW w:w="2714" w:type="dxa"/>
          </w:tcPr>
          <w:p w14:paraId="00D2E504" w14:textId="77777777" w:rsidR="00BF22B5" w:rsidRPr="001E7431" w:rsidRDefault="00BF22B5" w:rsidP="00BF22B5">
            <w:pPr>
              <w:pStyle w:val="ISMIRAuthor"/>
              <w:rPr>
                <w:szCs w:val="24"/>
              </w:rPr>
            </w:pPr>
            <w:r>
              <w:rPr>
                <w:szCs w:val="24"/>
              </w:rPr>
              <w:t>Pradeep Sathishkumar</w:t>
            </w:r>
          </w:p>
        </w:tc>
        <w:tc>
          <w:tcPr>
            <w:tcW w:w="4143" w:type="dxa"/>
          </w:tcPr>
          <w:p w14:paraId="35A87158" w14:textId="77777777" w:rsidR="00BF22B5" w:rsidRPr="001E7431" w:rsidRDefault="00BF22B5" w:rsidP="00BF22B5">
            <w:pPr>
              <w:pStyle w:val="ISMIRAuthor"/>
              <w:rPr>
                <w:szCs w:val="24"/>
              </w:rPr>
            </w:pPr>
            <w:r>
              <w:rPr>
                <w:szCs w:val="24"/>
              </w:rPr>
              <w:t/>
            </w:r>
          </w:p>
        </w:tc>
        <w:tc>
          <w:tcPr>
            <w:tcW w:w="2714" w:type="dxa"/>
          </w:tcPr>
          <w:p w14:paraId="1A10FADD" w14:textId="77777777" w:rsidR="00BF22B5" w:rsidRPr="001E7431" w:rsidRDefault="00BF22B5" w:rsidP="00BF22B5">
            <w:pPr>
              <w:pStyle w:val="ISMIRAuthor"/>
              <w:rPr>
                <w:szCs w:val="24"/>
              </w:rPr>
            </w:pPr>
            <w:r>
              <w:rPr>
                <w:szCs w:val="24"/>
              </w:rPr>
              <w:t/>
            </w:r>
          </w:p>
        </w:tc>
      </w:tr>
      <w:tr w:rsidR="00BF22B5" w:rsidRPr="000252AB" w14:paraId="0370D0B4" w14:textId="77777777" w:rsidTr="00C42E20">
        <w:trPr>
          <w:trHeight w:val="1060"/>
        </w:trPr>
        <w:tc>
          <w:tcPr>
            <w:tcW w:w="2714" w:type="dxa"/>
          </w:tcPr>
          <w:p w14:paraId="4FA6CB65" w14:textId="77777777" w:rsidR="00BF22B5" w:rsidRPr="001E7431" w:rsidRDefault="00BF22B5" w:rsidP="00BF22B5">
            <w:pPr>
              <w:pStyle w:val="ISMIRAffiliation"/>
              <w:rPr>
                <w:szCs w:val="24"/>
                <w:lang w:eastAsia="ja-JP"/>
              </w:rPr>
            </w:pPr>
            <w:r>
              <w:rPr>
                <w:szCs w:val="24"/>
              </w:rPr>
              <w:t/>
            </w:r>
            <w:r>
              <w:rPr>
                <w:rFonts w:hint="eastAsia"/>
                <w:szCs w:val="24"/>
                <w:lang w:eastAsia="ja-JP"/>
              </w:rPr>
              <w:t/>
            </w:r>
          </w:p>
          <w:p w14:paraId="4CD5D348" w14:textId="77777777" w:rsidR="00BF22B5" w:rsidRPr="001E7431" w:rsidRDefault="00BF22B5" w:rsidP="00BF22B5">
            <w:pPr>
              <w:pStyle w:val="ISMIRAffiliation"/>
              <w:rPr>
                <w:rFonts w:ascii="Courier New" w:hAnsi="Courier New" w:cs="Courier New"/>
                <w:szCs w:val="24"/>
                <w:lang w:val="es-ES"/>
              </w:rPr>
            </w:pPr>
            <w:r>
              <w:rPr>
                <w:rFonts w:ascii="Courier New" w:hAnsi="Courier New" w:cs="Courier New"/>
                <w:sz w:val="22"/>
                <w:szCs w:val="24"/>
              </w:rPr>
              <w:t/>
            </w:r>
            <w:r>
              <w:rPr>
                <w:rFonts w:ascii="Courier New" w:hAnsi="Courier New" w:cs="Courier New" w:hint="eastAsia"/>
                <w:sz w:val="22"/>
                <w:szCs w:val="24"/>
                <w:lang w:eastAsia="ja-JP"/>
              </w:rPr>
              <w:t/>
            </w:r>
            <w:r>
              <w:rPr>
                <w:rFonts w:ascii="Courier New" w:hAnsi="Courier New" w:cs="Courier New"/>
                <w:sz w:val="22"/>
                <w:szCs w:val="24"/>
              </w:rPr>
              <w:t/>
            </w:r>
          </w:p>
        </w:tc>
        <w:tc>
          <w:tcPr>
            <w:tcW w:w="4143" w:type="dxa"/>
            <w:tcBorders>
              <w:bottom w:val="nil"/>
            </w:tcBorders>
          </w:tcPr>
          <w:p w14:paraId="42175915" w14:textId="77777777" w:rsidR="00BF22B5" w:rsidRPr="009C71D5" w:rsidRDefault="00BF22B5" w:rsidP="00BF22B5">
            <w:pPr>
              <w:jc w:val="center"/>
              <w:rPr>
                <w:b/>
                <w:sz w:val="24"/>
                <w:szCs w:val="24"/>
                <w:lang w:val="en-GB" w:eastAsia="ja-JP"/>
              </w:rPr>
            </w:pPr>
            <w:r>
              <w:rPr>
                <w:rFonts w:hint="eastAsia"/>
                <w:b/>
                <w:sz w:val="24"/>
                <w:szCs w:val="24"/>
                <w:lang w:val="en-GB" w:eastAsia="ja-JP"/>
              </w:rPr>
              <w:t xml:space="preserve"/>
            </w:r>
            <w:r>
              <w:rPr>
                <w:b/>
                <w:sz w:val="24"/>
                <w:szCs w:val="24"/>
                <w:lang w:val="en-GB" w:eastAsia="ja-JP"/>
              </w:rPr>
              <w:br/>
            </w:r>
            <w:r>
              <w:rPr>
                <w:rFonts w:hint="eastAsia"/>
                <w:b/>
                <w:sz w:val="24"/>
                <w:szCs w:val="24"/>
                <w:lang w:val="en-GB" w:eastAsia="ja-JP"/>
              </w:rPr>
              <w:t/>
            </w:r>
          </w:p>
        </w:tc>
        <w:tc>
          <w:tcPr>
            <w:tcW w:w="2714" w:type="dxa"/>
            <w:tcBorders>
              <w:bottom w:val="nil"/>
            </w:tcBorders>
          </w:tcPr>
          <w:p w14:paraId="14C15200" w14:textId="77777777" w:rsidR="00BF22B5" w:rsidRPr="001E7431" w:rsidRDefault="00BF22B5" w:rsidP="00BF22B5">
            <w:pPr>
              <w:pStyle w:val="ISMIRAffiliation"/>
              <w:rPr>
                <w:szCs w:val="24"/>
                <w:lang w:eastAsia="ja-JP"/>
              </w:rPr>
            </w:pPr>
            <w:r>
              <w:rPr>
                <w:szCs w:val="24"/>
              </w:rPr>
              <w:t/>
            </w:r>
            <w:r>
              <w:rPr>
                <w:rFonts w:hint="eastAsia"/>
                <w:szCs w:val="24"/>
                <w:lang w:eastAsia="ja-JP"/>
              </w:rPr>
              <w:t/>
            </w:r>
          </w:p>
          <w:p w14:paraId="57737588" w14:textId="77777777" w:rsidR="00BF22B5" w:rsidRPr="001E7431" w:rsidRDefault="00BF22B5" w:rsidP="00BF22B5">
            <w:pPr>
              <w:pStyle w:val="ISMIRAffiliation"/>
              <w:rPr>
                <w:rFonts w:ascii="Courier New" w:hAnsi="Courier New" w:cs="Courier New"/>
                <w:b/>
                <w:szCs w:val="24"/>
                <w:lang w:eastAsia="ja-JP"/>
              </w:rPr>
            </w:pPr>
            <w:r>
              <w:rPr>
                <w:rFonts w:ascii="Courier New" w:hAnsi="Courier New" w:cs="Courier New" w:hint="eastAsia"/>
                <w:sz w:val="22"/>
                <w:szCs w:val="24"/>
                <w:lang w:eastAsia="ja-JP"/>
              </w:rPr>
              <w:t/>
            </w:r>
            <w:r>
              <w:rPr>
                <w:rFonts w:ascii="Courier New" w:hAnsi="Courier New" w:cs="Courier New"/>
                <w:sz w:val="22"/>
                <w:szCs w:val="24"/>
              </w:rPr>
              <w:t/>
            </w:r>
            <w:r>
              <w:rPr>
                <w:rFonts w:ascii="Courier New" w:hAnsi="Courier New" w:cs="Courier New" w:hint="eastAsia"/>
                <w:sz w:val="22"/>
                <w:szCs w:val="24"/>
                <w:lang w:eastAsia="ja-JP"/>
              </w:rPr>
              <w:t/>
            </w:r>
            <w:r>
              <w:rPr>
                <w:rFonts w:ascii="Courier New" w:hAnsi="Courier New" w:cs="Courier New"/>
                <w:sz w:val="22"/>
                <w:szCs w:val="24"/>
              </w:rPr>
              <w:t/>
            </w:r>
            <w:r>
              <w:rPr>
                <w:rFonts w:ascii="Courier New" w:hAnsi="Courier New" w:cs="Courier New" w:hint="eastAsia"/>
                <w:sz w:val="22"/>
                <w:szCs w:val="24"/>
                <w:lang w:eastAsia="ja-JP"/>
              </w:rPr>
              <w:t/>
            </w:r>
            <w:r>
              <w:rPr>
                <w:rFonts w:ascii="Courier New" w:hAnsi="Courier New" w:cs="Courier New"/>
                <w:sz w:val="22"/>
                <w:szCs w:val="24"/>
              </w:rPr>
              <w:t/>
            </w:r>
          </w:p>
        </w:tc>
      </w:tr>
    </w:tbl>
    <w:p w14:paraId="1A034B41" w14:textId="77777777" w:rsidR="00BF22B5" w:rsidRPr="00F47FDD" w:rsidRDefault="00BF22B5" w:rsidP="00BF22B5">
      <w:pPr>
        <w:spacing w:line="259" w:lineRule="auto"/>
        <w:rPr>
          <w:lang w:eastAsia="ja-JP"/>
        </w:rPr>
        <w:sectPr w:rsidR="00BF22B5" w:rsidRPr="00F47FDD" w:rsidSect="00016A20">
          <w:headerReference w:type="even" r:id="rId8"/>
          <w:headerReference w:type="default" r:id="rId9"/>
          <w:footnotePr>
            <w:numRestart w:val="eachPage"/>
          </w:footnotePr>
          <w:type w:val="continuous"/>
          <w:pgSz w:w="11907" w:h="16840" w:code="9"/>
          <w:pgMar w:top="1134" w:right="1077" w:bottom="1418" w:left="1077" w:header="720" w:footer="964" w:gutter="0"/>
          <w:cols w:space="720"/>
          <w:docGrid w:linePitch="272"/>
        </w:sectPr>
      </w:pPr>
    </w:p>
    <w:p>
      <w:pPr>
        <w:pStyle w:val="AbstractHeading"/>
      </w:pPr>
      <w:r>
        <w:t xml:space="preserve">ABSTRACT</w:t>
      </w:r>
    </w:p>
    <w:p>
      <w:pPr>
        <w:pStyle w:val="BodyText"/>
      </w:pPr>
      <w:r>
        <w:t xml:space="preserve">Automatic key detection typically applies a single fixed key-profile template, most often the Krumhansl-Schmuckler (K-S) profile derived from listener studies on tonal, mostly classical music, uniformly across all genres. We show this assumption is measurably wrong: the same K-S profile that reaches 79.2% exact-match accuracy on J.S. Bach’s Well-Tempered Clavier (Book 1, 48 tracks) drops to 44.5% on GiantSteps, a benchmark of 604 real, human-verified electronic dance tracks — a 35-point gap driven by genre, not audio quality. We introduce a lightweight, genre-conditioned routing system: a logistic-regression electronic/non-electronic classifier, trained and cross-validated only on the Free Music Archive (FMA) using its own genre metadata, selects between genre-matched key profiles at inference time. Evaluated end-to-end on two corpora held out entirely from training, the routed system lifts GiantSteps accuracy to 52.6% — capturing 87% of the oracle (perfect-routing) ceiling of 53.8% — while leaving Bach’s accuracy unchanged at 79.2%, matching its own oracle exactly. Even our unmodified fixed-profile baseline already exceeds two published academic baselines on GiantSteps. We position this as a practical building block for key-tagging untagged, mixed-genre catalogs — bedroom-producer archives and sample libraries — where genre-specific commercial tools are unavailable or closed.</w:t>
      </w:r>
    </w:p>
    <w:p w14:paraId="2C39CF3A" w14:textId="77777777" w:rsidR="00BF22B5" w:rsidRPr="00D55BF0" w:rsidRDefault="00091866" w:rsidP="007C7B66">
      <w:pPr>
        <w:rPr>
          <w:rStyle w:val="BodyTextChar"/>
        </w:rPr>
      </w:pPr>
      <w:r>
        <w:rPr>
          <w:noProof/>
        </w:rPr>
        <mc:AlternateContent>
          <mc:Choice Requires="wps">
            <w:drawing>
              <wp:anchor distT="0" distB="0" distL="114300" distR="114300" simplePos="0" relativeHeight="251657728" behindDoc="0" locked="1" layoutInCell="1" allowOverlap="0" wp14:anchorId="7E51426C" wp14:editId="6DE0FEC6">
                <wp:simplePos x="0" y="0"/>
                <wp:positionH relativeFrom="page">
                  <wp:posOffset>685800</wp:posOffset>
                </wp:positionH>
                <wp:positionV relativeFrom="page">
                  <wp:posOffset>8568690</wp:posOffset>
                </wp:positionV>
                <wp:extent cx="2958465" cy="810895"/>
                <wp:effectExtent l="0" t="0" r="0" b="8255"/>
                <wp:wrapSquare wrapText="bothSides"/>
                <wp:docPr id="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810895"/>
                        </a:xfrm>
                        <a:prstGeom prst="rect">
                          <a:avLst/>
                        </a:prstGeom>
                        <a:solidFill>
                          <a:srgbClr val="FFFFFF"/>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6538A87" w14:textId="72F5BF4A" w:rsidR="00016A20" w:rsidRPr="007C7B66" w:rsidRDefault="00016A20" w:rsidP="00016A20">
                            <w:pPr>
                              <w:autoSpaceDE w:val="0"/>
                              <w:autoSpaceDN w:val="0"/>
                              <w:adjustRightInd w:val="0"/>
                              <w:spacing w:before="240"/>
                              <w:rPr>
                                <w:sz w:val="16"/>
                                <w:szCs w:val="16"/>
                                <w:lang w:val="en-GB" w:eastAsia="es-ES"/>
                              </w:rPr>
                            </w:pPr>
                            <w:r>
                              <w:rPr>
                                <w:noProof/>
                              </w:rPr>
                              <w:drawing>
                                <wp:inline distT="0" distB="0" distL="0" distR="0" wp14:anchorId="6DF6274B" wp14:editId="174E68AD">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0" w:name="_Hlk40789277"/>
                            <w:r>
                              <w:rPr>
                                <w:sz w:val="16"/>
                                <w:szCs w:val="16"/>
                                <w:lang w:val="en-GB" w:eastAsia="es-ES"/>
                              </w:rPr>
                              <w:t xml:space="preserve">© Pradeep Sathishkumar. Licensed under a Creative Commons Attribution 4.0 International License (CC BY 4.0). </w:t>
                            </w:r>
                            <w:r>
                              <w:rPr>
                                <w:b/>
                                <w:sz w:val="16"/>
                                <w:szCs w:val="16"/>
                                <w:lang w:val="en-GB" w:eastAsia="es-ES"/>
                              </w:rPr>
                              <w:t>Attribution:</w:t>
                            </w:r>
                            <w:r>
                              <w:rPr>
                                <w:sz w:val="16"/>
                                <w:szCs w:val="16"/>
                                <w:lang w:val="en-GB" w:eastAsia="es-ES"/>
                              </w:rPr>
                              <w:t xml:space="preserve"> Pradeep Sathishkumar, “Know the Genre, Know the Key: Genre-Conditioned Key Profile Selection for Untagged Music Catalogs”, submitted to </w:t>
                            </w:r>
                            <w:r>
                              <w:rPr>
                                <w:rFonts w:eastAsia="SimSun" w:hint="eastAsia"/>
                                <w:sz w:val="16"/>
                                <w:szCs w:val="16"/>
                                <w:lang w:val="en-GB" w:eastAsia="zh-CN"/>
                              </w:rPr>
                              <w:t xml:space="preserve"/>
                            </w:r>
                            <w:r>
                              <w:rPr>
                                <w:sz w:val="16"/>
                                <w:szCs w:val="16"/>
                                <w:lang w:val="en-GB" w:eastAsia="es-ES"/>
                              </w:rPr>
                              <w:t xml:space="preserve"/>
                            </w:r>
                            <w:r>
                              <w:rPr>
                                <w:i/>
                                <w:iCs/>
                                <w:sz w:val="16"/>
                                <w:szCs w:val="16"/>
                                <w:lang w:val="en-GB" w:eastAsia="es-ES"/>
                              </w:rPr>
                              <w:t>ISMIR</w:t>
                            </w:r>
                            <w:r>
                              <w:rPr>
                                <w:sz w:val="16"/>
                                <w:szCs w:val="16"/>
                                <w:lang w:val="en-GB" w:eastAsia="es-ES"/>
                              </w:rPr>
                              <w:t>, 2026.</w:t>
                            </w:r>
                            <w:bookmarkEnd w:id="0"/>
                          </w:p>
                          <w:p w14:paraId="3586274C" w14:textId="12A6DC06" w:rsidR="007E4294" w:rsidRPr="00016A20" w:rsidRDefault="007E4294" w:rsidP="00C8715D">
                            <w:pPr>
                              <w:autoSpaceDE w:val="0"/>
                              <w:autoSpaceDN w:val="0"/>
                              <w:adjustRightInd w:val="0"/>
                              <w:rPr>
                                <w:sz w:val="16"/>
                                <w:szCs w:val="16"/>
                                <w:lang w:val="en-GB" w:eastAsia="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1426C" id="_x0000_t202" coordsize="21600,21600" o:spt="202" path="m,l,21600r21600,l21600,xe">
                <v:stroke joinstyle="miter"/>
                <v:path gradientshapeok="t" o:connecttype="rect"/>
              </v:shapetype>
              <v:shape id="Text Box 82" o:spid="_x0000_s1026" type="#_x0000_t202" style="position:absolute;left:0;text-align:left;margin-left:54pt;margin-top:674.7pt;width:232.95pt;height:63.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wUF6wEAALoDAAAOAAAAZHJzL2Uyb0RvYy54bWysU9tu2zAMfR+wfxD0vjgJliI14hRdigwD uq1Atw+QZdkWJosapcTOvn6UbKe7vA3zg0CJ5CHPIb27GzrDzgq9Blvw1WLJmbISKm2bgn/9cnyz 5cwHYSthwKqCX5Tnd/vXr3a9y9UaWjCVQkYg1ue9K3gbgsuzzMtWdcIvwClLzhqwE4Gu2GQVip7Q O5Otl8ubrAesHIJU3tPrw+jk+4Rf10qGz3XtVWCm4NRbSCems4xntt+JvEHhWi2nNsQ/dNEJbano FepBBMFOqP+C6rRE8FCHhYQug7rWUiUOxGa1/IPNcyucSlxIHO+uMvn/Bys/nZ/dE7IwvIOBBphI ePcI8ptnFg6tsI26R4S+VaKiwqsoWdY7n0+pUWqf+whS9h+hoiGLU4AENNTYRVWIJyN0GsDlKroa ApP0uL7dbN/ebDiT5NuultvbTSoh8jnboQ/vFXQsGgVHGmpCF+dHH2I3Ip9DYjEPRldHbUy6YFMe DLKzoAU4pm9C/y3M2BhsIaaNiPEl0YzMRo5hKAdyRrolVBcijDAuFP0AZLSAPzjraZkK7r+fBCrO zAdLosXNmw2cjXI2hJWUWvDA2WgewrihJ4e6aQl5HIuFexK21onzSxdTn7QgSYppmeMG/npPUS+/ 3P4nAAAA//8DAFBLAwQUAAYACAAAACEA3TjhWeIAAAANAQAADwAAAGRycy9kb3ducmV2LnhtbEyP QU/CQBCF7yb+h82YeDGyBSqF2i1RkJseQMJ56K5tY3e26W5p+feOJ73Nm3l5871sPdpGXEzna0cK ppMIhKHC6ZpKBcfP3eMShA9IGhtHRsHVeFjntzcZptoNtDeXQygFh5BPUUEVQptK6YvKWPQT1xri 25frLAaWXSl1hwOH20bOomghLdbEHypszaYyxfehtwoW264f9rR52B7f3vGjLWen1+tJqfu78eUZ RDBj+DPDLz6jQ85MZ9eT9qJhHS25S+BhHq9iEGx5SuYrEGdexUkyBZln8n+L/AcAAP//AwBQSwEC LQAUAAYACAAAACEAtoM4kv4AAADhAQAAEwAAAAAAAAAAAAAAAAAAAAAAW0NvbnRlbnRfVHlwZXNd LnhtbFBLAQItABQABgAIAAAAIQA4/SH/1gAAAJQBAAALAAAAAAAAAAAAAAAAAC8BAABfcmVscy8u cmVsc1BLAQItABQABgAIAAAAIQCqgwUF6wEAALoDAAAOAAAAAAAAAAAAAAAAAC4CAABkcnMvZTJv RG9jLnhtbFBLAQItABQABgAIAAAAIQDdOOFZ4gAAAA0BAAAPAAAAAAAAAAAAAAAAAEUEAABkcnMv ZG93bnJldi54bWxQSwUGAAAAAAQABADzAAAAVAUAAAAA " o:allowoverlap="f" stroked="f">
                <v:textbox inset="0,0,0,0">
                  <w:txbxContent>
                    <w:p w14:paraId="26538A87" w14:textId="72F5BF4A" w:rsidR="00016A20" w:rsidRPr="007C7B66" w:rsidRDefault="00016A20" w:rsidP="00016A20">
                      <w:pPr>
                        <w:autoSpaceDE w:val="0"/>
                        <w:autoSpaceDN w:val="0"/>
                        <w:adjustRightInd w:val="0"/>
                        <w:spacing w:before="240"/>
                        <w:rPr>
                          <w:sz w:val="16"/>
                          <w:szCs w:val="16"/>
                          <w:lang w:val="en-GB" w:eastAsia="es-ES"/>
                        </w:rPr>
                      </w:pPr>
                      <w:r>
                        <w:rPr>
                          <w:noProof/>
                        </w:rPr>
                        <w:drawing>
                          <wp:inline distT="0" distB="0" distL="0" distR="0" wp14:anchorId="6DF6274B" wp14:editId="174E68AD">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1" w:name="_Hlk40789277"/>
                      <w:r>
                        <w:rPr>
                          <w:sz w:val="16"/>
                          <w:szCs w:val="16"/>
                          <w:lang w:val="en-GB" w:eastAsia="es-ES"/>
                        </w:rPr>
                        <w:t xml:space="preserve">© Pradeep Sathishkumar. Licensed under a Creative Commons Attribution 4.0 International License (CC BY 4.0). </w:t>
                      </w:r>
                      <w:r>
                        <w:rPr>
                          <w:b/>
                          <w:sz w:val="16"/>
                          <w:szCs w:val="16"/>
                          <w:lang w:val="en-GB" w:eastAsia="es-ES"/>
                        </w:rPr>
                        <w:t>Attribution:</w:t>
                      </w:r>
                      <w:r>
                        <w:rPr>
                          <w:sz w:val="16"/>
                          <w:szCs w:val="16"/>
                          <w:lang w:val="en-GB" w:eastAsia="es-ES"/>
                        </w:rPr>
                        <w:t xml:space="preserve"> Pradeep Sathishkumar, “Know the Genre, Know the Key: Genre-Conditioned Key Profile Selection for Untagged Music Catalogs”, submitted to </w:t>
                      </w:r>
                      <w:r>
                        <w:rPr>
                          <w:rFonts w:eastAsia="SimSun" w:hint="eastAsia"/>
                          <w:sz w:val="16"/>
                          <w:szCs w:val="16"/>
                          <w:lang w:val="en-GB" w:eastAsia="zh-CN"/>
                        </w:rPr>
                        <w:t xml:space="preserve"/>
                      </w:r>
                      <w:r>
                        <w:rPr>
                          <w:sz w:val="16"/>
                          <w:szCs w:val="16"/>
                          <w:lang w:val="en-GB" w:eastAsia="es-ES"/>
                        </w:rPr>
                        <w:t xml:space="preserve"/>
                      </w:r>
                      <w:r>
                        <w:rPr>
                          <w:i/>
                          <w:iCs/>
                          <w:sz w:val="16"/>
                          <w:szCs w:val="16"/>
                          <w:lang w:val="en-GB" w:eastAsia="es-ES"/>
                        </w:rPr>
                        <w:t>ISMIR</w:t>
                      </w:r>
                      <w:r>
                        <w:rPr>
                          <w:sz w:val="16"/>
                          <w:szCs w:val="16"/>
                          <w:lang w:val="en-GB" w:eastAsia="es-ES"/>
                        </w:rPr>
                        <w:t>, 2026.</w:t>
                      </w:r>
                      <w:bookmarkEnd w:id="1"/>
                    </w:p>
                    <w:p w14:paraId="3586274C" w14:textId="12A6DC06" w:rsidR="007E4294" w:rsidRPr="00016A20" w:rsidRDefault="007E4294" w:rsidP="00C8715D">
                      <w:pPr>
                        <w:autoSpaceDE w:val="0"/>
                        <w:autoSpaceDN w:val="0"/>
                        <w:adjustRightInd w:val="0"/>
                        <w:rPr>
                          <w:sz w:val="16"/>
                          <w:szCs w:val="16"/>
                          <w:lang w:val="en-GB" w:eastAsia="es-ES"/>
                        </w:rPr>
                      </w:pPr>
                    </w:p>
                  </w:txbxContent>
                </v:textbox>
                <w10:wrap type="square" anchorx="page" anchory="page"/>
                <w10:anchorlock/>
              </v:shape>
            </w:pict>
          </mc:Fallback>
        </mc:AlternateContent>
      </w:r>
    </w:p>
    <w:p>
      <w:pPr>
        <w:pStyle w:val="First-LevelHeadings"/>
      </w:pPr>
      <w:r>
        <w:t xml:space="preserve">INTRODUCTION</w:t>
      </w:r>
    </w:p>
    <w:p>
      <w:pPr>
        <w:pStyle w:val="BodyText"/>
      </w:pPr>
      <w:r>
        <w:t xml:space="preserve">Automatic key detection underlies harmonic mixing, sample search, and catalog tagging, and nearly every open implementation correlates a track’s chroma against one fixed key-profile template — usually Krumhansl-Schmuckler (K-S) [1], derived from listener experiments on a narrow, largely tonal corpus. Proprietary tools such as Mixed-In-Key and Rekordbox report substantially higher accuracy on electronic material, but their internals are closed, and neither is accessible to open catalogs of bedroom-producer audio, sample libraries, or research corpora that need key metadata but cannot afford or access commercial tagging. This raises a concrete question: how much of the accuracy gap between a fixed academic profile and closed commercial tools is genre bias, and can a lightweight, open, and reproducible fix close it without retraining the key detector itself? We quantify this gap on two real, disjoint corpora and show that routing between genre-matched profiles with a classifier trained on a third, unrelated corpus closes most of it.</w:t>
      </w:r>
    </w:p>
    <w:p>
      <w:pPr>
        <w:pStyle w:val="First-LevelHeadings"/>
      </w:pPr>
      <w:r>
        <w:t xml:space="preserve">METHOD</w:t>
      </w:r>
    </w:p>
    <w:p>
      <w:pPr>
        <w:pStyle w:val="BodyText"/>
      </w:pPr>
      <w:r>
        <w:t xml:space="preserve">Key detection correlates a track’s mean 12-bin chroma vector (CQT, librosa [2]) against 24 rotated major/minor profile pairs and returns the best-correlating root and mode. We compare two profile sources: the K-S profile [1], and Essentia’s corpus-derived edmm profile [3], built from real EDM audio with a deliberately flat major-mode template reflecting how rare major keys are in electronic music. A binary genre classifier (logistic regression, scikit-learn [4], standardized features, balanced class weights) is trained exclusively on FMA [5] tracks labeled electronic / non-electronic via FMA’s own top-level genre metadata, using the same 144-dimensional descriptor (chroma, mel-spectrogram summary, tempo, spectral centroid/bandwidth/rolloff) already computed for retrieval. At inference, each track is routed to the EDM-tuned profile if predicted electronic, otherwise to the K-S profile.</w:t>
      </w:r>
    </w:p>
    <w:p>
      <w:pPr>
        <w:pStyle w:val="BodyTextwithIndent"/>
      </w:pPr>
      <w:r>
        <w:t xml:space="preserve">The evaluation protocol is the central methodological point: strict three-corpus separation. The classifier trains and cross-validates only on FMA. Key-detection accuracy is then measured purely as a downstream consequence of the classifier’s own predictions — not oracle genre labels — on two corpora it never saw during training: GiantSteps Key [6] (604 real, human-verified EDM tracks from Beatport) and J.S. Bach’s Well-Tempered Clavier Book 1 (48 public-domain tracks, a genre-opposite control).</w:t>
      </w:r>
    </w:p>
    <w:p>
      <w:pPr>
        <w:pStyle w:val="First-LevelHeadings"/>
      </w:pPr>
      <w:r>
        <w:t xml:space="preserve">RESULTS</w:t>
      </w:r>
    </w:p>
    <w:p>
      <w:pPr>
        <w:pStyle w:val="BodyText"/>
      </w:pPr>
      <w:r>
        <w:t xml:space="preserve">Table 1 reports exact key-match accuracy (root and mode) under four routing strategies. Genre-conditioned routing lifts GiantSteps accuracy from 44.5% to 52.6% — 87% of the 9.3-point oracle ceiling — while leaving Bach’s accuracy at 79.2%, identical to oracle routing; the classifier correctly identified genre for effectively all Bach tracks. On GiantSteps specifically, our unmodified K-S baseline (44.5%) already exceeds two baselines reported in the dataset’s own paper [6], QM-Key (39.4%) and Essentia’s default extractor (30.5%), and the routed system (52.6%) further surpasses KeyFinder (45.4%), though a gap remains to the closed commercial tools Mixed-In-Key (67.2%) and Rekordbox (71.9%).</w:t>
      </w:r>
    </w:p>
    <w:p w14:paraId="45B5ECD3" w14:textId="77777777" w:rsidR="005369AF" w:rsidRPr="005369AF" w:rsidRDefault="005369AF" w:rsidP="0080325A">
      <w:pPr>
        <w:rPr>
          <w:rFonts w:eastAsia="SimSun"/>
          <w:lang w:eastAsia="zh-CN"/>
        </w:rPr>
        <w:sectPr w:rsidR="005369AF" w:rsidRPr="005369AF" w:rsidSect="007522F9">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0" w:firstColumn="1" w:lastColumn="1" w:noHBand="0" w:noVBand="0"/>
      </w:tblPr>
      <w:tblGrid>
        <w:gridCol w:w="1650"/>
        <w:gridCol w:w="1650"/>
        <w:gridCol w:w="1650"/>
      </w:tblGrid>
      <w:tr>
        <w:trPr>
          <w:cantSplit/>
          <w:jc w:val="center"/>
        </w:trPr>
        <w:tc>
          <w:tcPr>
            <w:tcW w:w="1650" w:type="dxa"/>
            <w:vAlign w:val="center"/>
          </w:tcPr>
          <w:p>
            <w:pPr>
              <w:jc w:val="center"/>
            </w:pPr>
            <w:r>
              <w:rPr>
                <w:b/>
              </w:rPr>
              <w:t xml:space="preserve">Strategy</w:t>
            </w:r>
          </w:p>
        </w:tc>
        <w:tc>
          <w:tcPr>
            <w:tcW w:w="1650" w:type="dxa"/>
            <w:vAlign w:val="center"/>
          </w:tcPr>
          <w:p>
            <w:pPr>
              <w:jc w:val="center"/>
            </w:pPr>
            <w:r>
              <w:rPr>
                <w:b/>
              </w:rPr>
              <w:t xml:space="preserve">GiantSteps (n=604)</w:t>
            </w:r>
          </w:p>
        </w:tc>
        <w:tc>
          <w:tcPr>
            <w:tcW w:w="1650" w:type="dxa"/>
            <w:vAlign w:val="center"/>
          </w:tcPr>
          <w:p>
            <w:pPr>
              <w:jc w:val="center"/>
            </w:pPr>
            <w:r>
              <w:rPr>
                <w:b/>
              </w:rPr>
              <w:t xml:space="preserve">Bach WTC (n=48)</w:t>
            </w:r>
          </w:p>
        </w:tc>
      </w:tr>
      <w:tr>
        <w:trPr>
          <w:cantSplit/>
          <w:jc w:val="center"/>
        </w:trPr>
        <w:tc>
          <w:tcPr>
            <w:tcW w:w="1650" w:type="dxa"/>
            <w:vAlign w:val="center"/>
          </w:tcPr>
          <w:p>
            <w:pPr>
              <w:jc w:val="center"/>
            </w:pPr>
            <w:r>
              <w:t xml:space="preserve">Always K-S (fixed)</w:t>
            </w:r>
          </w:p>
        </w:tc>
        <w:tc>
          <w:tcPr>
            <w:tcW w:w="1650" w:type="dxa"/>
            <w:vAlign w:val="center"/>
          </w:tcPr>
          <w:p>
            <w:pPr>
              <w:jc w:val="center"/>
            </w:pPr>
            <w:r>
              <w:t xml:space="preserve">44.5%</w:t>
            </w:r>
          </w:p>
        </w:tc>
        <w:tc>
          <w:tcPr>
            <w:tcW w:w="1650" w:type="dxa"/>
            <w:vAlign w:val="center"/>
          </w:tcPr>
          <w:p>
            <w:pPr>
              <w:jc w:val="center"/>
            </w:pPr>
            <w:r>
              <w:t xml:space="preserve">79.2%</w:t>
            </w:r>
          </w:p>
        </w:tc>
      </w:tr>
      <w:tr>
        <w:trPr>
          <w:cantSplit/>
          <w:jc w:val="center"/>
        </w:trPr>
        <w:tc>
          <w:tcPr>
            <w:tcW w:w="1650" w:type="dxa"/>
            <w:vAlign w:val="center"/>
          </w:tcPr>
          <w:p>
            <w:pPr>
              <w:jc w:val="center"/>
            </w:pPr>
            <w:r>
              <w:t xml:space="preserve">Always EDM profile (fixed)</w:t>
            </w:r>
          </w:p>
        </w:tc>
        <w:tc>
          <w:tcPr>
            <w:tcW w:w="1650" w:type="dxa"/>
            <w:vAlign w:val="center"/>
          </w:tcPr>
          <w:p>
            <w:pPr>
              <w:jc w:val="center"/>
            </w:pPr>
            <w:r>
              <w:t xml:space="preserve">53.8%</w:t>
            </w:r>
          </w:p>
        </w:tc>
        <w:tc>
          <w:tcPr>
            <w:tcW w:w="1650" w:type="dxa"/>
            <w:vAlign w:val="center"/>
          </w:tcPr>
          <w:p>
            <w:pPr>
              <w:jc w:val="center"/>
            </w:pPr>
            <w:r>
              <w:t xml:space="preserve">43.8%</w:t>
            </w:r>
          </w:p>
        </w:tc>
      </w:tr>
      <w:tr>
        <w:trPr>
          <w:cantSplit/>
          <w:jc w:val="center"/>
        </w:trPr>
        <w:tc>
          <w:tcPr>
            <w:tcW w:w="1650" w:type="dxa"/>
            <w:vAlign w:val="center"/>
          </w:tcPr>
          <w:p>
            <w:pPr>
              <w:jc w:val="center"/>
            </w:pPr>
            <w:r>
              <w:t xml:space="preserve">Oracle routing (true genre)</w:t>
            </w:r>
          </w:p>
        </w:tc>
        <w:tc>
          <w:tcPr>
            <w:tcW w:w="1650" w:type="dxa"/>
            <w:vAlign w:val="center"/>
          </w:tcPr>
          <w:p>
            <w:pPr>
              <w:jc w:val="center"/>
            </w:pPr>
            <w:r>
              <w:t xml:space="preserve">53.8%</w:t>
            </w:r>
          </w:p>
        </w:tc>
        <w:tc>
          <w:tcPr>
            <w:tcW w:w="1650" w:type="dxa"/>
            <w:vAlign w:val="center"/>
          </w:tcPr>
          <w:p>
            <w:pPr>
              <w:jc w:val="center"/>
            </w:pPr>
            <w:r>
              <w:t xml:space="preserve">79.2%</w:t>
            </w:r>
          </w:p>
        </w:tc>
      </w:tr>
      <w:tr>
        <w:trPr>
          <w:cantSplit/>
          <w:jc w:val="center"/>
        </w:trPr>
        <w:tc>
          <w:tcPr>
            <w:tcW w:w="1650" w:type="dxa"/>
            <w:vAlign w:val="center"/>
          </w:tcPr>
          <w:p>
            <w:pPr>
              <w:jc w:val="center"/>
            </w:pPr>
            <w:r>
              <w:t xml:space="preserve">Classifier-routed (ours)</w:t>
            </w:r>
          </w:p>
        </w:tc>
        <w:tc>
          <w:tcPr>
            <w:tcW w:w="1650" w:type="dxa"/>
            <w:vAlign w:val="center"/>
          </w:tcPr>
          <w:p>
            <w:pPr>
              <w:jc w:val="center"/>
            </w:pPr>
            <w:r>
              <w:t xml:space="preserve">52.6%</w:t>
            </w:r>
          </w:p>
        </w:tc>
        <w:tc>
          <w:tcPr>
            <w:tcW w:w="1650" w:type="dxa"/>
            <w:vAlign w:val="center"/>
          </w:tcPr>
          <w:p>
            <w:pPr>
              <w:jc w:val="center"/>
            </w:pPr>
            <w:r>
              <w:t xml:space="preserve">79.2%</w:t>
            </w:r>
          </w:p>
        </w:tc>
      </w:tr>
    </w:tbl>
    <w:p>
      <w:pPr>
        <w:pStyle w:val="Caption"/>
      </w:pPr>
      <w:r>
        <w:rPr>
          <w:b/>
        </w:rPr>
        <w:t xml:space="preserve">Table 1.</w:t>
      </w:r>
      <w:r>
        <w:t xml:space="preserve"> Exact key-match accuracy (root + mode) by routing strategy.</w:t>
      </w:r>
    </w:p>
    <w:p>
      <w:pPr>
        <w:pStyle w:val="First-LevelHeadings"/>
      </w:pPr>
      <w:r>
        <w:t xml:space="preserve">CONCLUSION AND FUTURE WORK</w:t>
      </w:r>
    </w:p>
    <w:p>
      <w:pPr>
        <w:pStyle w:val="BodyText"/>
      </w:pPr>
      <w:r>
        <w:t xml:space="preserve">Genre-conditioned key-profile routing is a cheap, reproducible way to correct a real, measurable genre bias in a standard key-detection approach: one lightweight classifier, no changes to the underlying detector, and validated with strict train/held-out corpus separation across three real datasets. The immediate use case is auto-tagging key metadata for untagged, mixed-genre catalogs that lack access to closed commercial tools. The genre split here is binary (electronic / non-electronic); extending it to a broader genre taxonomy as more labeled real data becomes available is the natural next step, along with integrating this routing into full retrieval-quality evaluation on real audio rather than key accuracy alone.</w:t>
      </w:r>
    </w:p>
    <w:p>
      <w:pPr>
        <w:pStyle w:val="First-LevelHeadings"/>
      </w:pPr>
      <w:r>
        <w:t xml:space="preserve">AI USAGE STATEMENT</w:t>
      </w:r>
    </w:p>
    <w:p>
      <w:pPr>
        <w:pStyle w:val="BodyText"/>
      </w:pPr>
      <w:r>
        <w:t xml:space="preserve">An AI assistant was used throughout this project to assist with code implementation and experiment scripting. All experimental design, dataset selection, evaluation protocol, and interpretation of results were directed and reviewed by the author.</w:t>
      </w:r>
    </w:p>
    <w:p>
      <w:pPr>
        <w:pStyle w:val="First-LevelHeadings"/>
      </w:pPr>
      <w:r>
        <w:t xml:space="preserve">REFERENCES</w:t>
      </w:r>
    </w:p>
    <w:p>
      <w:pPr>
        <w:pStyle w:val="BodyText"/>
        <w:numPr>
          <w:ilvl w:val="0"/>
          <w:numId w:val="19"/>
        </w:numPr>
        <w:spacing w:after="120"/>
        <w:ind w:left="425" w:hanging="425"/>
      </w:pPr>
      <w:r>
        <w:t xml:space="preserve">C. L. Krumhansl and E. J. Kessler, “Tracing the dynamic changes in perceived tonal organization in a spatial representation of musical keys,” </w:t>
      </w:r>
      <w:r>
        <w:rPr>
          <w:i/>
        </w:rPr>
        <w:t xml:space="preserve">Psychological Review</w:t>
      </w:r>
      <w:r>
        <w:t xml:space="preserve">, vol. 89, no. 4, pp. 334–368, 1982.</w:t>
      </w:r>
    </w:p>
    <w:p>
      <w:pPr>
        <w:pStyle w:val="BodyText"/>
        <w:numPr>
          <w:ilvl w:val="0"/>
          <w:numId w:val="19"/>
        </w:numPr>
        <w:spacing w:after="120"/>
        <w:ind w:left="425" w:hanging="425"/>
      </w:pPr>
      <w:r>
        <w:t xml:space="preserve">B. McFee, C. Raffel, D. Liang, D. P. W. Ellis, M. McVicar, E. Battenberg, and O. Nieto, “librosa: Audio and music signal analysis in Python,” in </w:t>
      </w:r>
      <w:r>
        <w:rPr>
          <w:i/>
        </w:rPr>
        <w:t xml:space="preserve">Proc. of the 14th Python in Science Conf.</w:t>
      </w:r>
      <w:r>
        <w:t xml:space="preserve">, 2015, pp. 18–24.</w:t>
      </w:r>
    </w:p>
    <w:p>
      <w:pPr>
        <w:pStyle w:val="BodyText"/>
        <w:numPr>
          <w:ilvl w:val="0"/>
          <w:numId w:val="19"/>
        </w:numPr>
        <w:spacing w:after="120"/>
        <w:ind w:left="425" w:hanging="425"/>
      </w:pPr>
      <w:r>
        <w:t xml:space="preserve">D. Bogdanov, N. Wack, E. Gómez, S. Gulati, P. Herrera, O. Mayor, G. Roma, J. Salamon, J. R. Zapata, and X. Serra, “Essentia: An audio analysis library for music information retrieval,” in </w:t>
      </w:r>
      <w:r>
        <w:rPr>
          <w:i/>
        </w:rPr>
        <w:t xml:space="preserve">Proc. of the 14th Int. Society for Music Information Retrieval Conf.</w:t>
      </w:r>
      <w:r>
        <w:t xml:space="preserve">, 2013, pp. 493–498.</w:t>
      </w:r>
    </w:p>
    <w:p>
      <w:pPr>
        <w:pStyle w:val="BodyText"/>
        <w:numPr>
          <w:ilvl w:val="0"/>
          <w:numId w:val="19"/>
        </w:numPr>
        <w:spacing w:after="120"/>
        <w:ind w:left="425" w:hanging="425"/>
      </w:pPr>
      <w:r>
        <w:t xml:space="preserve">F. Pedregosa et al., “Scikit-learn: Machine learning in Python,” </w:t>
      </w:r>
      <w:r>
        <w:rPr>
          <w:i/>
        </w:rPr>
        <w:t xml:space="preserve">Journal of Machine Learning Research</w:t>
      </w:r>
      <w:r>
        <w:t xml:space="preserve">, vol. 12, pp. 2825–2830, 2011.</w:t>
      </w:r>
    </w:p>
    <w:p>
      <w:pPr>
        <w:pStyle w:val="BodyText"/>
        <w:numPr>
          <w:ilvl w:val="0"/>
          <w:numId w:val="19"/>
        </w:numPr>
        <w:spacing w:after="120"/>
        <w:ind w:left="425" w:hanging="425"/>
      </w:pPr>
      <w:r>
        <w:t xml:space="preserve">M. Defferrard, K. Benzi, P. Vandergheynst, and X. Bresson, “FMA: A dataset for music analysis,” in </w:t>
      </w:r>
      <w:r>
        <w:rPr>
          <w:i/>
        </w:rPr>
        <w:t xml:space="preserve">Proc. of the 18th Int. Society for Music Information Retrieval Conf.</w:t>
      </w:r>
      <w:r>
        <w:t xml:space="preserve">, 2017, pp. 316–323.</w:t>
      </w:r>
    </w:p>
    <w:p>
      <w:pPr>
        <w:pStyle w:val="BodyText"/>
        <w:numPr>
          <w:ilvl w:val="0"/>
          <w:numId w:val="19"/>
        </w:numPr>
        <w:spacing w:after="120"/>
        <w:ind w:left="425" w:hanging="425"/>
      </w:pPr>
      <w:r>
        <w:t xml:space="preserve">P. Knees, Á. Faraldo, P. Herrera, R. Vogl, S. Böck, F. Hörschläger, and M. Le Goff, “Two data sets for tempo estimation and key detection in electronic dance music annotated from user corrections,” in </w:t>
      </w:r>
      <w:r>
        <w:rPr>
          <w:i/>
        </w:rPr>
        <w:t xml:space="preserve">Proc. of the 16th Int. Society for Music Information Retrieval Conf.</w:t>
      </w:r>
      <w:r>
        <w:t xml:space="preserve">, 2015, pp. 364–370.</w:t>
      </w:r>
    </w:p>
    <w:sectPr w:rsidR="003E2B6E" w:rsidRPr="003E2B6E" w:rsidSect="007522F9">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1F50" w14:textId="77777777" w:rsidR="005C4DDC" w:rsidRDefault="005C4DDC">
      <w:r>
        <w:separator/>
      </w:r>
    </w:p>
  </w:endnote>
  <w:endnote w:type="continuationSeparator" w:id="0">
    <w:p w14:paraId="56AEBB89" w14:textId="77777777" w:rsidR="005C4DDC" w:rsidRDefault="005C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44CE" w14:textId="77777777" w:rsidR="005C4DDC" w:rsidRDefault="005C4DDC">
      <w:r>
        <w:separator/>
      </w:r>
    </w:p>
  </w:footnote>
  <w:footnote w:type="continuationSeparator" w:id="0">
    <w:p w14:paraId="02352711" w14:textId="77777777" w:rsidR="005C4DDC" w:rsidRDefault="005C4DDC">
      <w:r>
        <w:continuationSeparator/>
      </w:r>
    </w:p>
  </w:footnote>
  <w:footnote w:id="1">
    <w:p w14:paraId="0BAF0AB8" w14:textId="77777777" w:rsidR="00F914E2" w:rsidRPr="00310996" w:rsidRDefault="00F914E2" w:rsidP="00BF22B5">
      <w:pPr>
        <w:pStyle w:val="BodyText"/>
        <w:rPr>
          <w:sz w:val="16"/>
          <w:szCs w:val="16"/>
          <w:lang w:eastAsia="ja-JP"/>
        </w:rPr>
      </w:pPr>
      <w:r w:rsidRPr="00310996">
        <w:rPr>
          <w:rStyle w:val="FootnoteReference"/>
          <w:sz w:val="16"/>
          <w:szCs w:val="16"/>
        </w:rPr>
        <w:footnoteRef/>
      </w:r>
      <w:r w:rsidRPr="00310996">
        <w:rPr>
          <w:sz w:val="16"/>
          <w:szCs w:val="16"/>
        </w:rPr>
        <w:t xml:space="preserve">This </w:t>
      </w:r>
      <w:r w:rsidRPr="00310996">
        <w:rPr>
          <w:rFonts w:hint="eastAsia"/>
          <w:sz w:val="16"/>
          <w:szCs w:val="16"/>
          <w:lang w:eastAsia="ja-JP"/>
        </w:rPr>
        <w:t xml:space="preserve">is </w:t>
      </w:r>
      <w:r w:rsidRPr="00310996">
        <w:rPr>
          <w:sz w:val="16"/>
          <w:szCs w:val="16"/>
        </w:rPr>
        <w:t>a footnote</w:t>
      </w:r>
      <w:r w:rsidRPr="00310996">
        <w:rPr>
          <w:rFonts w:hint="eastAsia"/>
          <w:sz w:val="16"/>
          <w:szCs w:val="16"/>
          <w:lang w:eastAsia="ja-JP"/>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5D6" w14:textId="204BB1E3" w:rsidR="00F914E2" w:rsidRDefault="00F914E2" w:rsidP="00BF22B5">
    <w:pPr>
      <w:pStyle w:val="Footer"/>
      <w:tabs>
        <w:tab w:val="clear" w:pos="4320"/>
        <w:tab w:val="clear" w:pos="8640"/>
        <w:tab w:val="left" w:pos="0"/>
        <w:tab w:val="right" w:pos="9900"/>
      </w:tabs>
      <w:rPr>
        <w:sz w:val="16"/>
      </w:rPr>
    </w:pPr>
    <w:r>
      <w:rPr>
        <w:sz w:val="16"/>
      </w:rPr>
      <w:t>2003 IEEE Workshop on Applications of Signal Processing to Audio and Acoustics</w:t>
    </w:r>
    <w:r>
      <w:rPr>
        <w:sz w:val="16"/>
      </w:rPr>
      <w:tab/>
      <w:t>October 19-22, 2003, New Paltz, NY</w:t>
    </w:r>
  </w:p>
  <w:p w14:paraId="6C3B3503" w14:textId="77777777" w:rsidR="00F914E2" w:rsidRDefault="00F914E2" w:rsidP="00BF22B5">
    <w:pPr>
      <w:pStyle w:val="Header"/>
      <w:tabs>
        <w:tab w:val="clear" w:pos="8306"/>
        <w:tab w:val="right" w:pos="99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57FB" w14:textId="57CB866D" w:rsidR="00F914E2" w:rsidRDefault="00F914E2" w:rsidP="00BF22B5">
    <w:pPr>
      <w:pStyle w:val="Footer"/>
      <w:tabs>
        <w:tab w:val="clear" w:pos="4320"/>
        <w:tab w:val="clear" w:pos="8640"/>
        <w:tab w:val="right" w:pos="9900"/>
      </w:tabs>
      <w:ind w:left="-90" w:right="36" w:firstLine="90"/>
      <w:rPr>
        <w:sz w:val="16"/>
      </w:rPr>
    </w:pPr>
    <w:r>
      <w:rPr>
        <w:sz w:val="16"/>
      </w:rPr>
      <w:tab/>
    </w:r>
  </w:p>
  <w:p w14:paraId="58600DE7" w14:textId="77777777" w:rsidR="00F914E2" w:rsidRDefault="00F9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BF8146C"/>
    <w:lvl w:ilvl="0">
      <w:start w:val="1"/>
      <w:numFmt w:val="decimal"/>
      <w:pStyle w:val="First-LevelHeadings"/>
      <w:lvlText w:val="%1."/>
      <w:lvlJc w:val="left"/>
      <w:pPr>
        <w:ind w:left="420" w:hanging="420"/>
      </w:pPr>
      <w:rPr>
        <w:rFonts w:hint="default"/>
      </w:rPr>
    </w:lvl>
    <w:lvl w:ilvl="1">
      <w:start w:val="1"/>
      <w:numFmt w:val="decimal"/>
      <w:pStyle w:val="Second-LevelHeadings"/>
      <w:lvlText w:val="%1.%2"/>
      <w:lvlJc w:val="left"/>
      <w:pPr>
        <w:tabs>
          <w:tab w:val="num" w:pos="360"/>
        </w:tabs>
        <w:ind w:left="0" w:firstLine="0"/>
      </w:pPr>
      <w:rPr>
        <w:rFonts w:hint="default"/>
      </w:rPr>
    </w:lvl>
    <w:lvl w:ilvl="2">
      <w:start w:val="1"/>
      <w:numFmt w:val="decimal"/>
      <w:pStyle w:val="Third-LevelHeadinds"/>
      <w:suff w:val="space"/>
      <w:lvlText w:val="%1.%2.%3"/>
      <w:lvlJc w:val="left"/>
      <w:pPr>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61C17C6"/>
    <w:multiLevelType w:val="hybridMultilevel"/>
    <w:tmpl w:val="9418F382"/>
    <w:lvl w:ilvl="0" w:tplc="13E46C20">
      <w:start w:val="1"/>
      <w:numFmt w:val="decimal"/>
      <w:lvlText w:val="[%1]"/>
      <w:lvlJc w:val="left"/>
      <w:pPr>
        <w:tabs>
          <w:tab w:val="num" w:pos="170"/>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F45D6"/>
    <w:multiLevelType w:val="multilevel"/>
    <w:tmpl w:val="8FE4B8FE"/>
    <w:lvl w:ilvl="0">
      <w:start w:val="1"/>
      <w:numFmt w:val="decimal"/>
      <w:lvlText w:val="[%1]"/>
      <w:lvlJc w:val="left"/>
      <w:pPr>
        <w:tabs>
          <w:tab w:val="num" w:pos="720"/>
        </w:tabs>
        <w:ind w:left="720" w:hanging="55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C52E5"/>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4" w15:restartNumberingAfterBreak="0">
    <w:nsid w:val="1F314959"/>
    <w:multiLevelType w:val="hybridMultilevel"/>
    <w:tmpl w:val="84D6767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0866E8"/>
    <w:multiLevelType w:val="multilevel"/>
    <w:tmpl w:val="44E6B44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26A1157A"/>
    <w:multiLevelType w:val="multilevel"/>
    <w:tmpl w:val="22EE76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FB319E3"/>
    <w:multiLevelType w:val="hybridMultilevel"/>
    <w:tmpl w:val="8FE4B8FE"/>
    <w:lvl w:ilvl="0" w:tplc="933253D4">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9" w15:restartNumberingAfterBreak="0">
    <w:nsid w:val="38097EE9"/>
    <w:multiLevelType w:val="multilevel"/>
    <w:tmpl w:val="A0F08984"/>
    <w:lvl w:ilvl="0">
      <w:start w:val="1"/>
      <w:numFmt w:val="decimal"/>
      <w:lvlText w:val="[%1]"/>
      <w:lvlJc w:val="left"/>
      <w:pPr>
        <w:tabs>
          <w:tab w:val="num" w:pos="22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DE7040E"/>
    <w:multiLevelType w:val="hybridMultilevel"/>
    <w:tmpl w:val="9176CA72"/>
    <w:lvl w:ilvl="0" w:tplc="13E46C2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F7B019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722"/>
        </w:tabs>
        <w:ind w:left="5102" w:hanging="1700"/>
      </w:pPr>
    </w:lvl>
  </w:abstractNum>
  <w:abstractNum w:abstractNumId="12" w15:restartNumberingAfterBreak="0">
    <w:nsid w:val="43DE5BE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4490087B"/>
    <w:multiLevelType w:val="hybridMultilevel"/>
    <w:tmpl w:val="22EE763A"/>
    <w:lvl w:ilvl="0" w:tplc="DEDC4FB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64322B"/>
    <w:multiLevelType w:val="multilevel"/>
    <w:tmpl w:val="9418F382"/>
    <w:lvl w:ilvl="0">
      <w:start w:val="1"/>
      <w:numFmt w:val="decimal"/>
      <w:lvlText w:val="[%1]"/>
      <w:lvlJc w:val="left"/>
      <w:pPr>
        <w:tabs>
          <w:tab w:val="num" w:pos="170"/>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5915255"/>
    <w:multiLevelType w:val="hybridMultilevel"/>
    <w:tmpl w:val="A0F08984"/>
    <w:lvl w:ilvl="0" w:tplc="435C7654">
      <w:start w:val="1"/>
      <w:numFmt w:val="decimal"/>
      <w:lvlText w:val="[%1]"/>
      <w:lvlJc w:val="left"/>
      <w:pPr>
        <w:tabs>
          <w:tab w:val="num" w:pos="227"/>
        </w:tabs>
        <w:ind w:left="17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F372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17" w15:restartNumberingAfterBreak="0">
    <w:nsid w:val="65275C0D"/>
    <w:multiLevelType w:val="singleLevel"/>
    <w:tmpl w:val="D838826C"/>
    <w:lvl w:ilvl="0">
      <w:start w:val="1"/>
      <w:numFmt w:val="decimal"/>
      <w:lvlText w:val="[%1]"/>
      <w:lvlJc w:val="left"/>
      <w:pPr>
        <w:tabs>
          <w:tab w:val="num" w:pos="360"/>
        </w:tabs>
        <w:ind w:left="360" w:hanging="360"/>
      </w:pPr>
    </w:lvl>
  </w:abstractNum>
  <w:abstractNum w:abstractNumId="18" w15:restartNumberingAfterBreak="0">
    <w:nsid w:val="7B7F0516"/>
    <w:multiLevelType w:val="multilevel"/>
    <w:tmpl w:val="3864CD9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677730643">
    <w:abstractNumId w:val="0"/>
  </w:num>
  <w:num w:numId="2" w16cid:durableId="146896403">
    <w:abstractNumId w:val="17"/>
  </w:num>
  <w:num w:numId="3" w16cid:durableId="86122583">
    <w:abstractNumId w:val="8"/>
  </w:num>
  <w:num w:numId="4" w16cid:durableId="1408577667">
    <w:abstractNumId w:val="13"/>
  </w:num>
  <w:num w:numId="5" w16cid:durableId="579682032">
    <w:abstractNumId w:val="6"/>
  </w:num>
  <w:num w:numId="6" w16cid:durableId="571624875">
    <w:abstractNumId w:val="7"/>
  </w:num>
  <w:num w:numId="7" w16cid:durableId="1129392809">
    <w:abstractNumId w:val="2"/>
  </w:num>
  <w:num w:numId="8" w16cid:durableId="255330433">
    <w:abstractNumId w:val="15"/>
  </w:num>
  <w:num w:numId="9" w16cid:durableId="1620452189">
    <w:abstractNumId w:val="9"/>
  </w:num>
  <w:num w:numId="10" w16cid:durableId="1871189077">
    <w:abstractNumId w:val="1"/>
  </w:num>
  <w:num w:numId="11" w16cid:durableId="1078791092">
    <w:abstractNumId w:val="14"/>
  </w:num>
  <w:num w:numId="12" w16cid:durableId="1996562587">
    <w:abstractNumId w:val="16"/>
  </w:num>
  <w:num w:numId="13" w16cid:durableId="395903589">
    <w:abstractNumId w:val="3"/>
  </w:num>
  <w:num w:numId="14" w16cid:durableId="1471288138">
    <w:abstractNumId w:val="11"/>
  </w:num>
  <w:num w:numId="15" w16cid:durableId="489372230">
    <w:abstractNumId w:val="5"/>
  </w:num>
  <w:num w:numId="16" w16cid:durableId="542787096">
    <w:abstractNumId w:val="18"/>
  </w:num>
  <w:num w:numId="17" w16cid:durableId="517161713">
    <w:abstractNumId w:val="12"/>
  </w:num>
  <w:num w:numId="18" w16cid:durableId="1916281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341029">
    <w:abstractNumId w:val="10"/>
  </w:num>
  <w:num w:numId="20" w16cid:durableId="489559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autoHyphenation/>
  <w:hyphenationZone w:val="284"/>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66"/>
    <w:rsid w:val="000004DF"/>
    <w:rsid w:val="00003ADF"/>
    <w:rsid w:val="00016A20"/>
    <w:rsid w:val="00027CEC"/>
    <w:rsid w:val="0003119E"/>
    <w:rsid w:val="00031EC9"/>
    <w:rsid w:val="00041453"/>
    <w:rsid w:val="00051A33"/>
    <w:rsid w:val="00054891"/>
    <w:rsid w:val="00085879"/>
    <w:rsid w:val="00091866"/>
    <w:rsid w:val="000A3EDA"/>
    <w:rsid w:val="000A6DEB"/>
    <w:rsid w:val="000B61D5"/>
    <w:rsid w:val="000C2DD3"/>
    <w:rsid w:val="000D2E25"/>
    <w:rsid w:val="000F4AB0"/>
    <w:rsid w:val="000F5B87"/>
    <w:rsid w:val="000F6900"/>
    <w:rsid w:val="00111738"/>
    <w:rsid w:val="0011619C"/>
    <w:rsid w:val="001235FF"/>
    <w:rsid w:val="001331E7"/>
    <w:rsid w:val="00135D33"/>
    <w:rsid w:val="00137D26"/>
    <w:rsid w:val="001405DC"/>
    <w:rsid w:val="00143C6F"/>
    <w:rsid w:val="001445EE"/>
    <w:rsid w:val="00167702"/>
    <w:rsid w:val="0017698E"/>
    <w:rsid w:val="00191680"/>
    <w:rsid w:val="001917C6"/>
    <w:rsid w:val="00193C57"/>
    <w:rsid w:val="001A19F5"/>
    <w:rsid w:val="001B150B"/>
    <w:rsid w:val="001C604F"/>
    <w:rsid w:val="001C64D7"/>
    <w:rsid w:val="001D2894"/>
    <w:rsid w:val="001F2352"/>
    <w:rsid w:val="002002DC"/>
    <w:rsid w:val="00204099"/>
    <w:rsid w:val="00207CF0"/>
    <w:rsid w:val="00233853"/>
    <w:rsid w:val="0024333F"/>
    <w:rsid w:val="0025437E"/>
    <w:rsid w:val="00257FC4"/>
    <w:rsid w:val="00290672"/>
    <w:rsid w:val="002A79A9"/>
    <w:rsid w:val="002B5779"/>
    <w:rsid w:val="002B6309"/>
    <w:rsid w:val="002D72D0"/>
    <w:rsid w:val="00301254"/>
    <w:rsid w:val="0031607C"/>
    <w:rsid w:val="0032160B"/>
    <w:rsid w:val="0032506D"/>
    <w:rsid w:val="003255EE"/>
    <w:rsid w:val="00337F79"/>
    <w:rsid w:val="00343B85"/>
    <w:rsid w:val="0034414A"/>
    <w:rsid w:val="00352F24"/>
    <w:rsid w:val="003543F2"/>
    <w:rsid w:val="0036077D"/>
    <w:rsid w:val="003674D5"/>
    <w:rsid w:val="0038661A"/>
    <w:rsid w:val="00387A11"/>
    <w:rsid w:val="00391E71"/>
    <w:rsid w:val="00395441"/>
    <w:rsid w:val="003B1B0C"/>
    <w:rsid w:val="003C1B38"/>
    <w:rsid w:val="003D109B"/>
    <w:rsid w:val="003E0D6F"/>
    <w:rsid w:val="003E2B6E"/>
    <w:rsid w:val="003E5861"/>
    <w:rsid w:val="003E639C"/>
    <w:rsid w:val="003E7370"/>
    <w:rsid w:val="003F1160"/>
    <w:rsid w:val="00400312"/>
    <w:rsid w:val="00403879"/>
    <w:rsid w:val="004048D7"/>
    <w:rsid w:val="00412A6D"/>
    <w:rsid w:val="00416111"/>
    <w:rsid w:val="00426184"/>
    <w:rsid w:val="00431CFA"/>
    <w:rsid w:val="00440F4B"/>
    <w:rsid w:val="00443C45"/>
    <w:rsid w:val="00460776"/>
    <w:rsid w:val="00474D9E"/>
    <w:rsid w:val="00481EDE"/>
    <w:rsid w:val="004873CB"/>
    <w:rsid w:val="00493816"/>
    <w:rsid w:val="004B1D21"/>
    <w:rsid w:val="004D0EDB"/>
    <w:rsid w:val="004D732F"/>
    <w:rsid w:val="004E6DAF"/>
    <w:rsid w:val="005029DA"/>
    <w:rsid w:val="005135A1"/>
    <w:rsid w:val="00513B45"/>
    <w:rsid w:val="005206EF"/>
    <w:rsid w:val="00520EE3"/>
    <w:rsid w:val="005307AC"/>
    <w:rsid w:val="005369AF"/>
    <w:rsid w:val="005371E7"/>
    <w:rsid w:val="005443C3"/>
    <w:rsid w:val="00580DAC"/>
    <w:rsid w:val="00584D93"/>
    <w:rsid w:val="00585348"/>
    <w:rsid w:val="005A05C6"/>
    <w:rsid w:val="005A1EB2"/>
    <w:rsid w:val="005A4EA4"/>
    <w:rsid w:val="005B3063"/>
    <w:rsid w:val="005B74E9"/>
    <w:rsid w:val="005C22F2"/>
    <w:rsid w:val="005C4DDC"/>
    <w:rsid w:val="005C5B43"/>
    <w:rsid w:val="005C778A"/>
    <w:rsid w:val="005D1A7D"/>
    <w:rsid w:val="005D2325"/>
    <w:rsid w:val="005E21F4"/>
    <w:rsid w:val="005E354B"/>
    <w:rsid w:val="005F3BC5"/>
    <w:rsid w:val="005F4412"/>
    <w:rsid w:val="00602EF7"/>
    <w:rsid w:val="0060585D"/>
    <w:rsid w:val="00611E67"/>
    <w:rsid w:val="0062367A"/>
    <w:rsid w:val="006339A1"/>
    <w:rsid w:val="006350B3"/>
    <w:rsid w:val="006552D1"/>
    <w:rsid w:val="006711DD"/>
    <w:rsid w:val="006956BC"/>
    <w:rsid w:val="00696F72"/>
    <w:rsid w:val="006A1B24"/>
    <w:rsid w:val="006A4983"/>
    <w:rsid w:val="006A7583"/>
    <w:rsid w:val="006A7AD8"/>
    <w:rsid w:val="006B7142"/>
    <w:rsid w:val="006C0D70"/>
    <w:rsid w:val="006C3045"/>
    <w:rsid w:val="006D27B1"/>
    <w:rsid w:val="006F1604"/>
    <w:rsid w:val="006F690B"/>
    <w:rsid w:val="00700696"/>
    <w:rsid w:val="007006EF"/>
    <w:rsid w:val="00700828"/>
    <w:rsid w:val="00702332"/>
    <w:rsid w:val="0070335C"/>
    <w:rsid w:val="00704300"/>
    <w:rsid w:val="00720C54"/>
    <w:rsid w:val="007256C7"/>
    <w:rsid w:val="00733AB3"/>
    <w:rsid w:val="007522F9"/>
    <w:rsid w:val="00760183"/>
    <w:rsid w:val="00766D5E"/>
    <w:rsid w:val="00771F58"/>
    <w:rsid w:val="0078276A"/>
    <w:rsid w:val="00791D7F"/>
    <w:rsid w:val="007926A8"/>
    <w:rsid w:val="007A40A2"/>
    <w:rsid w:val="007C088D"/>
    <w:rsid w:val="007C7B66"/>
    <w:rsid w:val="007E4294"/>
    <w:rsid w:val="007F136B"/>
    <w:rsid w:val="007F4E62"/>
    <w:rsid w:val="008008C7"/>
    <w:rsid w:val="00811138"/>
    <w:rsid w:val="00842B98"/>
    <w:rsid w:val="00844CDF"/>
    <w:rsid w:val="00845907"/>
    <w:rsid w:val="00862162"/>
    <w:rsid w:val="00867B9F"/>
    <w:rsid w:val="00884A83"/>
    <w:rsid w:val="00886889"/>
    <w:rsid w:val="00886FAC"/>
    <w:rsid w:val="008956EC"/>
    <w:rsid w:val="008B2F1A"/>
    <w:rsid w:val="008B6E19"/>
    <w:rsid w:val="008D1010"/>
    <w:rsid w:val="008E3809"/>
    <w:rsid w:val="008E64A9"/>
    <w:rsid w:val="008F029B"/>
    <w:rsid w:val="008F2B33"/>
    <w:rsid w:val="008F6E63"/>
    <w:rsid w:val="009000C0"/>
    <w:rsid w:val="00933A90"/>
    <w:rsid w:val="009358F5"/>
    <w:rsid w:val="009602F2"/>
    <w:rsid w:val="0096301A"/>
    <w:rsid w:val="009643C7"/>
    <w:rsid w:val="00984819"/>
    <w:rsid w:val="00994033"/>
    <w:rsid w:val="009A4B95"/>
    <w:rsid w:val="009A6746"/>
    <w:rsid w:val="009C2526"/>
    <w:rsid w:val="009C27D0"/>
    <w:rsid w:val="009C397B"/>
    <w:rsid w:val="009E3E82"/>
    <w:rsid w:val="009E5555"/>
    <w:rsid w:val="009E57E9"/>
    <w:rsid w:val="009F4282"/>
    <w:rsid w:val="009F7329"/>
    <w:rsid w:val="00A116BF"/>
    <w:rsid w:val="00A163D8"/>
    <w:rsid w:val="00A264BA"/>
    <w:rsid w:val="00A350CD"/>
    <w:rsid w:val="00A35226"/>
    <w:rsid w:val="00A55446"/>
    <w:rsid w:val="00A5604E"/>
    <w:rsid w:val="00A66A48"/>
    <w:rsid w:val="00A84698"/>
    <w:rsid w:val="00A93ADE"/>
    <w:rsid w:val="00AA1C28"/>
    <w:rsid w:val="00AA4F85"/>
    <w:rsid w:val="00AD42CD"/>
    <w:rsid w:val="00AD4C52"/>
    <w:rsid w:val="00AE09A7"/>
    <w:rsid w:val="00AE2E76"/>
    <w:rsid w:val="00AF2F97"/>
    <w:rsid w:val="00AF42D0"/>
    <w:rsid w:val="00AF454E"/>
    <w:rsid w:val="00AF74E5"/>
    <w:rsid w:val="00B00CC0"/>
    <w:rsid w:val="00B03063"/>
    <w:rsid w:val="00B05E6A"/>
    <w:rsid w:val="00B12A05"/>
    <w:rsid w:val="00B25555"/>
    <w:rsid w:val="00B3497F"/>
    <w:rsid w:val="00B41DB7"/>
    <w:rsid w:val="00B575ED"/>
    <w:rsid w:val="00B57D28"/>
    <w:rsid w:val="00B65876"/>
    <w:rsid w:val="00B65EDC"/>
    <w:rsid w:val="00B951F7"/>
    <w:rsid w:val="00BA6453"/>
    <w:rsid w:val="00BB1143"/>
    <w:rsid w:val="00BC6516"/>
    <w:rsid w:val="00BD165B"/>
    <w:rsid w:val="00BF2023"/>
    <w:rsid w:val="00BF22B5"/>
    <w:rsid w:val="00BF3C99"/>
    <w:rsid w:val="00C0722A"/>
    <w:rsid w:val="00C1235C"/>
    <w:rsid w:val="00C31857"/>
    <w:rsid w:val="00C36D6C"/>
    <w:rsid w:val="00C42E20"/>
    <w:rsid w:val="00C71D96"/>
    <w:rsid w:val="00C85999"/>
    <w:rsid w:val="00C86863"/>
    <w:rsid w:val="00C8715D"/>
    <w:rsid w:val="00CA172F"/>
    <w:rsid w:val="00CA1BBB"/>
    <w:rsid w:val="00CA5A91"/>
    <w:rsid w:val="00CB62BC"/>
    <w:rsid w:val="00CD303D"/>
    <w:rsid w:val="00CE0307"/>
    <w:rsid w:val="00CE324C"/>
    <w:rsid w:val="00CE48D0"/>
    <w:rsid w:val="00CE783B"/>
    <w:rsid w:val="00CF23F1"/>
    <w:rsid w:val="00CF41F0"/>
    <w:rsid w:val="00CF4B8E"/>
    <w:rsid w:val="00CF594C"/>
    <w:rsid w:val="00D00E42"/>
    <w:rsid w:val="00D26F2B"/>
    <w:rsid w:val="00D31494"/>
    <w:rsid w:val="00D36571"/>
    <w:rsid w:val="00D55BF0"/>
    <w:rsid w:val="00D70771"/>
    <w:rsid w:val="00D74F64"/>
    <w:rsid w:val="00D866D0"/>
    <w:rsid w:val="00D901B0"/>
    <w:rsid w:val="00DA356C"/>
    <w:rsid w:val="00DD6B34"/>
    <w:rsid w:val="00DF0DBA"/>
    <w:rsid w:val="00E176C2"/>
    <w:rsid w:val="00E30B8A"/>
    <w:rsid w:val="00E30CA9"/>
    <w:rsid w:val="00E372CC"/>
    <w:rsid w:val="00E55D25"/>
    <w:rsid w:val="00E773CA"/>
    <w:rsid w:val="00E80BE9"/>
    <w:rsid w:val="00E814ED"/>
    <w:rsid w:val="00E86BEC"/>
    <w:rsid w:val="00E87D40"/>
    <w:rsid w:val="00EA0FB6"/>
    <w:rsid w:val="00EA51CE"/>
    <w:rsid w:val="00EB2198"/>
    <w:rsid w:val="00EB328A"/>
    <w:rsid w:val="00EB77D3"/>
    <w:rsid w:val="00EB79AF"/>
    <w:rsid w:val="00EC1E9D"/>
    <w:rsid w:val="00ED18E5"/>
    <w:rsid w:val="00F10795"/>
    <w:rsid w:val="00F21B29"/>
    <w:rsid w:val="00F25BE0"/>
    <w:rsid w:val="00F33C43"/>
    <w:rsid w:val="00F46208"/>
    <w:rsid w:val="00F47F81"/>
    <w:rsid w:val="00F5109E"/>
    <w:rsid w:val="00F538FE"/>
    <w:rsid w:val="00F55554"/>
    <w:rsid w:val="00F8014C"/>
    <w:rsid w:val="00F833C2"/>
    <w:rsid w:val="00F914E2"/>
    <w:rsid w:val="00FD4712"/>
    <w:rsid w:val="00FE5F08"/>
    <w:rsid w:val="00FE6A62"/>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99AB384"/>
  <w15:docId w15:val="{441B05CD-DA64-4B54-9091-46144E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332"/>
    <w:pPr>
      <w:jc w:val="both"/>
    </w:pPr>
    <w:rPr>
      <w:lang w:eastAsia="en-US"/>
    </w:rPr>
  </w:style>
  <w:style w:type="paragraph" w:styleId="Heading1">
    <w:name w:val="heading 1"/>
    <w:basedOn w:val="Normal"/>
    <w:next w:val="BodyText"/>
    <w:rsid w:val="00003ADF"/>
    <w:pPr>
      <w:keepNext/>
      <w:spacing w:before="300" w:after="260"/>
      <w:jc w:val="center"/>
      <w:outlineLvl w:val="0"/>
    </w:pPr>
    <w:rPr>
      <w:b/>
    </w:rPr>
  </w:style>
  <w:style w:type="paragraph" w:styleId="Heading2">
    <w:name w:val="heading 2"/>
    <w:basedOn w:val="Normal"/>
    <w:next w:val="BodyText"/>
    <w:rsid w:val="00766D5E"/>
    <w:pPr>
      <w:keepNext/>
      <w:spacing w:before="300" w:after="180"/>
      <w:outlineLvl w:val="1"/>
    </w:pPr>
    <w:rPr>
      <w:b/>
      <w:sz w:val="18"/>
    </w:rPr>
  </w:style>
  <w:style w:type="paragraph" w:styleId="Heading3">
    <w:name w:val="heading 3"/>
    <w:basedOn w:val="Normal"/>
    <w:next w:val="Normal"/>
    <w:rsid w:val="009602F2"/>
    <w:pPr>
      <w:keepNext/>
      <w:spacing w:before="300" w:after="180"/>
      <w:outlineLvl w:val="2"/>
    </w:pPr>
    <w:rPr>
      <w:i/>
      <w:sz w:val="18"/>
    </w:rPr>
  </w:style>
  <w:style w:type="paragraph" w:styleId="Heading4">
    <w:name w:val="heading 4"/>
    <w:basedOn w:val="Normal"/>
    <w:next w:val="Normal"/>
    <w:qFormat/>
    <w:rsid w:val="00003ADF"/>
    <w:pPr>
      <w:keepNext/>
      <w:numPr>
        <w:ilvl w:val="3"/>
        <w:numId w:val="1"/>
      </w:numPr>
      <w:spacing w:before="240" w:after="60"/>
      <w:outlineLvl w:val="3"/>
    </w:pPr>
    <w:rPr>
      <w:b/>
      <w:i/>
      <w:sz w:val="18"/>
    </w:rPr>
  </w:style>
  <w:style w:type="paragraph" w:styleId="Heading5">
    <w:name w:val="heading 5"/>
    <w:basedOn w:val="Normal"/>
    <w:next w:val="Normal"/>
    <w:qFormat/>
    <w:rsid w:val="00003ADF"/>
    <w:pPr>
      <w:numPr>
        <w:ilvl w:val="4"/>
        <w:numId w:val="1"/>
      </w:numPr>
      <w:spacing w:before="240" w:after="60"/>
      <w:outlineLvl w:val="4"/>
    </w:pPr>
    <w:rPr>
      <w:sz w:val="18"/>
    </w:rPr>
  </w:style>
  <w:style w:type="paragraph" w:styleId="Heading6">
    <w:name w:val="heading 6"/>
    <w:basedOn w:val="Normal"/>
    <w:next w:val="Normal"/>
    <w:qFormat/>
    <w:rsid w:val="00003ADF"/>
    <w:pPr>
      <w:numPr>
        <w:ilvl w:val="5"/>
        <w:numId w:val="1"/>
      </w:numPr>
      <w:spacing w:before="240" w:after="60"/>
      <w:outlineLvl w:val="5"/>
    </w:pPr>
    <w:rPr>
      <w:rFonts w:ascii="Arial" w:hAnsi="Arial"/>
      <w:i/>
      <w:sz w:val="22"/>
    </w:rPr>
  </w:style>
  <w:style w:type="paragraph" w:styleId="Heading7">
    <w:name w:val="heading 7"/>
    <w:basedOn w:val="Normal"/>
    <w:next w:val="Normal"/>
    <w:qFormat/>
    <w:rsid w:val="00003ADF"/>
    <w:pPr>
      <w:numPr>
        <w:ilvl w:val="6"/>
        <w:numId w:val="1"/>
      </w:numPr>
      <w:spacing w:before="240" w:after="60"/>
      <w:outlineLvl w:val="6"/>
    </w:pPr>
    <w:rPr>
      <w:rFonts w:ascii="Arial" w:hAnsi="Arial"/>
    </w:rPr>
  </w:style>
  <w:style w:type="paragraph" w:styleId="Heading8">
    <w:name w:val="heading 8"/>
    <w:basedOn w:val="Normal"/>
    <w:next w:val="Normal"/>
    <w:qFormat/>
    <w:rsid w:val="00003ADF"/>
    <w:pPr>
      <w:numPr>
        <w:ilvl w:val="7"/>
        <w:numId w:val="1"/>
      </w:numPr>
      <w:spacing w:before="240" w:after="60"/>
      <w:outlineLvl w:val="7"/>
    </w:pPr>
    <w:rPr>
      <w:rFonts w:ascii="Arial" w:hAnsi="Arial"/>
      <w:i/>
    </w:rPr>
  </w:style>
  <w:style w:type="paragraph" w:styleId="Heading9">
    <w:name w:val="heading 9"/>
    <w:basedOn w:val="Normal"/>
    <w:next w:val="Normal"/>
    <w:qFormat/>
    <w:rsid w:val="00003ADF"/>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withIndent"/>
    <w:link w:val="BodyTextChar"/>
    <w:rsid w:val="000D18E3"/>
  </w:style>
  <w:style w:type="paragraph" w:styleId="CommentText">
    <w:name w:val="annotation text"/>
    <w:basedOn w:val="Normal"/>
    <w:semiHidden/>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styleId="Caption">
    <w:name w:val="caption"/>
    <w:basedOn w:val="Normal"/>
    <w:qFormat/>
    <w:rsid w:val="008956EC"/>
    <w:pPr>
      <w:spacing w:before="240" w:after="240"/>
      <w:ind w:right="-11"/>
    </w:pPr>
  </w:style>
  <w:style w:type="paragraph" w:customStyle="1" w:styleId="Picture">
    <w:name w:val="Picture"/>
    <w:basedOn w:val="BodyText"/>
    <w:next w:val="Caption"/>
    <w:pPr>
      <w:keepNext/>
    </w:pPr>
  </w:style>
  <w:style w:type="paragraph" w:customStyle="1" w:styleId="URL">
    <w:name w:val="URL"/>
    <w:basedOn w:val="Normal"/>
    <w:rPr>
      <w:rFonts w:ascii="Courier" w:hAnsi="Courier"/>
      <w:lang w:val="en-GB"/>
    </w:rPr>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List">
    <w:name w:val="List"/>
    <w:basedOn w:val="Normal"/>
    <w:pPr>
      <w:ind w:left="360" w:hanging="360"/>
    </w:pPr>
  </w:style>
  <w:style w:type="paragraph" w:styleId="ListBullet">
    <w:name w:val="List Bullet"/>
    <w:basedOn w:val="List"/>
    <w:autoRedefine/>
    <w:pPr>
      <w:spacing w:after="160"/>
    </w:pPr>
  </w:style>
  <w:style w:type="paragraph" w:styleId="ListNumber">
    <w:name w:val="List Number"/>
    <w:basedOn w:val="List"/>
    <w:pPr>
      <w:spacing w:after="160"/>
    </w:pPr>
  </w:style>
  <w:style w:type="paragraph" w:styleId="MacroText">
    <w:name w:val="macro"/>
    <w:basedOn w:val="BodyText"/>
    <w:semiHidden/>
    <w:pPr>
      <w:spacing w:after="120"/>
    </w:pPr>
    <w:rPr>
      <w:rFonts w:ascii="Courier New" w:hAnsi="Courier New"/>
    </w:rPr>
  </w:style>
  <w:style w:type="character" w:styleId="PageNumber">
    <w:name w:val="page number"/>
    <w:basedOn w:val="DefaultParagraphFont"/>
  </w:style>
  <w:style w:type="character" w:customStyle="1" w:styleId="Superscript">
    <w:name w:val="Superscript"/>
    <w:rPr>
      <w:vertAlign w:val="superscript"/>
    </w:rPr>
  </w:style>
  <w:style w:type="paragraph" w:customStyle="1" w:styleId="Author">
    <w:name w:val="Author"/>
    <w:basedOn w:val="Normal"/>
    <w:next w:val="Normal"/>
    <w:pPr>
      <w:spacing w:before="260" w:after="260"/>
      <w:jc w:val="center"/>
    </w:pPr>
    <w:rPr>
      <w:i/>
      <w:sz w:val="24"/>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StyleBodyTextAfter6pt">
    <w:name w:val="Style Body Text + After:  6 pt"/>
    <w:basedOn w:val="BodyText"/>
    <w:rsid w:val="00E30CA9"/>
    <w:pPr>
      <w:spacing w:after="120"/>
    </w:pPr>
    <w:rPr>
      <w:rFonts w:eastAsia="Times New Roman"/>
    </w:rPr>
  </w:style>
  <w:style w:type="paragraph" w:styleId="ListContinue">
    <w:name w:val="List Continue"/>
    <w:basedOn w:val="List"/>
    <w:pPr>
      <w:spacing w:after="160"/>
    </w:pPr>
  </w:style>
  <w:style w:type="paragraph" w:styleId="List2">
    <w:name w:val="List 2"/>
    <w:basedOn w:val="Normal"/>
    <w:pPr>
      <w:ind w:left="720" w:hanging="360"/>
    </w:pPr>
  </w:style>
  <w:style w:type="paragraph" w:styleId="List3">
    <w:name w:val="List 3"/>
    <w:basedOn w:val="List"/>
    <w:pPr>
      <w:tabs>
        <w:tab w:val="left" w:pos="1440"/>
      </w:tabs>
      <w:ind w:left="1440"/>
    </w:pPr>
  </w:style>
  <w:style w:type="paragraph" w:styleId="List4">
    <w:name w:val="List 4"/>
    <w:basedOn w:val="List"/>
    <w:pPr>
      <w:tabs>
        <w:tab w:val="left" w:pos="1800"/>
      </w:tabs>
      <w:ind w:left="1800"/>
    </w:pPr>
  </w:style>
  <w:style w:type="paragraph" w:styleId="List5">
    <w:name w:val="List 5"/>
    <w:basedOn w:val="List"/>
    <w:pPr>
      <w:tabs>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autoRedefine/>
    <w:pPr>
      <w:ind w:left="2160"/>
    </w:pPr>
  </w:style>
  <w:style w:type="paragraph" w:styleId="ListBullet4">
    <w:name w:val="List Bullet 4"/>
    <w:basedOn w:val="ListBullet"/>
    <w:autoRedefine/>
    <w:pPr>
      <w:ind w:left="1800"/>
    </w:pPr>
  </w:style>
  <w:style w:type="paragraph" w:styleId="ListBullet3">
    <w:name w:val="List Bullet 3"/>
    <w:basedOn w:val="Normal"/>
    <w:autoRedefine/>
    <w:pPr>
      <w:ind w:left="1080" w:hanging="360"/>
    </w:pPr>
  </w:style>
  <w:style w:type="paragraph" w:styleId="ListBullet2">
    <w:name w:val="List Bullet 2"/>
    <w:basedOn w:val="ListBullet"/>
    <w:autoRedefine/>
    <w:pPr>
      <w:ind w:left="1080"/>
    </w:pPr>
  </w:style>
  <w:style w:type="paragraph" w:styleId="ListContinue2">
    <w:name w:val="List Continue 2"/>
    <w:basedOn w:val="Normal"/>
    <w:pPr>
      <w:spacing w:after="120"/>
      <w:ind w:left="720"/>
    </w:pPr>
  </w:style>
  <w:style w:type="paragraph" w:customStyle="1" w:styleId="PartLabel">
    <w:name w:val="Part Label"/>
    <w:basedOn w:val="HeadingBase"/>
    <w:next w:val="Normal"/>
    <w:pPr>
      <w:spacing w:before="600" w:after="160"/>
      <w:jc w:val="center"/>
    </w:pPr>
    <w:rPr>
      <w:b w:val="0"/>
      <w:sz w:val="24"/>
      <w:u w:val="single"/>
    </w:rPr>
  </w:style>
  <w:style w:type="paragraph" w:customStyle="1" w:styleId="EquationISMIR">
    <w:name w:val="EquationISMIR"/>
    <w:basedOn w:val="Normal"/>
    <w:rsid w:val="007F136B"/>
    <w:pPr>
      <w:spacing w:before="120" w:after="120"/>
      <w:jc w:val="right"/>
    </w:pPr>
    <w:rPr>
      <w:rFonts w:eastAsia="Times New Roman"/>
    </w:rPr>
  </w:style>
  <w:style w:type="character" w:styleId="Emphasis">
    <w:name w:val="Emphasis"/>
    <w:qFormat/>
    <w:rPr>
      <w:i/>
    </w:rPr>
  </w:style>
  <w:style w:type="paragraph" w:customStyle="1" w:styleId="Address">
    <w:name w:val="Address"/>
    <w:basedOn w:val="BodyText"/>
    <w:pPr>
      <w:keepLines/>
      <w:ind w:right="4320"/>
    </w:pPr>
  </w:style>
  <w:style w:type="character" w:styleId="CommentReference">
    <w:name w:val="annotation reference"/>
    <w:semiHidden/>
    <w:rPr>
      <w:sz w:val="16"/>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Equation">
    <w:name w:val="Equation"/>
    <w:basedOn w:val="Normal"/>
    <w:pPr>
      <w:tabs>
        <w:tab w:val="left" w:pos="567"/>
        <w:tab w:val="right" w:pos="4678"/>
      </w:tabs>
      <w:spacing w:before="120" w:after="120"/>
      <w:jc w:val="left"/>
    </w:pPr>
    <w:rPr>
      <w:sz w:val="18"/>
    </w:rPr>
  </w:style>
  <w:style w:type="paragraph" w:customStyle="1" w:styleId="Title1">
    <w:name w:val="Title1"/>
    <w:basedOn w:val="Normal"/>
    <w:next w:val="Author"/>
    <w:pPr>
      <w:spacing w:before="100"/>
      <w:ind w:left="1134" w:right="720"/>
      <w:jc w:val="center"/>
    </w:pPr>
    <w:rPr>
      <w:b/>
      <w:sz w:val="24"/>
    </w:rPr>
  </w:style>
  <w:style w:type="paragraph" w:customStyle="1" w:styleId="Item">
    <w:name w:val="Item"/>
    <w:basedOn w:val="BodyText"/>
    <w:pPr>
      <w:ind w:left="360" w:right="288" w:hanging="360"/>
    </w:pPr>
  </w:style>
  <w:style w:type="paragraph" w:customStyle="1" w:styleId="BodyTextwithIndent">
    <w:name w:val="Body Text with Indent"/>
    <w:basedOn w:val="BodyText"/>
    <w:rsid w:val="007C7B66"/>
    <w:pPr>
      <w:ind w:firstLine="227"/>
    </w:pPr>
    <w:rPr>
      <w:rFonts w:eastAsia="Times New Roman"/>
    </w:rPr>
  </w:style>
  <w:style w:type="paragraph" w:customStyle="1" w:styleId="NumItem">
    <w:name w:val="NumItem"/>
    <w:basedOn w:val="BodyText"/>
    <w:pPr>
      <w:numPr>
        <w:numId w:val="3"/>
      </w:numPr>
      <w:ind w:right="288"/>
    </w:pPr>
  </w:style>
  <w:style w:type="paragraph" w:customStyle="1" w:styleId="Affiliation">
    <w:name w:val="Affiliation"/>
    <w:basedOn w:val="Normal"/>
    <w:link w:val="AffiliationCar"/>
    <w:pPr>
      <w:jc w:val="center"/>
    </w:pPr>
    <w:rPr>
      <w:sz w:val="24"/>
    </w:rPr>
  </w:style>
  <w:style w:type="paragraph" w:customStyle="1" w:styleId="AbstractHeading">
    <w:name w:val="AbstractHeading"/>
    <w:basedOn w:val="Normal"/>
    <w:next w:val="BodyText"/>
    <w:rsid w:val="001917C6"/>
    <w:pPr>
      <w:spacing w:after="120"/>
      <w:jc w:val="center"/>
    </w:pPr>
    <w:rPr>
      <w:b/>
    </w:rPr>
  </w:style>
  <w:style w:type="paragraph" w:styleId="Header">
    <w:name w:val="header"/>
    <w:basedOn w:val="Normal"/>
    <w:pPr>
      <w:tabs>
        <w:tab w:val="center" w:pos="4153"/>
        <w:tab w:val="right" w:pos="8306"/>
      </w:tabs>
    </w:pPr>
  </w:style>
  <w:style w:type="character" w:styleId="Hyperlink">
    <w:name w:val="Hyperlink"/>
    <w:rsid w:val="00EC7AB9"/>
    <w:rPr>
      <w:color w:val="0000FF"/>
      <w:u w:val="single"/>
    </w:rPr>
  </w:style>
  <w:style w:type="character" w:customStyle="1" w:styleId="Typewriter">
    <w:name w:val="Typewriter"/>
    <w:rsid w:val="004D2D9B"/>
    <w:rPr>
      <w:rFonts w:ascii="Courier New" w:hAnsi="Courier New" w:cs="Courier New"/>
    </w:rPr>
  </w:style>
  <w:style w:type="character" w:customStyle="1" w:styleId="Italics">
    <w:name w:val="Italics"/>
    <w:rsid w:val="001F4223"/>
    <w:rPr>
      <w:i/>
      <w:iCs/>
    </w:rPr>
  </w:style>
  <w:style w:type="paragraph" w:customStyle="1" w:styleId="Section">
    <w:name w:val="Section"/>
    <w:rsid w:val="001F4223"/>
    <w:pPr>
      <w:widowControl w:val="0"/>
      <w:autoSpaceDE w:val="0"/>
      <w:autoSpaceDN w:val="0"/>
      <w:adjustRightInd w:val="0"/>
      <w:outlineLvl w:val="0"/>
    </w:pPr>
    <w:rPr>
      <w:rFonts w:ascii="Arial" w:hAnsi="Arial" w:cs="Arial"/>
      <w:b/>
      <w:bCs/>
      <w:sz w:val="44"/>
      <w:szCs w:val="44"/>
      <w:lang w:val="es-ES" w:eastAsia="es-ES"/>
    </w:rPr>
  </w:style>
  <w:style w:type="paragraph" w:customStyle="1" w:styleId="Subsection">
    <w:name w:val="Subsection"/>
    <w:rsid w:val="001F4223"/>
    <w:pPr>
      <w:widowControl w:val="0"/>
      <w:autoSpaceDE w:val="0"/>
      <w:autoSpaceDN w:val="0"/>
      <w:adjustRightInd w:val="0"/>
      <w:outlineLvl w:val="1"/>
    </w:pPr>
    <w:rPr>
      <w:rFonts w:ascii="Arial" w:hAnsi="Arial" w:cs="Arial"/>
      <w:b/>
      <w:bCs/>
      <w:sz w:val="36"/>
      <w:szCs w:val="36"/>
      <w:lang w:val="es-ES" w:eastAsia="es-ES"/>
    </w:rPr>
  </w:style>
  <w:style w:type="paragraph" w:customStyle="1" w:styleId="Subsubsection">
    <w:name w:val="Subsubsection"/>
    <w:rsid w:val="001F4223"/>
    <w:pPr>
      <w:widowControl w:val="0"/>
      <w:autoSpaceDE w:val="0"/>
      <w:autoSpaceDN w:val="0"/>
      <w:adjustRightInd w:val="0"/>
      <w:outlineLvl w:val="2"/>
    </w:pPr>
    <w:rPr>
      <w:rFonts w:ascii="Arial" w:hAnsi="Arial" w:cs="Arial"/>
      <w:b/>
      <w:bCs/>
      <w:sz w:val="28"/>
      <w:szCs w:val="28"/>
      <w:lang w:val="es-ES" w:eastAsia="es-ES"/>
    </w:rPr>
  </w:style>
  <w:style w:type="table" w:styleId="TableGrid">
    <w:name w:val="Table Grid"/>
    <w:basedOn w:val="TableNormal"/>
    <w:rsid w:val="001710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ar">
    <w:name w:val="Affiliation Car"/>
    <w:link w:val="Affiliation"/>
    <w:rsid w:val="00E7660F"/>
    <w:rPr>
      <w:sz w:val="24"/>
      <w:lang w:val="en-US" w:eastAsia="en-US" w:bidi="ar-SA"/>
    </w:rPr>
  </w:style>
  <w:style w:type="table" w:styleId="TableWeb3">
    <w:name w:val="Table Web 3"/>
    <w:basedOn w:val="TableNormal"/>
    <w:rsid w:val="00115B6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2">
    <w:name w:val="Table Simple 2"/>
    <w:basedOn w:val="TableNormal"/>
    <w:rsid w:val="00115B6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irstParagraph">
    <w:name w:val="First Paragraph"/>
    <w:basedOn w:val="BodyText"/>
    <w:rsid w:val="003016B0"/>
    <w:rPr>
      <w:lang w:val="en-GB"/>
    </w:rPr>
  </w:style>
  <w:style w:type="paragraph" w:customStyle="1" w:styleId="Otherparagraphs">
    <w:name w:val="Other paragraphs"/>
    <w:basedOn w:val="BodyText"/>
    <w:rsid w:val="003016B0"/>
    <w:pPr>
      <w:ind w:firstLine="227"/>
    </w:pPr>
    <w:rPr>
      <w:lang w:val="en-GB"/>
    </w:rPr>
  </w:style>
  <w:style w:type="paragraph" w:styleId="HTMLAddress">
    <w:name w:val="HTML Address"/>
    <w:basedOn w:val="Normal"/>
    <w:rsid w:val="004A7C47"/>
    <w:rPr>
      <w:i/>
      <w:iCs/>
    </w:rPr>
  </w:style>
  <w:style w:type="paragraph" w:styleId="HTMLPreformatted">
    <w:name w:val="HTML Preformatted"/>
    <w:basedOn w:val="Normal"/>
    <w:rsid w:val="004A7C47"/>
    <w:rPr>
      <w:rFonts w:ascii="Courier New" w:hAnsi="Courier New" w:cs="Courier New"/>
    </w:rPr>
  </w:style>
  <w:style w:type="paragraph" w:styleId="CommentSubject">
    <w:name w:val="annotation subject"/>
    <w:basedOn w:val="CommentText"/>
    <w:next w:val="CommentText"/>
    <w:semiHidden/>
    <w:rsid w:val="004A7C47"/>
    <w:pPr>
      <w:jc w:val="left"/>
    </w:pPr>
    <w:rPr>
      <w:b/>
      <w:bCs/>
    </w:rPr>
  </w:style>
  <w:style w:type="paragraph" w:styleId="BlockText">
    <w:name w:val="Block Text"/>
    <w:basedOn w:val="Normal"/>
    <w:rsid w:val="004A7C47"/>
    <w:pPr>
      <w:ind w:leftChars="700" w:left="1440" w:rightChars="700" w:right="1440"/>
    </w:pPr>
  </w:style>
  <w:style w:type="paragraph" w:styleId="Salutation">
    <w:name w:val="Salutation"/>
    <w:basedOn w:val="Normal"/>
    <w:next w:val="Normal"/>
    <w:rsid w:val="004A7C47"/>
  </w:style>
  <w:style w:type="paragraph" w:styleId="EnvelopeAddress">
    <w:name w:val="envelope address"/>
    <w:basedOn w:val="Normal"/>
    <w:rsid w:val="004A7C47"/>
    <w:pPr>
      <w:framePr w:w="6804" w:h="2268" w:hRule="exact" w:hSpace="142" w:wrap="auto" w:hAnchor="page" w:xAlign="center" w:yAlign="bottom"/>
      <w:snapToGrid w:val="0"/>
      <w:ind w:leftChars="1400" w:left="100"/>
    </w:pPr>
    <w:rPr>
      <w:rFonts w:ascii="Arial" w:hAnsi="Arial" w:cs="Arial"/>
      <w:sz w:val="24"/>
      <w:szCs w:val="24"/>
    </w:rPr>
  </w:style>
  <w:style w:type="paragraph" w:styleId="TableofAuthorities">
    <w:name w:val="table of authorities"/>
    <w:basedOn w:val="Normal"/>
    <w:next w:val="Normal"/>
    <w:semiHidden/>
    <w:rsid w:val="004A7C47"/>
    <w:pPr>
      <w:ind w:left="200" w:hangingChars="100" w:hanging="200"/>
    </w:pPr>
  </w:style>
  <w:style w:type="paragraph" w:styleId="TOAHeading">
    <w:name w:val="toa heading"/>
    <w:basedOn w:val="Normal"/>
    <w:next w:val="Normal"/>
    <w:semiHidden/>
    <w:rsid w:val="004A7C47"/>
    <w:pPr>
      <w:spacing w:before="180"/>
    </w:pPr>
    <w:rPr>
      <w:rFonts w:ascii="Arial" w:eastAsia="MS Gothic" w:hAnsi="Arial" w:cs="Arial"/>
      <w:sz w:val="24"/>
      <w:szCs w:val="24"/>
    </w:rPr>
  </w:style>
  <w:style w:type="paragraph" w:styleId="NoteHeading">
    <w:name w:val="Note Heading"/>
    <w:basedOn w:val="Normal"/>
    <w:next w:val="Normal"/>
    <w:rsid w:val="004A7C47"/>
    <w:pPr>
      <w:jc w:val="center"/>
    </w:pPr>
  </w:style>
  <w:style w:type="paragraph" w:styleId="Closing">
    <w:name w:val="Closing"/>
    <w:basedOn w:val="Normal"/>
    <w:rsid w:val="004A7C47"/>
    <w:pPr>
      <w:jc w:val="right"/>
    </w:pPr>
  </w:style>
  <w:style w:type="paragraph" w:styleId="DocumentMap">
    <w:name w:val="Document Map"/>
    <w:basedOn w:val="Normal"/>
    <w:semiHidden/>
    <w:rsid w:val="004A7C47"/>
    <w:pPr>
      <w:shd w:val="clear" w:color="auto" w:fill="000080"/>
    </w:pPr>
    <w:rPr>
      <w:rFonts w:ascii="Arial" w:eastAsia="MS Gothic" w:hAnsi="Arial"/>
    </w:rPr>
  </w:style>
  <w:style w:type="paragraph" w:styleId="EnvelopeReturn">
    <w:name w:val="envelope return"/>
    <w:basedOn w:val="Normal"/>
    <w:rsid w:val="004A7C47"/>
    <w:pPr>
      <w:snapToGrid w:val="0"/>
    </w:pPr>
    <w:rPr>
      <w:rFonts w:ascii="Arial" w:hAnsi="Arial" w:cs="Arial"/>
    </w:rPr>
  </w:style>
  <w:style w:type="paragraph" w:styleId="Index1">
    <w:name w:val="index 1"/>
    <w:basedOn w:val="Normal"/>
    <w:next w:val="Normal"/>
    <w:autoRedefine/>
    <w:semiHidden/>
    <w:rsid w:val="004A7C47"/>
    <w:pPr>
      <w:ind w:left="200" w:hangingChars="100" w:hanging="200"/>
    </w:pPr>
  </w:style>
  <w:style w:type="paragraph" w:styleId="Index2">
    <w:name w:val="index 2"/>
    <w:basedOn w:val="Normal"/>
    <w:next w:val="Normal"/>
    <w:autoRedefine/>
    <w:semiHidden/>
    <w:rsid w:val="004A7C47"/>
    <w:pPr>
      <w:ind w:leftChars="100" w:left="100" w:hangingChars="100" w:hanging="200"/>
    </w:pPr>
  </w:style>
  <w:style w:type="paragraph" w:styleId="Index3">
    <w:name w:val="index 3"/>
    <w:basedOn w:val="Normal"/>
    <w:next w:val="Normal"/>
    <w:autoRedefine/>
    <w:semiHidden/>
    <w:rsid w:val="004A7C47"/>
    <w:pPr>
      <w:ind w:leftChars="200" w:left="200" w:hangingChars="100" w:hanging="200"/>
    </w:pPr>
  </w:style>
  <w:style w:type="paragraph" w:styleId="Index4">
    <w:name w:val="index 4"/>
    <w:basedOn w:val="Normal"/>
    <w:next w:val="Normal"/>
    <w:autoRedefine/>
    <w:semiHidden/>
    <w:rsid w:val="004A7C47"/>
    <w:pPr>
      <w:ind w:leftChars="300" w:left="300" w:hangingChars="100" w:hanging="200"/>
    </w:pPr>
  </w:style>
  <w:style w:type="paragraph" w:styleId="Index5">
    <w:name w:val="index 5"/>
    <w:basedOn w:val="Normal"/>
    <w:next w:val="Normal"/>
    <w:autoRedefine/>
    <w:semiHidden/>
    <w:rsid w:val="004A7C47"/>
    <w:pPr>
      <w:ind w:leftChars="400" w:left="400" w:hangingChars="100" w:hanging="200"/>
    </w:pPr>
  </w:style>
  <w:style w:type="paragraph" w:styleId="Index6">
    <w:name w:val="index 6"/>
    <w:basedOn w:val="Normal"/>
    <w:next w:val="Normal"/>
    <w:autoRedefine/>
    <w:semiHidden/>
    <w:rsid w:val="004A7C47"/>
    <w:pPr>
      <w:ind w:leftChars="500" w:left="500" w:hangingChars="100" w:hanging="200"/>
    </w:pPr>
  </w:style>
  <w:style w:type="paragraph" w:styleId="Index7">
    <w:name w:val="index 7"/>
    <w:basedOn w:val="Normal"/>
    <w:next w:val="Normal"/>
    <w:autoRedefine/>
    <w:semiHidden/>
    <w:rsid w:val="004A7C47"/>
    <w:pPr>
      <w:ind w:leftChars="600" w:left="600" w:hangingChars="100" w:hanging="200"/>
    </w:pPr>
  </w:style>
  <w:style w:type="paragraph" w:styleId="Index8">
    <w:name w:val="index 8"/>
    <w:basedOn w:val="Normal"/>
    <w:next w:val="Normal"/>
    <w:autoRedefine/>
    <w:semiHidden/>
    <w:rsid w:val="004A7C47"/>
    <w:pPr>
      <w:ind w:leftChars="700" w:left="700" w:hangingChars="100" w:hanging="200"/>
    </w:pPr>
  </w:style>
  <w:style w:type="paragraph" w:styleId="Index9">
    <w:name w:val="index 9"/>
    <w:basedOn w:val="Normal"/>
    <w:next w:val="Normal"/>
    <w:autoRedefine/>
    <w:semiHidden/>
    <w:rsid w:val="004A7C47"/>
    <w:pPr>
      <w:ind w:leftChars="800" w:left="800" w:hangingChars="100" w:hanging="200"/>
    </w:pPr>
  </w:style>
  <w:style w:type="paragraph" w:styleId="IndexHeading">
    <w:name w:val="index heading"/>
    <w:basedOn w:val="Normal"/>
    <w:next w:val="Index1"/>
    <w:semiHidden/>
    <w:rsid w:val="004A7C47"/>
    <w:rPr>
      <w:rFonts w:ascii="Arial" w:hAnsi="Arial" w:cs="Arial"/>
      <w:b/>
      <w:bCs/>
    </w:rPr>
  </w:style>
  <w:style w:type="paragraph" w:styleId="Signature">
    <w:name w:val="Signature"/>
    <w:basedOn w:val="Normal"/>
    <w:rsid w:val="004A7C47"/>
    <w:pPr>
      <w:jc w:val="right"/>
    </w:pPr>
  </w:style>
  <w:style w:type="paragraph" w:styleId="PlainText">
    <w:name w:val="Plain Text"/>
    <w:basedOn w:val="Normal"/>
    <w:rsid w:val="004A7C47"/>
    <w:rPr>
      <w:rFonts w:ascii="MS Mincho" w:hAnsi="Courier New" w:cs="Courier New"/>
      <w:sz w:val="21"/>
      <w:szCs w:val="21"/>
    </w:rPr>
  </w:style>
  <w:style w:type="paragraph" w:styleId="TableofFigures">
    <w:name w:val="table of figures"/>
    <w:basedOn w:val="Normal"/>
    <w:next w:val="Normal"/>
    <w:semiHidden/>
    <w:rsid w:val="004A7C47"/>
    <w:pPr>
      <w:ind w:leftChars="200" w:left="850" w:hangingChars="200" w:hanging="425"/>
    </w:pPr>
  </w:style>
  <w:style w:type="paragraph" w:styleId="BalloonText">
    <w:name w:val="Balloon Text"/>
    <w:basedOn w:val="Normal"/>
    <w:semiHidden/>
    <w:rsid w:val="004A7C47"/>
    <w:rPr>
      <w:rFonts w:ascii="Arial" w:eastAsia="MS Gothic" w:hAnsi="Arial"/>
      <w:sz w:val="18"/>
      <w:szCs w:val="18"/>
    </w:rPr>
  </w:style>
  <w:style w:type="paragraph" w:styleId="E-mailSignature">
    <w:name w:val="E-mail Signature"/>
    <w:basedOn w:val="Normal"/>
    <w:rsid w:val="004A7C47"/>
  </w:style>
  <w:style w:type="paragraph" w:styleId="Date">
    <w:name w:val="Date"/>
    <w:basedOn w:val="Normal"/>
    <w:next w:val="Normal"/>
    <w:rsid w:val="004A7C47"/>
  </w:style>
  <w:style w:type="paragraph" w:styleId="NormalWeb">
    <w:name w:val="Normal (Web)"/>
    <w:basedOn w:val="Normal"/>
    <w:rsid w:val="004A7C47"/>
    <w:rPr>
      <w:sz w:val="24"/>
      <w:szCs w:val="24"/>
    </w:rPr>
  </w:style>
  <w:style w:type="paragraph" w:styleId="NormalIndent">
    <w:name w:val="Normal Indent"/>
    <w:basedOn w:val="Normal"/>
    <w:rsid w:val="004A7C47"/>
    <w:pPr>
      <w:ind w:leftChars="400" w:left="840"/>
    </w:pPr>
  </w:style>
  <w:style w:type="paragraph" w:styleId="Title">
    <w:name w:val="Title"/>
    <w:basedOn w:val="Normal"/>
    <w:qFormat/>
    <w:rsid w:val="004A7C47"/>
    <w:pPr>
      <w:spacing w:before="240" w:after="120"/>
      <w:jc w:val="center"/>
      <w:outlineLvl w:val="0"/>
    </w:pPr>
    <w:rPr>
      <w:rFonts w:ascii="Arial" w:eastAsia="MS Gothic" w:hAnsi="Arial" w:cs="Arial"/>
      <w:sz w:val="32"/>
      <w:szCs w:val="32"/>
    </w:rPr>
  </w:style>
  <w:style w:type="paragraph" w:styleId="Subtitle">
    <w:name w:val="Subtitle"/>
    <w:basedOn w:val="Normal"/>
    <w:qFormat/>
    <w:rsid w:val="004A7C47"/>
    <w:pPr>
      <w:jc w:val="center"/>
      <w:outlineLvl w:val="1"/>
    </w:pPr>
    <w:rPr>
      <w:rFonts w:ascii="Arial" w:eastAsia="MS Gothic" w:hAnsi="Arial" w:cs="Arial"/>
      <w:sz w:val="24"/>
      <w:szCs w:val="24"/>
    </w:rPr>
  </w:style>
  <w:style w:type="paragraph" w:styleId="EndnoteText">
    <w:name w:val="endnote text"/>
    <w:basedOn w:val="Normal"/>
    <w:semiHidden/>
    <w:rsid w:val="004A7C47"/>
    <w:pPr>
      <w:snapToGrid w:val="0"/>
      <w:jc w:val="left"/>
    </w:pPr>
  </w:style>
  <w:style w:type="paragraph" w:styleId="TOC1">
    <w:name w:val="toc 1"/>
    <w:basedOn w:val="Normal"/>
    <w:next w:val="Normal"/>
    <w:autoRedefine/>
    <w:semiHidden/>
    <w:rsid w:val="004A7C47"/>
  </w:style>
  <w:style w:type="paragraph" w:styleId="TOC2">
    <w:name w:val="toc 2"/>
    <w:basedOn w:val="Normal"/>
    <w:next w:val="Normal"/>
    <w:autoRedefine/>
    <w:semiHidden/>
    <w:rsid w:val="004A7C47"/>
    <w:pPr>
      <w:ind w:leftChars="100" w:left="200"/>
    </w:pPr>
  </w:style>
  <w:style w:type="paragraph" w:styleId="TOC3">
    <w:name w:val="toc 3"/>
    <w:basedOn w:val="Normal"/>
    <w:next w:val="Normal"/>
    <w:autoRedefine/>
    <w:semiHidden/>
    <w:rsid w:val="004A7C47"/>
    <w:pPr>
      <w:ind w:leftChars="200" w:left="400"/>
    </w:pPr>
  </w:style>
  <w:style w:type="paragraph" w:styleId="TOC4">
    <w:name w:val="toc 4"/>
    <w:basedOn w:val="Normal"/>
    <w:next w:val="Normal"/>
    <w:autoRedefine/>
    <w:semiHidden/>
    <w:rsid w:val="004A7C47"/>
    <w:pPr>
      <w:ind w:leftChars="300" w:left="600"/>
    </w:pPr>
  </w:style>
  <w:style w:type="paragraph" w:styleId="TOC5">
    <w:name w:val="toc 5"/>
    <w:basedOn w:val="Normal"/>
    <w:next w:val="Normal"/>
    <w:autoRedefine/>
    <w:semiHidden/>
    <w:rsid w:val="004A7C47"/>
    <w:pPr>
      <w:ind w:leftChars="400" w:left="800"/>
    </w:pPr>
  </w:style>
  <w:style w:type="paragraph" w:styleId="TOC6">
    <w:name w:val="toc 6"/>
    <w:basedOn w:val="Normal"/>
    <w:next w:val="Normal"/>
    <w:autoRedefine/>
    <w:semiHidden/>
    <w:rsid w:val="004A7C47"/>
    <w:pPr>
      <w:ind w:leftChars="500" w:left="1000"/>
    </w:pPr>
  </w:style>
  <w:style w:type="paragraph" w:styleId="TOC7">
    <w:name w:val="toc 7"/>
    <w:basedOn w:val="Normal"/>
    <w:next w:val="Normal"/>
    <w:autoRedefine/>
    <w:semiHidden/>
    <w:rsid w:val="004A7C47"/>
    <w:pPr>
      <w:ind w:leftChars="600" w:left="1200"/>
    </w:pPr>
  </w:style>
  <w:style w:type="paragraph" w:styleId="TOC8">
    <w:name w:val="toc 8"/>
    <w:basedOn w:val="Normal"/>
    <w:next w:val="Normal"/>
    <w:autoRedefine/>
    <w:semiHidden/>
    <w:rsid w:val="004A7C47"/>
    <w:pPr>
      <w:ind w:leftChars="700" w:left="1400"/>
    </w:pPr>
  </w:style>
  <w:style w:type="paragraph" w:styleId="TOC9">
    <w:name w:val="toc 9"/>
    <w:basedOn w:val="Normal"/>
    <w:next w:val="Normal"/>
    <w:autoRedefine/>
    <w:semiHidden/>
    <w:rsid w:val="004A7C47"/>
    <w:pPr>
      <w:ind w:leftChars="800" w:left="1600"/>
    </w:pPr>
  </w:style>
  <w:style w:type="paragraph" w:customStyle="1" w:styleId="ISMIRAuthor">
    <w:name w:val="ISMIRAuthor"/>
    <w:basedOn w:val="ISMIRAffiliation"/>
    <w:next w:val="ISMIRAffiliation"/>
    <w:rsid w:val="00AC5118"/>
    <w:rPr>
      <w:b/>
    </w:rPr>
  </w:style>
  <w:style w:type="paragraph" w:customStyle="1" w:styleId="ISMIRAffiliation">
    <w:name w:val="ISMIRAffiliation"/>
    <w:basedOn w:val="Normal"/>
    <w:rsid w:val="00AC5118"/>
    <w:pPr>
      <w:jc w:val="center"/>
    </w:pPr>
    <w:rPr>
      <w:rFonts w:ascii="Times" w:hAnsi="Times"/>
      <w:sz w:val="24"/>
      <w:lang w:val="en-GB"/>
    </w:rPr>
  </w:style>
  <w:style w:type="character" w:styleId="FollowedHyperlink">
    <w:name w:val="FollowedHyperlink"/>
    <w:rsid w:val="000D18E3"/>
    <w:rPr>
      <w:color w:val="800080"/>
      <w:u w:val="single"/>
    </w:rPr>
  </w:style>
  <w:style w:type="paragraph" w:customStyle="1" w:styleId="Third-LevelHeadinds">
    <w:name w:val="Third-Level Headinds"/>
    <w:basedOn w:val="Heading3"/>
    <w:qFormat/>
    <w:rsid w:val="008956EC"/>
    <w:pPr>
      <w:numPr>
        <w:ilvl w:val="2"/>
        <w:numId w:val="1"/>
      </w:numPr>
      <w:spacing w:before="120" w:after="120"/>
    </w:pPr>
    <w:rPr>
      <w:rFonts w:cs="MS Mincho"/>
      <w:iCs/>
      <w:sz w:val="20"/>
    </w:rPr>
  </w:style>
  <w:style w:type="paragraph" w:customStyle="1" w:styleId="Second-LevelHeadings">
    <w:name w:val="Second-Level Headings"/>
    <w:basedOn w:val="Heading2"/>
    <w:autoRedefine/>
    <w:qFormat/>
    <w:rsid w:val="008956EC"/>
    <w:pPr>
      <w:numPr>
        <w:ilvl w:val="1"/>
        <w:numId w:val="1"/>
      </w:numPr>
      <w:spacing w:before="240" w:after="120"/>
    </w:pPr>
    <w:rPr>
      <w:rFonts w:cs="MS Mincho"/>
      <w:bCs/>
      <w:sz w:val="20"/>
    </w:rPr>
  </w:style>
  <w:style w:type="paragraph" w:customStyle="1" w:styleId="112pt6pt108li">
    <w:name w:val="スタイル 見出し 1 + すべて大文字 段落前 :  12 pt 段落後 :  6 pt 行間 :  倍数 1.08 li"/>
    <w:basedOn w:val="Heading1"/>
    <w:rsid w:val="00003ADF"/>
    <w:pPr>
      <w:spacing w:before="240" w:after="120" w:line="259" w:lineRule="auto"/>
    </w:pPr>
    <w:rPr>
      <w:rFonts w:cs="MS Mincho"/>
      <w:bCs/>
      <w:caps/>
    </w:rPr>
  </w:style>
  <w:style w:type="paragraph" w:customStyle="1" w:styleId="First-LevelHeadings">
    <w:name w:val="First-Level Headings"/>
    <w:basedOn w:val="Heading1"/>
    <w:next w:val="BodyText"/>
    <w:qFormat/>
    <w:rsid w:val="002002DC"/>
    <w:pPr>
      <w:numPr>
        <w:numId w:val="1"/>
      </w:numPr>
      <w:tabs>
        <w:tab w:val="left" w:pos="240"/>
      </w:tabs>
      <w:spacing w:before="240" w:after="120"/>
    </w:pPr>
    <w:rPr>
      <w:rFonts w:cs="MS Mincho"/>
      <w:bCs/>
      <w:caps/>
    </w:rPr>
  </w:style>
  <w:style w:type="character" w:customStyle="1" w:styleId="BodyTextChar">
    <w:name w:val="Body Text Char"/>
    <w:basedOn w:val="DefaultParagraphFont"/>
    <w:link w:val="BodyText"/>
    <w:rsid w:val="00E773CA"/>
    <w:rPr>
      <w:lang w:eastAsia="en-US"/>
    </w:rPr>
  </w:style>
  <w:style w:type="character" w:styleId="PlaceholderText">
    <w:name w:val="Placeholder Text"/>
    <w:basedOn w:val="DefaultParagraphFont"/>
    <w:uiPriority w:val="99"/>
    <w:semiHidden/>
    <w:rsid w:val="00F833C2"/>
    <w:rPr>
      <w:color w:val="808080"/>
    </w:rPr>
  </w:style>
  <w:style w:type="character" w:customStyle="1" w:styleId="UnresolvedMention1">
    <w:name w:val="Unresolved Mention1"/>
    <w:basedOn w:val="DefaultParagraphFont"/>
    <w:uiPriority w:val="99"/>
    <w:semiHidden/>
    <w:unhideWhenUsed/>
    <w:rsid w:val="0003119E"/>
    <w:rPr>
      <w:color w:val="808080"/>
      <w:shd w:val="clear" w:color="auto" w:fill="E6E6E6"/>
    </w:rPr>
  </w:style>
  <w:style w:type="character" w:styleId="LineNumber">
    <w:name w:val="line number"/>
    <w:basedOn w:val="DefaultParagraphFont"/>
    <w:uiPriority w:val="99"/>
    <w:unhideWhenUsed/>
    <w:rsid w:val="00702332"/>
    <w:rPr>
      <w:rFonts w:ascii="Times New Roman" w:hAnsi="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31892">
      <w:bodyDiv w:val="1"/>
      <w:marLeft w:val="0"/>
      <w:marRight w:val="0"/>
      <w:marTop w:val="0"/>
      <w:marBottom w:val="0"/>
      <w:divBdr>
        <w:top w:val="none" w:sz="0" w:space="0" w:color="auto"/>
        <w:left w:val="none" w:sz="0" w:space="0" w:color="auto"/>
        <w:bottom w:val="none" w:sz="0" w:space="0" w:color="auto"/>
        <w:right w:val="none" w:sz="0" w:space="0" w:color="auto"/>
      </w:divBdr>
    </w:div>
    <w:div w:id="1618752130">
      <w:bodyDiv w:val="1"/>
      <w:marLeft w:val="0"/>
      <w:marRight w:val="0"/>
      <w:marTop w:val="0"/>
      <w:marBottom w:val="0"/>
      <w:divBdr>
        <w:top w:val="none" w:sz="0" w:space="0" w:color="auto"/>
        <w:left w:val="none" w:sz="0" w:space="0" w:color="auto"/>
        <w:bottom w:val="none" w:sz="0" w:space="0" w:color="auto"/>
        <w:right w:val="none" w:sz="0" w:space="0" w:color="auto"/>
      </w:divBdr>
    </w:div>
    <w:div w:id="1722168145">
      <w:bodyDiv w:val="1"/>
      <w:marLeft w:val="0"/>
      <w:marRight w:val="0"/>
      <w:marTop w:val="0"/>
      <w:marBottom w:val="0"/>
      <w:divBdr>
        <w:top w:val="none" w:sz="0" w:space="0" w:color="auto"/>
        <w:left w:val="none" w:sz="0" w:space="0" w:color="auto"/>
        <w:bottom w:val="none" w:sz="0" w:space="0" w:color="auto"/>
        <w:right w:val="none" w:sz="0" w:space="0" w:color="auto"/>
      </w:divBdr>
    </w:div>
    <w:div w:id="18297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nhalee\AppData\Local\Temp\Temp1_ISMIR2014_doc_template.zip\ISMIR2014_doc_template\ISMIR201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AC132-17BE-46A4-AF60-6D34C343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ISMIR2014Template.dot</Template>
  <TotalTime>229</TotalTime>
  <Pages>3</Pages>
  <Words>1137</Words>
  <Characters>6487</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ISMIR 2009 Template</vt:lpstr>
    </vt:vector>
  </TitlesOfParts>
  <Manager/>
  <Company>ISMIR</Company>
  <LinksUpToDate>false</LinksUpToDate>
  <CharactersWithSpaces>7609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Extended Abstracts for the Late-Breaking Demo Session. of the 21st Int. Society for Music Information Retrieval Conf., Montréal, Canada, 2020.</dc:subject>
  <dc:creator/>
  <cp:keywords/>
  <dc:description/>
  <cp:lastModifiedBy>Liwei Lin</cp:lastModifiedBy>
  <cp:revision>107</cp:revision>
  <cp:lastPrinted>2020-01-10T07:11:00Z</cp:lastPrinted>
  <dcterms:created xsi:type="dcterms:W3CDTF">2016-05-23T00:58:00Z</dcterms:created>
  <dcterms:modified xsi:type="dcterms:W3CDTF">2026-06-10T15:57:00Z</dcterms:modified>
  <cp:category/>
</cp:coreProperties>
</file>