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proofErr w:type="gram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Pr="00990DCA">
              <w:rPr>
                <w:b/>
                <w:i/>
                <w:color w:val="7030A0"/>
              </w:rPr>
              <w:t>~</w:t>
            </w:r>
            <w:proofErr w:type="gramEnd"/>
            <w:r w:rsidRPr="00990DCA">
              <w:rPr>
                <w:b/>
                <w:i/>
                <w:color w:val="7030A0"/>
              </w:rPr>
              <w:t>=/^=/ne, &gt;=/</w:t>
            </w:r>
            <w:proofErr w:type="spellStart"/>
            <w:r w:rsidRPr="00990DCA">
              <w:rPr>
                <w:b/>
                <w:i/>
                <w:color w:val="7030A0"/>
              </w:rPr>
              <w:t>ge</w:t>
            </w:r>
            <w:proofErr w:type="spellEnd"/>
            <w:r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Pr="00990DCA">
              <w:rPr>
                <w:b/>
                <w:i/>
                <w:color w:val="7030A0"/>
              </w:rPr>
              <w:t>gt</w:t>
            </w:r>
            <w:proofErr w:type="spellEnd"/>
            <w:r w:rsidRPr="00990DCA">
              <w:rPr>
                <w:b/>
                <w:i/>
                <w:color w:val="7030A0"/>
              </w:rPr>
              <w:t>, &lt;/</w:t>
            </w:r>
            <w:proofErr w:type="spellStart"/>
            <w:r w:rsidRPr="00990DCA">
              <w:rPr>
                <w:b/>
                <w:i/>
                <w:color w:val="7030A0"/>
              </w:rPr>
              <w:t>lt</w:t>
            </w:r>
            <w:proofErr w:type="spellEnd"/>
            <w:r w:rsidRPr="00990DCA">
              <w:rPr>
                <w:b/>
                <w:i/>
                <w:color w:val="7030A0"/>
              </w:rPr>
              <w:t>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proofErr w:type="spellStart"/>
            <w:r w:rsidRPr="0016118A">
              <w:rPr>
                <w:b/>
                <w:i/>
                <w:sz w:val="32"/>
                <w:szCs w:val="32"/>
              </w:rPr>
              <w:t>var</w:t>
            </w:r>
            <w:proofErr w:type="spellEnd"/>
            <w:r w:rsidRPr="0016118A"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proofErr w:type="spellStart"/>
            <w:r w:rsidRPr="000D5064">
              <w:rPr>
                <w:b/>
                <w:i/>
              </w:rPr>
              <w:t>FIRST.variable</w:t>
            </w:r>
            <w:proofErr w:type="spellEnd"/>
            <w:r>
              <w:t xml:space="preserve"> and </w:t>
            </w:r>
            <w:proofErr w:type="spellStart"/>
            <w:r w:rsidRPr="000D5064">
              <w:rPr>
                <w:b/>
                <w:i/>
              </w:rPr>
              <w:t>LAST.variable</w:t>
            </w:r>
            <w:proofErr w:type="spellEnd"/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proofErr w:type="spellStart"/>
            <w:r w:rsidRPr="00312A41">
              <w:rPr>
                <w:sz w:val="32"/>
                <w:szCs w:val="32"/>
                <w:highlight w:val="yellow"/>
              </w:rPr>
              <w:t>Varname</w:t>
            </w:r>
            <w:proofErr w:type="spellEnd"/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proofErr w:type="spellStart"/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</w:t>
            </w:r>
            <w:proofErr w:type="spellStart"/>
            <w:r>
              <w:t>EoF</w:t>
            </w:r>
            <w:proofErr w:type="spellEnd"/>
            <w:r>
              <w:t xml:space="preserve">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 xml:space="preserve">Variable name will carry 1 or zero for the last observation. Variable contains the </w:t>
            </w:r>
            <w:proofErr w:type="spellStart"/>
            <w:r>
              <w:t>EoF</w:t>
            </w:r>
            <w:proofErr w:type="spellEnd"/>
            <w:r>
              <w:t xml:space="preserve">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491F25" w:rsidRPr="00FD40B4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 w:rsidR="0026620B">
              <w:rPr>
                <w:b/>
                <w:sz w:val="32"/>
                <w:szCs w:val="32"/>
              </w:rPr>
              <w:t>/MERGE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B;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A62CA">
              <w:rPr>
                <w:b/>
              </w:rPr>
              <w:t>One to One Mapping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Multiple SET statement – No Missing Values – Values skipped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N</w:t>
            </w:r>
            <w:r w:rsidRPr="002A62CA">
              <w:t>umber of observation in new dataset is equal to the number of observation in the smallest original dataset;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</w:rPr>
            </w:pPr>
            <w:r w:rsidRPr="002A62CA">
              <w:rPr>
                <w:b/>
              </w:rPr>
              <w:t>Concatenation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>Single SET statement - Missing Values - No Values skipped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Like a </w:t>
            </w:r>
            <w:proofErr w:type="spellStart"/>
            <w:r>
              <w:t>san</w:t>
            </w:r>
            <w:r w:rsidRPr="002A62CA">
              <w:t>widge</w:t>
            </w:r>
            <w:proofErr w:type="spellEnd"/>
            <w:r w:rsidRPr="002A62CA">
              <w:t>, one data set sit below the other in a stacked fashion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Type of common variables should be the same, else SAS throw error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 xml:space="preserve">If no explicit mention of Type, Label, format or </w:t>
            </w:r>
            <w:proofErr w:type="spellStart"/>
            <w:r w:rsidRPr="002A62CA">
              <w:t>informats</w:t>
            </w:r>
            <w:proofErr w:type="spellEnd"/>
            <w:r w:rsidRPr="002A62CA">
              <w:t xml:space="preserve"> are made, SAS will automatically derive them from first occurring dataset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ID;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A62CA">
              <w:rPr>
                <w:b/>
              </w:rPr>
              <w:t>Interleaving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Single SET + BY statement - No Missing Value - No Values Skipped;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Multiple matching observation for a single observation in BY statement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Data read based on the order of By Variables defined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2A62CA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  <w:r w:rsidRPr="002A62CA"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574F52" w:rsidRPr="008502A8" w:rsidRDefault="002A62CA" w:rsidP="002A62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8502A8">
              <w:rPr>
                <w:b/>
              </w:rPr>
              <w:t>One to One Match merging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 xml:space="preserve">Single </w:t>
            </w:r>
            <w:r>
              <w:rPr>
                <w:b/>
                <w:i/>
                <w:color w:val="70AD47" w:themeColor="accent6"/>
              </w:rPr>
              <w:t>MERGE</w:t>
            </w:r>
            <w:r w:rsidRPr="002A62CA">
              <w:rPr>
                <w:b/>
                <w:i/>
                <w:color w:val="70AD47" w:themeColor="accent6"/>
              </w:rPr>
              <w:t xml:space="preserve"> statement </w:t>
            </w:r>
            <w:r>
              <w:rPr>
                <w:b/>
                <w:i/>
                <w:color w:val="70AD47" w:themeColor="accent6"/>
              </w:rPr>
              <w:t>–</w:t>
            </w:r>
            <w:r w:rsidRPr="002A62CA">
              <w:rPr>
                <w:b/>
                <w:i/>
                <w:color w:val="70AD47" w:themeColor="accent6"/>
              </w:rPr>
              <w:t xml:space="preserve"> </w:t>
            </w:r>
            <w:r>
              <w:rPr>
                <w:b/>
                <w:i/>
                <w:color w:val="70AD47" w:themeColor="accent6"/>
              </w:rPr>
              <w:t xml:space="preserve"> </w:t>
            </w:r>
            <w:r w:rsidRPr="002A62CA">
              <w:rPr>
                <w:b/>
                <w:i/>
                <w:color w:val="70AD47" w:themeColor="accent6"/>
              </w:rPr>
              <w:t>Missing Values - Values skipped</w:t>
            </w:r>
          </w:p>
          <w:p w:rsidR="002A62CA" w:rsidRPr="004F760D" w:rsidRDefault="00BB1F43" w:rsidP="002A62CA">
            <w:pPr>
              <w:pStyle w:val="ListParagraph"/>
              <w:numPr>
                <w:ilvl w:val="0"/>
                <w:numId w:val="10"/>
              </w:numPr>
            </w:pPr>
            <w:r w:rsidRPr="00BB1F43">
              <w:t xml:space="preserve">Diff between Concatenation and Simple Merge: </w:t>
            </w:r>
            <w:r w:rsidRPr="00BB1F43">
              <w:t>Doesn’t</w:t>
            </w:r>
            <w:r w:rsidRPr="00BB1F43">
              <w:t xml:space="preserve"> stops its iteration </w:t>
            </w:r>
            <w:r>
              <w:t>with</w:t>
            </w:r>
            <w:r w:rsidRPr="00BB1F43">
              <w:t xml:space="preserve"> the smaller dataset, loop exte</w:t>
            </w:r>
            <w:r w:rsidR="00BA4126">
              <w:t>nds to the maximum observations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CD51F9" w:rsidRDefault="008502A8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</w:p>
          <w:p w:rsidR="00574F52" w:rsidRPr="00FD40B4" w:rsidRDefault="008502A8" w:rsidP="00491F25">
            <w:pPr>
              <w:rPr>
                <w:b/>
                <w:sz w:val="24"/>
                <w:szCs w:val="24"/>
              </w:rPr>
            </w:pPr>
            <w:r w:rsidRPr="00FD40B4">
              <w:rPr>
                <w:sz w:val="24"/>
                <w:szCs w:val="24"/>
              </w:rPr>
              <w:t>A</w:t>
            </w:r>
            <w:r w:rsidR="00CD51F9" w:rsidRPr="00FD40B4">
              <w:rPr>
                <w:sz w:val="24"/>
                <w:szCs w:val="24"/>
              </w:rPr>
              <w:t xml:space="preserve"> 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>=</w:t>
            </w:r>
            <w:proofErr w:type="spellStart"/>
            <w:r w:rsidR="00311C4F" w:rsidRPr="00FD40B4">
              <w:rPr>
                <w:sz w:val="24"/>
                <w:szCs w:val="24"/>
              </w:rPr>
              <w:t>inA</w:t>
            </w:r>
            <w:proofErr w:type="spellEnd"/>
            <w:r w:rsidR="00311C4F" w:rsidRPr="00FD40B4">
              <w:rPr>
                <w:sz w:val="24"/>
                <w:szCs w:val="24"/>
              </w:rPr>
              <w:t xml:space="preserve">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</w:t>
            </w:r>
            <w:proofErr w:type="spellStart"/>
            <w:r w:rsidR="00CD51F9" w:rsidRPr="00FD40B4">
              <w:rPr>
                <w:sz w:val="24"/>
                <w:szCs w:val="24"/>
              </w:rPr>
              <w:t>VarA</w:t>
            </w:r>
            <w:proofErr w:type="spellEnd"/>
            <w:r w:rsidR="00CD51F9" w:rsidRPr="00FD40B4">
              <w:rPr>
                <w:sz w:val="24"/>
                <w:szCs w:val="24"/>
              </w:rPr>
              <w:t>=</w:t>
            </w:r>
            <w:proofErr w:type="spellStart"/>
            <w:r w:rsidR="00CD51F9" w:rsidRPr="00FD40B4">
              <w:rPr>
                <w:sz w:val="24"/>
                <w:szCs w:val="24"/>
              </w:rPr>
              <w:t>VariableA</w:t>
            </w:r>
            <w:proofErr w:type="spellEnd"/>
            <w:r w:rsidR="00CD51F9" w:rsidRPr="00FD40B4">
              <w:rPr>
                <w:sz w:val="24"/>
                <w:szCs w:val="24"/>
              </w:rPr>
              <w:t xml:space="preserve">)) </w:t>
            </w:r>
            <w:proofErr w:type="gramStart"/>
            <w:r w:rsidRPr="00FD40B4">
              <w:rPr>
                <w:sz w:val="24"/>
                <w:szCs w:val="24"/>
              </w:rPr>
              <w:t>B</w:t>
            </w:r>
            <w:r w:rsidR="00CD51F9" w:rsidRPr="00FD40B4">
              <w:rPr>
                <w:sz w:val="24"/>
                <w:szCs w:val="24"/>
              </w:rPr>
              <w:t>(</w:t>
            </w:r>
            <w:proofErr w:type="gramEnd"/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>=</w:t>
            </w:r>
            <w:proofErr w:type="spellStart"/>
            <w:r w:rsidR="00311C4F" w:rsidRPr="00FD40B4">
              <w:rPr>
                <w:sz w:val="24"/>
                <w:szCs w:val="24"/>
              </w:rPr>
              <w:t>inB</w:t>
            </w:r>
            <w:proofErr w:type="spellEnd"/>
            <w:r w:rsidR="00311C4F" w:rsidRPr="00FD40B4">
              <w:rPr>
                <w:sz w:val="24"/>
                <w:szCs w:val="24"/>
              </w:rPr>
              <w:t xml:space="preserve">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</w:t>
            </w:r>
            <w:proofErr w:type="spellStart"/>
            <w:r w:rsidR="00CD51F9" w:rsidRPr="00FD40B4">
              <w:rPr>
                <w:sz w:val="24"/>
                <w:szCs w:val="24"/>
              </w:rPr>
              <w:t>VarA</w:t>
            </w:r>
            <w:proofErr w:type="spellEnd"/>
            <w:r w:rsidR="00CD51F9" w:rsidRPr="00FD40B4">
              <w:rPr>
                <w:sz w:val="24"/>
                <w:szCs w:val="24"/>
              </w:rPr>
              <w:t>=</w:t>
            </w:r>
            <w:proofErr w:type="spellStart"/>
            <w:r w:rsidR="00CD51F9" w:rsidRPr="00FD40B4">
              <w:rPr>
                <w:sz w:val="24"/>
                <w:szCs w:val="24"/>
              </w:rPr>
              <w:t>VariableB</w:t>
            </w:r>
            <w:proofErr w:type="spellEnd"/>
            <w:r w:rsidR="00CD51F9" w:rsidRPr="00FD40B4">
              <w:rPr>
                <w:sz w:val="24"/>
                <w:szCs w:val="24"/>
              </w:rPr>
              <w:t>)</w:t>
            </w:r>
            <w:r w:rsidRPr="00FD40B4">
              <w:rPr>
                <w:b/>
                <w:sz w:val="24"/>
                <w:szCs w:val="24"/>
              </w:rPr>
              <w:t>;</w:t>
            </w:r>
          </w:p>
          <w:p w:rsidR="008502A8" w:rsidRDefault="008502A8" w:rsidP="00491F25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BY 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  <w:highlight w:val="yellow"/>
              </w:rPr>
              <w:t>DESCENDING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8502A8">
              <w:rPr>
                <w:sz w:val="32"/>
                <w:szCs w:val="32"/>
              </w:rPr>
              <w:t>ID;</w:t>
            </w:r>
          </w:p>
          <w:p w:rsidR="00311C4F" w:rsidRDefault="00311C4F" w:rsidP="00491F25">
            <w:pPr>
              <w:rPr>
                <w:sz w:val="32"/>
                <w:szCs w:val="32"/>
              </w:rPr>
            </w:pPr>
            <w:r w:rsidRPr="00FD40B4">
              <w:rPr>
                <w:color w:val="808080" w:themeColor="background1" w:themeShade="80"/>
                <w:sz w:val="32"/>
                <w:szCs w:val="32"/>
              </w:rPr>
              <w:t xml:space="preserve">If </w:t>
            </w:r>
            <w:proofErr w:type="spellStart"/>
            <w:r w:rsidRPr="00FD40B4">
              <w:rPr>
                <w:color w:val="808080" w:themeColor="background1" w:themeShade="80"/>
                <w:sz w:val="32"/>
                <w:szCs w:val="32"/>
              </w:rPr>
              <w:t>inA</w:t>
            </w:r>
            <w:proofErr w:type="spellEnd"/>
            <w:r w:rsidRPr="00FD40B4">
              <w:rPr>
                <w:color w:val="808080" w:themeColor="background1" w:themeShade="80"/>
                <w:sz w:val="32"/>
                <w:szCs w:val="32"/>
              </w:rPr>
              <w:t xml:space="preserve"> = 1 and </w:t>
            </w:r>
            <w:proofErr w:type="spellStart"/>
            <w:r w:rsidRPr="00FD40B4">
              <w:rPr>
                <w:color w:val="808080" w:themeColor="background1" w:themeShade="80"/>
                <w:sz w:val="32"/>
                <w:szCs w:val="32"/>
              </w:rPr>
              <w:t>inB</w:t>
            </w:r>
            <w:proofErr w:type="spellEnd"/>
            <w:r w:rsidRPr="00FD40B4">
              <w:rPr>
                <w:color w:val="808080" w:themeColor="background1" w:themeShade="80"/>
                <w:sz w:val="32"/>
                <w:szCs w:val="32"/>
              </w:rPr>
              <w:t>=1</w:t>
            </w:r>
            <w:r>
              <w:rPr>
                <w:sz w:val="32"/>
                <w:szCs w:val="32"/>
              </w:rPr>
              <w:t>;</w:t>
            </w:r>
          </w:p>
          <w:p w:rsidR="00CD51F9" w:rsidRPr="00A31527" w:rsidRDefault="00CD51F9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Default="008502A8" w:rsidP="008502A8">
            <w:pPr>
              <w:pStyle w:val="ListParagraph"/>
              <w:numPr>
                <w:ilvl w:val="0"/>
                <w:numId w:val="11"/>
              </w:numPr>
            </w:pPr>
            <w:r>
              <w:t>Simple Match Merging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color w:val="70AD47" w:themeColor="accent6"/>
              </w:rPr>
            </w:pPr>
            <w:r w:rsidRPr="008502A8">
              <w:rPr>
                <w:b/>
                <w:i/>
                <w:color w:val="70AD47" w:themeColor="accent6"/>
              </w:rPr>
              <w:t>Single MERGE + BY statement - Missing Values - No Values skipped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PDV will retain its value </w:t>
            </w:r>
            <w:r w:rsidRPr="008502A8">
              <w:t>until</w:t>
            </w:r>
            <w:r w:rsidRPr="008502A8">
              <w:t xml:space="preserve"> the value for all BY variables changes;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Order of Sorting can be changed to </w:t>
            </w:r>
            <w:r w:rsidRPr="008502A8">
              <w:t>descending</w:t>
            </w:r>
            <w:r w:rsidRPr="008502A8">
              <w:t xml:space="preserve"> by mentioning </w:t>
            </w:r>
            <w:r w:rsidRPr="008502A8">
              <w:rPr>
                <w:b/>
              </w:rPr>
              <w:t>DECENDING</w:t>
            </w:r>
            <w:r w:rsidRPr="008502A8">
              <w:t xml:space="preserve"> after BY Statement;</w:t>
            </w:r>
          </w:p>
          <w:p w:rsid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It must </w:t>
            </w:r>
            <w:r w:rsidR="00CD51F9" w:rsidRPr="00CD51F9">
              <w:rPr>
                <w:b/>
                <w:i/>
              </w:rPr>
              <w:t xml:space="preserve">also </w:t>
            </w:r>
            <w:r w:rsidRPr="00CD51F9">
              <w:rPr>
                <w:b/>
                <w:i/>
              </w:rPr>
              <w:t>be done in all PROC SORT steps</w:t>
            </w:r>
            <w:r w:rsidRPr="008502A8">
              <w:t xml:space="preserve"> and as well in merge statement accordingly;</w:t>
            </w:r>
          </w:p>
          <w:p w:rsidR="00CD51F9" w:rsidRDefault="00CD51F9" w:rsidP="008502A8">
            <w:pPr>
              <w:pStyle w:val="ListParagraph"/>
              <w:numPr>
                <w:ilvl w:val="0"/>
                <w:numId w:val="11"/>
              </w:numPr>
            </w:pPr>
            <w:r w:rsidRPr="00CD51F9">
              <w:t>In case any two dataset</w:t>
            </w:r>
            <w:r w:rsidRPr="00CD51F9">
              <w:t>s</w:t>
            </w:r>
            <w:r w:rsidRPr="00CD51F9">
              <w:t xml:space="preserve"> has same column name, SAS will overwrite the data with the latest data it encounters</w:t>
            </w:r>
            <w:r w:rsidRPr="00CD51F9">
              <w:t xml:space="preserve">, to prevent this </w:t>
            </w:r>
            <w:r w:rsidRPr="00CD51F9">
              <w:t xml:space="preserve">we can rename the matching variables using </w:t>
            </w:r>
            <w:r w:rsidRPr="00CD51F9">
              <w:rPr>
                <w:b/>
              </w:rPr>
              <w:t>RENAME</w:t>
            </w:r>
            <w:r w:rsidRPr="00CD51F9">
              <w:t>.</w:t>
            </w:r>
          </w:p>
          <w:p w:rsidR="00FD40B4" w:rsidRDefault="00311C4F" w:rsidP="00FD40B4">
            <w:pPr>
              <w:pStyle w:val="ListParagraph"/>
              <w:numPr>
                <w:ilvl w:val="0"/>
                <w:numId w:val="11"/>
              </w:numPr>
            </w:pPr>
            <w:r w:rsidRPr="00311C4F">
              <w:rPr>
                <w:b/>
              </w:rPr>
              <w:t>IN</w:t>
            </w:r>
            <w:r w:rsidRPr="00311C4F">
              <w:t xml:space="preserve"> is a temporary variable, u</w:t>
            </w:r>
            <w:r w:rsidRPr="00311C4F">
              <w:t>sed to select only the observations that appear in both dataset</w:t>
            </w:r>
          </w:p>
          <w:p w:rsidR="00FD40B4" w:rsidRPr="00FD40B4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DATA statement</w:t>
            </w:r>
            <w:r w:rsidRPr="00FD40B4">
              <w:t xml:space="preserve"> </w:t>
            </w:r>
            <w:r w:rsidRPr="00FD40B4">
              <w:rPr>
                <w:b/>
                <w:i/>
              </w:rPr>
              <w:t>means</w:t>
            </w:r>
            <w:r w:rsidRPr="00FD40B4">
              <w:t xml:space="preserve"> drop those variable as</w:t>
            </w:r>
            <w:r w:rsidRPr="00FD40B4">
              <w:t xml:space="preserve"> part of DROP in target dataset</w:t>
            </w:r>
          </w:p>
          <w:p w:rsidR="00FD40B4" w:rsidRPr="0016682F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merge statement means</w:t>
            </w:r>
            <w:r w:rsidRPr="00FD40B4">
              <w:t xml:space="preserve"> </w:t>
            </w:r>
            <w:r w:rsidRPr="00FD40B4">
              <w:t>don’t</w:t>
            </w:r>
            <w:r w:rsidRPr="00FD40B4">
              <w:t xml:space="preserve"> even consider while merging, drop them even </w:t>
            </w:r>
            <w:r>
              <w:t>before PDV is completely formed</w:t>
            </w:r>
            <w:bookmarkStart w:id="0" w:name="_GoBack"/>
            <w:bookmarkEnd w:id="0"/>
          </w:p>
        </w:tc>
      </w:tr>
    </w:tbl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BF"/>
    <w:multiLevelType w:val="hybridMultilevel"/>
    <w:tmpl w:val="C84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0EAC"/>
    <w:multiLevelType w:val="hybridMultilevel"/>
    <w:tmpl w:val="D8389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1FE3"/>
    <w:multiLevelType w:val="hybridMultilevel"/>
    <w:tmpl w:val="2F32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3389E"/>
    <w:multiLevelType w:val="hybridMultilevel"/>
    <w:tmpl w:val="3DB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5064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85EB6"/>
    <w:rsid w:val="001902F8"/>
    <w:rsid w:val="00190D1B"/>
    <w:rsid w:val="001B61DB"/>
    <w:rsid w:val="001C0112"/>
    <w:rsid w:val="001C1215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54B70"/>
    <w:rsid w:val="00263B03"/>
    <w:rsid w:val="00264E0A"/>
    <w:rsid w:val="00265A74"/>
    <w:rsid w:val="0026620B"/>
    <w:rsid w:val="00267181"/>
    <w:rsid w:val="00276F5C"/>
    <w:rsid w:val="00280F4D"/>
    <w:rsid w:val="00291FFD"/>
    <w:rsid w:val="002A62CA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1C4F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76C0"/>
    <w:rsid w:val="003C3C4B"/>
    <w:rsid w:val="003E2C3D"/>
    <w:rsid w:val="003F0C4F"/>
    <w:rsid w:val="003F3C39"/>
    <w:rsid w:val="00416310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24C3"/>
    <w:rsid w:val="004B32D9"/>
    <w:rsid w:val="004B7D2A"/>
    <w:rsid w:val="004C0C05"/>
    <w:rsid w:val="004C7A2D"/>
    <w:rsid w:val="004D2AB3"/>
    <w:rsid w:val="004D349F"/>
    <w:rsid w:val="004E16D7"/>
    <w:rsid w:val="004F760D"/>
    <w:rsid w:val="00501B93"/>
    <w:rsid w:val="00505C27"/>
    <w:rsid w:val="00512BC1"/>
    <w:rsid w:val="00517294"/>
    <w:rsid w:val="00525302"/>
    <w:rsid w:val="005554F3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610B9"/>
    <w:rsid w:val="006611B7"/>
    <w:rsid w:val="00670A39"/>
    <w:rsid w:val="00670B50"/>
    <w:rsid w:val="006772E2"/>
    <w:rsid w:val="00682B9D"/>
    <w:rsid w:val="00690C62"/>
    <w:rsid w:val="006B2E8A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502A8"/>
    <w:rsid w:val="00873667"/>
    <w:rsid w:val="00886EF6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6EF5"/>
    <w:rsid w:val="00B67D84"/>
    <w:rsid w:val="00B92188"/>
    <w:rsid w:val="00BA4126"/>
    <w:rsid w:val="00BB1F43"/>
    <w:rsid w:val="00BC57FC"/>
    <w:rsid w:val="00BC6610"/>
    <w:rsid w:val="00BD11B2"/>
    <w:rsid w:val="00BD6C53"/>
    <w:rsid w:val="00BD78B2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D51F9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6B44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11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393</cp:revision>
  <dcterms:created xsi:type="dcterms:W3CDTF">2017-05-05T13:40:00Z</dcterms:created>
  <dcterms:modified xsi:type="dcterms:W3CDTF">2017-06-25T20:18:00Z</dcterms:modified>
</cp:coreProperties>
</file>