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Workshop 1 Speaker Notes</w:t>
      </w:r>
    </w:p>
    <w:p>
      <w:pPr>
        <w:pStyle w:val="Subtitle"/>
      </w:pPr>
      <w:r>
        <w:t xml:space="preserve">Write the slide number in the blank, then read the notes below it.</w:t>
      </w:r>
    </w:p>
    <w:p>
      <w:pPr>
        <w:pStyle w:val="NoteLabel"/>
        <w:keepNext/>
        <w:spacing w:before="240" w:after="120"/>
      </w:pPr>
      <w:r>
        <w:t xml:space="preserve">Slide number: ____________________</w:t>
      </w:r>
    </w:p>
    <w:p>
      <w:pPr>
        <w:pStyle w:val="NoteText"/>
        <w:spacing w:after="180" w:line="300" w:lineRule="auto"/>
      </w:pPr>
      <w:r>
        <w:t xml:space="preserve">Good morning. We are Deepu and Miguel, Example 4: an algorithmic market with adaptive agents. Our long-term motivation is to help everyday traders avoid preventable losses. On Hyperliquid, every fill carries public wallet addresses, which lets us study how information and exchange rules distribute trading costs and risks. Today we establish mechanisms: how learned maker profits can be attacked, when identity helps, and who bears toxic flow in our model. We have not yet demonstrated a rule that protects retail accounts from severe losses. That is the next research stage, with customer outcomes as the test of success. Ten minutes: two on why, three on the model, four on evidence, one on that next step.</w:t>
      </w:r>
    </w:p>
    <w:p>
      <w:pPr>
        <w:pStyle w:val="NoteLabel"/>
        <w:keepNext/>
        <w:spacing w:before="240" w:after="120"/>
      </w:pPr>
      <w:r>
        <w:t xml:space="preserve">Slide number: ____________________</w:t>
      </w:r>
    </w:p>
    <w:p>
      <w:pPr>
        <w:pStyle w:val="NoteText"/>
        <w:spacing w:after="180" w:line="300" w:lineRule="auto"/>
      </w:pPr>
      <w:r>
        <w:t xml:space="preserve">Leverage means exposure larger than the collateral supporting it. A thousand dollars supporting a twenty-thousand-dollar long position gives twenty-times leverage. A five-percent rise produces a thousand-dollar gain before fees and funding; a five-percent fall produces a loss equal to the original collateral. For perpetuals this is exposure supported by margin, rather than a literal nineteen-thousand-dollar loan from the exchange. Maintenance margin can trigger liquidation before equity reaches zero, and liquidation can leave collateral remaining. Leveraged ETFs have a different structure, typically with daily resetting; the Korean products and a perpetual account should not be treated as the same liquidation mechanism. Our current simulator studies execution and information. Modelling collateral, margin, depth and forced sales is a later extension needed before we can claim to reduce liquidation losses. Sources for these distinctions: Hyperliquid Docs, Margining and Liquidations; SEC Investor Bulletin, Leveraged and Inverse ETFs.</w:t>
      </w:r>
    </w:p>
    <w:p>
      <w:pPr>
        <w:pStyle w:val="NoteLabel"/>
        <w:keepNext/>
        <w:spacing w:before="240" w:after="120"/>
      </w:pPr>
      <w:r>
        <w:t xml:space="preserve">Slide number: ____________________</w:t>
      </w:r>
    </w:p>
    <w:p>
      <w:pPr>
        <w:pStyle w:val="NoteText"/>
        <w:spacing w:after="180" w:line="300" w:lineRule="auto"/>
      </w:pPr>
      <w:r>
        <w:t xml:space="preserve">Why we care: large trading losses affect people with ordinary jobs, savings, and families. President Lee's words reflect the human stakes behind this work. The Korean episode motivates the research; our Hyperliquid model does not explain or attribute those losses. Our present contribution is to identify how information and exchange rules distribute execution costs and risks. The public-benefit goal is to test which rules improve outcomes for less-informed traders. Account liquidation requires a further model extension.</w:t>
      </w:r>
    </w:p>
    <w:p>
      <w:pPr>
        <w:pStyle w:val="NoteLabel"/>
        <w:keepNext/>
        <w:spacing w:before="240" w:after="120"/>
      </w:pPr>
      <w:r>
        <w:t xml:space="preserve">Slide number: ____________________</w:t>
      </w:r>
    </w:p>
    <w:p>
      <w:pPr>
        <w:pStyle w:val="NoteText"/>
        <w:spacing w:after="180" w:line="300" w:lineRule="auto"/>
      </w:pPr>
      <w:r>
        <w:t xml:space="preserve">Vocabulary, because the audience has not seen this before. An exchange is a list of standing offers, the order book. Price lives on a grid; one grid step is a tick. On the left, in blue, are bids: offers to buy at that price. On the right, in orange, are asks: offers to sell. The people who post these standing offers are market makers; each box is one maker's order and on Hyperliquid each box carries the maker's public wallet address. The dashed line is the mid, halfway between the best bid and the best ask. [click] The distance between best bid and best ask is the spread; we write the half-spread h in ticks, here one tick each side. [click] A taker is someone who accepts an offer instead of posting one. T buys one unit: he hits the best ask, and that is a fill for maker B, because B was first in line at that price and A was behind. A bigger order takes A's too and walks to the next price, and that walking is most of what a trade really costs. What becomes public: the fill itself, buy, price, both wallets, immediately. What does not: whether B made or lost money on it. That only shows up as the price moves afterwards, which is the next slide.</w:t>
      </w:r>
    </w:p>
    <w:p>
      <w:pPr>
        <w:pStyle w:val="NoteLabel"/>
        <w:keepNext/>
        <w:spacing w:before="240" w:after="120"/>
      </w:pPr>
      <w:r>
        <w:t xml:space="preserve">Slide number: ____________________</w:t>
      </w:r>
    </w:p>
    <w:p>
      <w:pPr>
        <w:pStyle w:val="NoteText"/>
        <w:spacing w:after="180" w:line="300" w:lineRule="auto"/>
      </w:pPr>
      <w:r>
        <w:t xml:space="preserve">How do we know whether the maker won on a fill? We look at where the price goes afterwards. On the left, the taker was uninformed, a noise trader; the price sits where it was, and the maker sold above the mid, so it keeps the half-spread. On the right the taker knew something; the price runs up past the price the maker sold at, and the maker has sold too cheap. That signed difference, mid a few seconds later minus the fill price from the maker's point of view, is the markout. It is the single measurement everything in our data work rests on. A stream of fills with negative markouts is what practitioners call toxic flow, and economists call adverse selection. A maker's whole business is being in line for the left-hand fills and not the right-hand ones.</w:t>
      </w:r>
    </w:p>
    <w:p>
      <w:pPr>
        <w:pStyle w:val="NoteLabel"/>
        <w:keepNext/>
        <w:spacing w:before="240" w:after="120"/>
      </w:pPr>
      <w:r>
        <w:t xml:space="preserve">Slide number: ____________________</w:t>
      </w:r>
    </w:p>
    <w:p>
      <w:pPr>
        <w:pStyle w:val="NoteText"/>
        <w:spacing w:after="180" w:line="300" w:lineRule="auto"/>
      </w:pPr>
      <w:r>
        <w:t xml:space="preserve">The other word in the title: rent. Three pictures of the same two makers' ask prices. Left: both quote the competitive half-spread h-C, where what you earn from noise takers just covers what you lose to informed ones; each earns about zero. Middle: B quotes wide and A undercuts by a tick; takers always hit the tighter price, so A takes every fill and B gets nothing. That is why a wide quote is fragile. Right: both quote wide and neither undercuts. Each takes half the fills at the wide price and earns half the monopoly profit. The difference between the right panel and the left is the rent. The striking fact, from Colliard, Foucault and Lovo and replicated by us, is that independent learning algorithms end up in the right panel without ever communicating. Each learns that undercutting today gets punished tomorrow, and stops. That is tacit collusion, and the rent is what the uninformed taker pays for it.</w:t>
      </w:r>
    </w:p>
    <w:p>
      <w:pPr>
        <w:pStyle w:val="NoteLabel"/>
        <w:keepNext/>
        <w:spacing w:before="240" w:after="120"/>
      </w:pPr>
      <w:r>
        <w:t xml:space="preserve">Slide number: ____________________</w:t>
      </w:r>
    </w:p>
    <w:p>
      <w:pPr>
        <w:pStyle w:val="NoteText"/>
        <w:spacing w:after="180" w:line="300" w:lineRule="auto"/>
      </w:pPr>
      <w:r>
        <w:t xml:space="preserve">A small example with made-up numbers, so that the next slides have something concrete to point at. One tick is one dollar. The table on the left is the expected profit per period of whichever maker has the best quote, as a function of its half-spread. Read the middle row, our market: at one tick you lose half a dollar, because the informed takers pick you off; at two ticks you break even, that is h-C, the Nash quote; at four ticks you earn ninety cents, that is h-M, the joint-monopoly quote; at five you earn less because the noise takers start walking away. The rent is ninety cents minus zero: ninety cents per period. And look at the toxic row: the same four-tick quote earns ten cents there, barely break-even. That is the puzzle from the title in numbers: the quote alone does not tell you which row you are in. Now the periods. Period 1: A and B both quote four, tie, and share the rent, forty-five cents each. [click] Period 2: an entrant E quotes three. Takers always hit the best price, so E takes every fill and earns sixty cents; A and B earn nothing. [click] Period 3: the cartel has learned a rule from its training: match an undercut, and go back to four once nobody undercuts. So A and B quote three. A naive entrant undercuts again, to two, where everyone earns zero. [click] Periods 4 and 5: the war runs down to Nash and stays there. The undercut rule earned sixty cents once and then nothing. That is why a learned cartel is stable against naive entry, and the next slide is what a smarter entrant does with the same rule.</w:t>
      </w:r>
    </w:p>
    <w:p>
      <w:pPr>
        <w:pStyle w:val="NoteLabel"/>
        <w:keepNext/>
        <w:spacing w:before="240" w:after="120"/>
      </w:pPr>
      <w:r>
        <w:t xml:space="preserve">Slide number: ____________________</w:t>
      </w:r>
    </w:p>
    <w:p>
      <w:pPr>
        <w:pStyle w:val="NoteText"/>
        <w:spacing w:after="180" w:line="300" w:lineRule="auto"/>
      </w:pPr>
      <w:r>
        <w:t xml:space="preserve">Same rule, smarter entrant. Period 2, E undercuts to three and takes sixty cents. [click] Period 3, the cartel matches at three. Instead of undercutting again, E steps aside and quotes five. Nobody undercut the cartel this period, so by its own rule it goes back to four in period 4, and E undercuts to three again and takes another sixty cents. Period 5, step aside; period 6, undercut; and so on. [click] On average E earns thirty cents a period, a third of the rent, and A and B are down from forty-five to fifteen each. E never started a war; it used the cartel's own forgiveness against it. In the full model the cartel's rule is a table learned by Q-learning, and the exact best response solves that table by backward induction and takes the whole rent, not a third. [click] Now add identity. It is period 6 and E is due to quote three. The taker who arrives is wallet T, and E has seen T before: the last time T traded against E, the price ran away and E lost. An entrant that sees the wallet steps aside; A gets the fill at four ticks and loses four dollars. An entrant that sees only the tape has no way to know yet; it quotes three, takes the fill, and loses four dollars, seven good periods of profit gone in one fill. The tape will show that T was informed only when the price moves, a few fills later. That gap, between the fill and the tape catching up, is what identity is worth, and it is what we measure.</w:t>
      </w:r>
    </w:p>
    <w:p>
      <w:pPr>
        <w:pStyle w:val="NoteLabel"/>
        <w:keepNext/>
        <w:spacing w:before="240" w:after="120"/>
      </w:pPr>
      <w:r>
        <w:t xml:space="preserve">Slide number: ____________________</w:t>
      </w:r>
    </w:p>
    <w:p>
      <w:pPr>
        <w:pStyle w:val="NoteText"/>
        <w:spacing w:after="180" w:line="300" w:lineRule="auto"/>
      </w:pPr>
      <w:r>
        <w:t xml:space="preserve">Who plays. Three players. The incumbents, in blue, are the makers who have already learned a cartel; they decide how wide to quote and, on a one-tick book, whether to stay in the queue. The entrant, in orange, is the adversary: a new maker who decides which quotes to undercut and which fills to be there for. The venue, in green, sets the rules: are identities public, how coarse is the tick, can a maker pay for queue position. The right side is the information structure, nested. The anonymous tape, which every exchange in the world shows: prices, fills, and eventually each fill's markout. Add the wallet on every fill and you have what Hyperliquid shows. Add the hidden regime, whether the market is currently calm or toxic, and you have an oracle that we use only as an upper bound. The entrant's information set is the treatment: we run the same attacker with each of the three and the difference is what identity is worth.</w:t>
      </w:r>
    </w:p>
    <w:p>
      <w:pPr>
        <w:pStyle w:val="NoteLabel"/>
        <w:keepNext/>
        <w:spacing w:before="240" w:after="120"/>
      </w:pPr>
      <w:r>
        <w:t xml:space="preserve">Slide number: ____________________</w:t>
      </w:r>
    </w:p>
    <w:p>
      <w:pPr>
        <w:pStyle w:val="NoteText"/>
        <w:spacing w:after="180" w:line="300" w:lineRule="auto"/>
      </w:pPr>
      <w:r>
        <w:t xml:space="preserve">Our three current questions concern identity, exploitability and venue rules. They explain how strategic advantages arise and who bears toxic flow in the model. The players adapt to each other, so changing a rule can change both quoting behavior and the outcomes customers receive. Our next-stage question is whether an intervention lowers less-informed traders' costs and severe losses while preserving access in stress. That benefit must be measured separately from the attacker's profit or the makers' resilience.</w:t>
      </w:r>
    </w:p>
    <w:p>
      <w:pPr>
        <w:pStyle w:val="NoteLabel"/>
        <w:keepNext/>
        <w:spacing w:before="240" w:after="120"/>
      </w:pPr>
      <w:r>
        <w:t xml:space="preserve">Slide number: ____________________</w:t>
      </w:r>
    </w:p>
    <w:p>
      <w:pPr>
        <w:pStyle w:val="NoteText"/>
        <w:spacing w:after="180" w:line="300" w:lineRule="auto"/>
      </w:pPr>
      <w:r>
        <w:t xml:space="preserve">The model, one period. Step one: every maker commits a half-spread h on the tick grid. Step two: nature draws a regime, calm or toxic, from a persistent Markov chain, then a wallet from a population of fifty; each wallet has its own probability alpha-j of being informed, and in the toxic state the active wallets are the toxic ones. Step three: the taker hits the best quote if it pays him to, which for an informed taker means exactly when the maker will lose. Step four: the fill is public at once, price and wallet, but its markout, the value V-t the maker traded against, is only revealed L arrivals later. That lag L is the key parameter. Step five: the filled maker's payoff is price minus value. One hundred periods make an episode; the regime chain and the wallets persist across episodes. The incumbents are tabular Q-learners whose state is their own last quote and the best rival's; they are identity-blind by construction; we train them twenty thousand episodes and then freeze them, so a cartel is a fixed reaction function. The entrant's information set is the treatment, and a Bayesian filter turns whatever it sees into an estimate of the next taker's alpha. And because the market is Glosten-Milgrom, the expected payoff of a quote against informed share alpha is closed form, which is what makes rent measurable rather than estimated.</w:t>
      </w:r>
    </w:p>
    <w:p>
      <w:pPr>
        <w:pStyle w:val="NoteLabel"/>
        <w:keepNext/>
        <w:spacing w:before="240" w:after="120"/>
      </w:pPr>
      <w:r>
        <w:t xml:space="preserve">Slide number: ____________________</w:t>
      </w:r>
    </w:p>
    <w:p>
      <w:pPr>
        <w:pStyle w:val="NoteText"/>
        <w:spacing w:after="180" w:line="300" w:lineRule="auto"/>
      </w:pPr>
      <w:r>
        <w:t xml:space="preserve">[0:15] Everything you are about to see runs from one command in seconds: benchmarks, the cartel alone, three adversaries entering under the same random numbers, and the best response traced period by period. Fifty-nine tests, every number in the report logged with the command that produced it.</w:t>
      </w:r>
    </w:p>
    <w:p>
      <w:pPr>
        <w:pStyle w:val="NoteLabel"/>
        <w:keepNext/>
        <w:spacing w:before="240" w:after="120"/>
      </w:pPr>
      <w:r>
        <w:t xml:space="preserve">Slide number: ____________________</w:t>
      </w:r>
    </w:p>
    <w:p>
      <w:pPr>
        <w:pStyle w:val="NoteText"/>
        <w:spacing w:after="180" w:line="300" w:lineRule="auto"/>
      </w:pPr>
      <w:r>
        <w:t xml:space="preserve">[0:30] First, the thing we attack exists. Independent Q-learners settle at a rent index of 0.7 to 0.9 in every cell of a grid over the number of makers, learning rate and initialisation; that replicates Colliard, Foucault and Lovo. And we can see the mechanism: in most states undercutting would pay this period, and the learner almost never does it. It has learned that the rival punishes. That restraint is the rent, and it is also the attack surface.</w:t>
      </w:r>
    </w:p>
    <w:p>
      <w:pPr>
        <w:pStyle w:val="NoteLabel"/>
        <w:keepNext/>
        <w:spacing w:before="240" w:after="120"/>
      </w:pPr>
      <w:r>
        <w:t xml:space="preserve">Slide number: ____________________</w:t>
      </w:r>
    </w:p>
    <w:p>
      <w:pPr>
        <w:pStyle w:val="NoteText"/>
        <w:spacing w:after="180" w:line="300" w:lineRule="auto"/>
      </w:pPr>
      <w:r>
        <w:t xml:space="preserve">[0:45] Two hand-written rules take about two thirds of the rent. The exact best response solves the frozen cartel's reaction function by backward induction and removes its entire rent in sixty of sixty tested populations, earning monopoly-like profit for itself. Re-solving after the cartel re-learns preserves the attack. This establishes strategic vulnerability under the model's assumptions. It does not show that customers receive cheaper execution: the entrant can keep the market wide and collect the profit itself. For our next stage, this attacker is a stress-testing instrument. The separate question is whether a protective rule improves customer outcomes under that stress.</w:t>
      </w:r>
    </w:p>
    <w:p>
      <w:pPr>
        <w:pStyle w:val="NoteLabel"/>
        <w:keepNext/>
        <w:spacing w:before="240" w:after="120"/>
      </w:pPr>
      <w:r>
        <w:t xml:space="preserve">Slide number: ____________________</w:t>
      </w:r>
    </w:p>
    <w:p>
      <w:pPr>
        <w:pStyle w:val="NoteText"/>
        <w:spacing w:after="180" w:line="300" w:lineRule="auto"/>
      </w:pPr>
      <w:r>
        <w:t xml:space="preserve">[0:40] Now RQ1, what a wallet is worth beyond the tape. Informed trading comes in spells, and the toxic wallets are the ones active in a spell. The regime turns toxic at arrival four. With identities, the fourth fill carries a wallet you have seen lose you money before, so you step out now. The anonymous tape learns a fill's markout L arrivals later; with L equal to three, the first minus sign appears at arrival seven. So identity is worth what you lose on those L fills: measured, it is zero where even toxic flow leaves an undercut profitable, alpha up to 0.3, and grows with the lag at alpha 0.5, up to the lifetime of a spell. On Hyperliquid that lag is real: the outcome of a fill is knowable only once the price has moved; the wallet is on the fill at once.</w:t>
      </w:r>
    </w:p>
    <w:p>
      <w:pPr>
        <w:pStyle w:val="NoteLabel"/>
        <w:keepNext/>
        <w:spacing w:before="240" w:after="120"/>
      </w:pPr>
      <w:r>
        <w:t xml:space="preserve">Slide number: ____________________</w:t>
      </w:r>
    </w:p>
    <w:p>
      <w:pPr>
        <w:pStyle w:val="NoteText"/>
        <w:spacing w:after="180" w:line="300" w:lineRule="auto"/>
      </w:pPr>
      <w:r>
        <w:t xml:space="preserve">[0:35] Four sessions, twenty-five hours, four hundred and ninety thousand scored fills. BTC, ETH and SOL spreads are essentially one tick. Average maker markouts at the touch are negative at ten seconds, while the top ten active makers do better at the same price. These are outcomes for the maker on each fill, not retail account returns. The comparison shows that fill selection matters; it does not by itself establish excess profits after all operating costs. For consumer protection, the next step is to measure outcomes separately for customers taking liquidity and customers supplying it.</w:t>
      </w:r>
    </w:p>
    <w:p>
      <w:pPr>
        <w:pStyle w:val="NoteLabel"/>
        <w:keepNext/>
        <w:spacing w:before="240" w:after="120"/>
      </w:pPr>
      <w:r>
        <w:t xml:space="preserve">Slide number: ____________________</w:t>
      </w:r>
    </w:p>
    <w:p>
      <w:pPr>
        <w:pStyle w:val="NoteText"/>
        <w:spacing w:after="180" w:line="300" w:lineRule="auto"/>
      </w:pPr>
      <w:r>
        <w:t xml:space="preserve">[0:35] We typed taker wallets on the first night and measured the top makers' share of their fills in later sessions. Their share is lower for previously toxic wallets, in calm and stressed tape, and the gap survives when the mid does not move within one second. This is evidence of differential exposure consistent with selection. It does not identify the signals the makers actually used or prove that wallet identity caused the gap. The data motivates our information treatments and a closer study of cancellations and queue actions. We also cannot label these wallets as ordinary households from their addresses alone.</w:t>
      </w:r>
    </w:p>
    <w:p>
      <w:pPr>
        <w:pStyle w:val="NoteLabel"/>
        <w:keepNext/>
        <w:spacing w:before="240" w:after="120"/>
      </w:pPr>
      <w:r>
        <w:t xml:space="preserve">Slide number: ____________________</w:t>
      </w:r>
    </w:p>
    <w:p>
      <w:pPr>
        <w:pStyle w:val="NoteText"/>
        <w:spacing w:after="180" w:line="300" w:lineRule="auto"/>
      </w:pPr>
      <w:r>
        <w:t xml:space="preserve">[0:30] This is our closest current result to the consumer-protection question. In the queue model, anonymity raises uninformed takers' fill probability during toxic spells. Priority fees raise venue revenue and deepen the losses of the always-resting fringe. These are distributional tradeoffs. More fills alone do not establish higher welfare, and the fringe is a modeled strategy rather than an identified retail population. The next test measures costs, gains from trade and severe losses separately for takers and passive traders, while checking that makers still supply liquidity.</w:t>
      </w:r>
    </w:p>
    <w:p>
      <w:pPr>
        <w:pStyle w:val="NoteLabel"/>
        <w:keepNext/>
        <w:spacing w:before="240" w:after="120"/>
      </w:pPr>
      <w:r>
        <w:t xml:space="preserve">Slide number: ____________________</w:t>
      </w:r>
    </w:p>
    <w:p>
      <w:pPr>
        <w:pStyle w:val="NoteText"/>
        <w:spacing w:after="180" w:line="300" w:lineRule="auto"/>
      </w:pPr>
      <w:r>
        <w:t xml:space="preserve">[0:35] The priority for Workshop 2 is a consumer-protection experiment. First, define small takers and passive traders separately and measure execution costs, gains from trade, access in stress and worst-five-percent losses. Our existing private valuations can support a model-based gains-from-trade measure. Second, compare identity disclosure and priority rules under matched market conditions and multiple seeds. Third, let makers adapt and use the existing attacker to test whether benefits survive. We must also let participants leave if they keep losing, rather than assume permanent subsidizing liquidity. The test of success is better customer outcomes with viable liquidity. Our question for the room is which rule improves those outcomes, and whether that improvement survives stress and adaptation.</w:t>
      </w:r>
    </w:p>
    <w:p>
      <w:pPr>
        <w:pStyle w:val="NoteLabel"/>
        <w:keepNext/>
        <w:spacing w:before="240" w:after="120"/>
      </w:pPr>
      <w:r>
        <w:t xml:space="preserve">Slide number: ____________________</w:t>
      </w:r>
    </w:p>
    <w:p>
      <w:pPr>
        <w:pStyle w:val="NoteText"/>
        <w:spacing w:after="180" w:line="300" w:lineRule="auto"/>
      </w:pPr>
      <w:r>
        <w:t xml:space="preserve">[0:25] Three things to remember. We have established vulnerabilities in learned maker behavior. We have shown how information and priority redistribute outcomes in the model, with empirical patterns that motivate those mechanisms. Now we will judge interventions by outcomes for less-informed traders. Helping an attacker profit is not sufficient evidence of public benefit. The next contribution must show whether a rule lowers customer costs or severe losses while preserving access to liquidity. Reducing leveraged account losses requires the later liquidation extension. That is how we plan to turn this work toward fewer preventable losses for everyday traders. Thank you.</w:t>
      </w:r>
    </w:p>
    <w:p>
      <w:pPr>
        <w:pStyle w:val="NoteLabel"/>
        <w:keepNext/>
        <w:spacing w:before="240" w:after="120"/>
      </w:pPr>
      <w:r>
        <w:t xml:space="preserve">Slide number: ____________________</w:t>
      </w:r>
    </w:p>
    <w:p>
      <w:pPr>
        <w:pStyle w:val="NoteText"/>
        <w:spacing w:after="180" w:line="300" w:lineRule="auto"/>
      </w:pPr>
      <w:r>
        <w:t xml:space="preserve">Here is the puzzle. This is the maker's expected profit per period as a function of its half-spread, one curve per level of toxicity alpha, the fraction of takers who are informed. Each curve has a break-even point on the left, h-C, and a peak, h-M. More toxic flow pushes the whole curve down and both points to the right. So if you watch a market and see wide quotes, you cannot tell whether the makers are colluding on a calm market, the blue curve, or correctly charging for a toxic one, the red curve. Rent and toxicity produce the same tape. The only ways to tell are to look at outcomes, the markouts, or to look at who is trading. And that second route exists only because wallets are public.</w:t>
      </w:r>
    </w:p>
    <w:p>
      <w:pPr>
        <w:pStyle w:val="NoteLabel"/>
        <w:keepNext/>
        <w:spacing w:before="240" w:after="120"/>
      </w:pPr>
      <w:r>
        <w:t xml:space="preserve">Slide number: ____________________</w:t>
      </w:r>
    </w:p>
    <w:p>
      <w:pPr>
        <w:pStyle w:val="NoteText"/>
        <w:spacing w:after="180" w:line="300" w:lineRule="auto"/>
      </w:pPr>
      <w:r>
        <w:t xml:space="preserve">Because the payoff curve is closed form, the benchmarks are exact. h-C is the smallest break-even quote, the Nash outcome of one-shot competition: any wider quote is profitably undercut. h-M is the joint-monopoly quote. The rent index C puts a frozen cartel between zero, Nash, and one, monopoly; the cartels we train sit at 0.7 to 0.9. Under an adversary A, L-B-R is what the cartel loses, and kappa-A is that loss as a share of the rent it had; kappa above one means the attacker destroyed more than the rent. All our results are in rent units, divided by Pi-M minus Pi-C, so cartels at different toxicity levels are comparable. A worked example at alpha 0.3: two incumbents at fourteen ticks split 1.50 per period. An entrant at thirteen takes every fill and earns 1.49, they earn zero. If they chase, the entrant goes to twelve, and the chase ends at h-C equals four, where everyone earns 0.12. A learned cartel is a reaction function that does not chase every time; that restraint is the rent, and it is also the attack surface, because the attacker can learn exactly when it chases and when it does not. The queue mode models the one-tick book: the spread is pinned, so the only decisions are rest, step out, or pay for priority, and the fill queue is first in first out. At break-even a fill is worth plus 1.10 in a calm spell and minus 2.26 in a toxic one, so all the value is in which fills you take.</w:t>
      </w:r>
    </w:p>
    <w:p>
      <w:pPr>
        <w:pStyle w:val="NoteLabel"/>
        <w:keepNext/>
        <w:spacing w:before="240" w:after="120"/>
      </w:pPr>
      <w:r>
        <w:t xml:space="preserve">Slide number: ____________________</w:t>
      </w:r>
    </w:p>
    <w:p>
      <w:pPr>
        <w:pStyle w:val="NoteText"/>
        <w:spacing w:after="180" w:line="300" w:lineRule="auto"/>
      </w:pPr>
      <w:r>
        <w:t xml:space="preserve">[0:30] What that looks like. Left: the cartel alone rotates at wide quotes and never goes near Nash. Middle: a naive undercut starts a price war and both sides slide to break-even. Right: the best response never provokes the war. It quotes one tick inside the reaction it has predicted; the cartel's learned answer is to stay wide; and the entrant takes nearly every fill at the monopoly price. The cartel's own restraint does the work.</w:t>
      </w:r>
    </w:p>
    <w:p>
      <w:pPr>
        <w:pStyle w:val="NoteLabel"/>
        <w:keepNext/>
        <w:spacing w:before="240" w:after="120"/>
      </w:pPr>
      <w:r>
        <w:t xml:space="preserve">Slide number: ____________________</w:t>
      </w:r>
    </w:p>
    <w:p>
      <w:pPr>
        <w:pStyle w:val="NoteText"/>
        <w:spacing w:after="180" w:line="300" w:lineRule="auto"/>
      </w:pPr>
      <w:r>
        <w:t xml:space="preserve">[0:25] This longer-term extension connects most directly to the people whose losses motivated us. We would add persistent prices, finite depth, collateral, maintenance margin, and forced sales with price impact. Then compare candidate protections by the fraction of small accounts liquidated, collateral retained and severe losses, while checking their ability to exit. Leverage limits, margin buffers and liquidation rules are hypotheses to test. The present model cannot establish that any of them prevents account wipeouts. Longer recording windows and stress episodes will help calibrate this extension.</w:t>
      </w:r>
    </w:p>
    <w:p>
      <w:pPr>
        <w:pStyle w:val="NoteLabel"/>
        <w:keepNext/>
        <w:spacing w:before="240" w:after="120"/>
      </w:pPr>
      <w:r>
        <w:t xml:space="preserve">Slide number: ____________________</w:t>
      </w:r>
    </w:p>
    <w:p>
      <w:pPr>
        <w:pStyle w:val="NoteText"/>
        <w:spacing w:after="180" w:line="300" w:lineRule="auto"/>
      </w:pPr>
      <w:r>
        <w:t xml:space="preserve">Here is the bridge from the human motivation to what we can actually establish. Today we show strategic vulnerabilities and how information and priority redistribute trading outcomes. An attacker earning more does not establish that customers benefit; it can simply move profit between sophisticated firms. Our next test compares exchange rules by less-informed traders' costs, gains from trade, access in stress, and severe losses. We will separate small takers from passive liquidity providers, because the same rule can help one and hurt the other. Public wallet histories let us measure behavior, but a wallet does not tell us whether its owner is retail or wealthy. The current work motivates protective interventions; their effectiveness remains to be tested.</w:t>
      </w:r>
    </w:p>
    <w:p>
      <w:pPr>
        <w:pStyle w:val="NoteLabel"/>
        <w:keepNext/>
        <w:spacing w:before="240" w:after="120"/>
      </w:pPr>
      <w:r>
        <w:t xml:space="preserve">Slide number: ____________________</w:t>
      </w:r>
    </w:p>
    <w:p>
      <w:pPr>
        <w:pStyle w:val="NoteText"/>
        <w:spacing w:after="180" w:line="300" w:lineRule="auto"/>
      </w:pPr>
      <w:r>
        <w:t xml:space="preserve">Measured. Our original proposal's mechanism, that the same wallet trades again so you can learn it, is worth nothing on the data: a wallet repeats within the window two to five percent of the time. The mechanism that survives is the lag story from the previous slide. The value of identity is zero wherever even the toxic state leaves an undercut profitable, alpha up to 0.3, because then you do not care who is coming. It becomes positive at alpha 0.5 and grows with the mark lag L, saturating at the spell's lifetime. So RQ1's answer is: identity is a lag story, and its value depends on the venue's reporting delay and the market's toxicity, not on recognising individuals.</w:t>
      </w:r>
    </w:p>
    <w:p>
      <w:pPr>
        <w:pStyle w:val="NoteLabel"/>
        <w:keepNext/>
        <w:spacing w:before="240" w:after="120"/>
      </w:pPr>
      <w:r>
        <w:t xml:space="preserve">Slide number: ____________________</w:t>
      </w:r>
    </w:p>
    <w:p>
      <w:pPr>
        <w:pStyle w:val="NoteText"/>
        <w:spacing w:after="180" w:line="300" w:lineRule="auto"/>
      </w:pPr>
      <w:r>
        <w:t xml:space="preserve">The spread is fixed, and makers choose whether to rest or step out. Resting makers form a first-in-first-out queue. A filled maker, or one returning after stepping out, joins the back. Selection avoids toxic fills at the cost of queue position. The always-resting fringe absorbs flow that selectors avoid. That strategy may approximate some passive liquidity, but it is not an empirically identified retail group or a calibrated vault policy. The consumer-protection extension will give small passive traders explicit constraints and allow loss-making participants to leave. We also model paid priority, which changes who receives favorable fills.</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Arial" w:hAnsi="Arial"/>
        <w:sz w:val="22"/>
      </w:rPr>
    </w:rPrDefault>
    <w:pPrDefault>
      <w:pPr>
        <w:spacing w:after="100" w:line="276" w:lineRule="auto"/>
      </w:pPr>
    </w:pPrDefault>
  </w:docDefaults>
  <w:style w:type="paragraph" w:default="1" w:styleId="Normal">
    <w:name w:val="Normal"/>
    <w:rPr>
      <w:rFonts w:ascii="Arial" w:hAnsi="Arial"/>
      <w:sz w:val="22"/>
    </w:rPr>
  </w:style>
  <w:style w:type="paragraph" w:styleId="Title">
    <w:name w:val="Title"/>
    <w:basedOn w:val="Normal"/>
    <w:pPr>
      <w:spacing w:after="160"/>
    </w:pPr>
    <w:rPr>
      <w:b/>
      <w:sz w:val="36"/>
      <w:color w:val="17365D"/>
    </w:rPr>
  </w:style>
  <w:style w:type="paragraph" w:styleId="Subtitle">
    <w:name w:val="Subtitle"/>
    <w:basedOn w:val="Normal"/>
    <w:pPr>
      <w:spacing w:after="360"/>
    </w:pPr>
    <w:rPr>
      <w:color w:val="555555"/>
      <w:sz w:val="21"/>
    </w:rPr>
  </w:style>
  <w:style w:type="paragraph" w:styleId="NoteLabel">
    <w:name w:val="Note Label"/>
    <w:basedOn w:val="Normal"/>
    <w:rPr>
      <w:b/>
      <w:sz w:val="23"/>
      <w:color w:val="17365D"/>
    </w:rPr>
  </w:style>
  <w:style w:type="paragraph" w:styleId="NoteText">
    <w:name w:val="Note Text"/>
    <w:basedOn w:val="Normal"/>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