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17E" w:rsidRDefault="008D117E">
      <w:pPr>
        <w:spacing w:before="500"/>
      </w:pPr>
      <w:bookmarkStart w:id="0" w:name="_GoBack"/>
      <w:bookmarkEnd w:id="0"/>
    </w:p>
    <w:p w:rsidR="008D117E" w:rsidRDefault="00D30FE3">
      <w:pPr>
        <w:spacing w:after="80"/>
        <w:jc w:val="center"/>
      </w:pPr>
      <w:r>
        <w:rPr>
          <w:b/>
          <w:bCs/>
          <w:caps/>
          <w:color w:val="94A3B8"/>
          <w:sz w:val="18"/>
          <w:szCs w:val="18"/>
        </w:rPr>
        <w:t>EHR INNOVATION SERIES  ·  PATIENT ACCESS API</w:t>
      </w:r>
    </w:p>
    <w:p w:rsidR="008D117E" w:rsidRDefault="00D30FE3">
      <w:pPr>
        <w:jc w:val="center"/>
      </w:pPr>
      <w:r>
        <w:rPr>
          <w:b/>
          <w:bCs/>
          <w:color w:val="0F2C5E"/>
          <w:sz w:val="56"/>
          <w:szCs w:val="56"/>
        </w:rPr>
        <w:t>🔐</w:t>
      </w:r>
      <w:r>
        <w:rPr>
          <w:b/>
          <w:bCs/>
          <w:color w:val="0F2C5E"/>
          <w:sz w:val="56"/>
          <w:szCs w:val="56"/>
        </w:rPr>
        <w:t xml:space="preserve">  Dynamic Consent Ledger</w:t>
      </w:r>
    </w:p>
    <w:p w:rsidR="008D117E" w:rsidRDefault="00D30FE3">
      <w:pPr>
        <w:pBdr>
          <w:bottom w:val="single" w:sz="8" w:space="8" w:color="1D4ED8"/>
        </w:pBdr>
        <w:spacing w:after="360"/>
        <w:jc w:val="center"/>
      </w:pPr>
      <w:r>
        <w:rPr>
          <w:b/>
          <w:bCs/>
          <w:color w:val="1D4ED8"/>
          <w:sz w:val="36"/>
          <w:szCs w:val="36"/>
        </w:rPr>
        <w:t>Patient Access API — Idea #01</w:t>
      </w:r>
    </w:p>
    <w:p w:rsidR="008D117E" w:rsidRDefault="008D117E">
      <w:pPr>
        <w:spacing w:before="180"/>
      </w:pPr>
    </w:p>
    <w:p w:rsidR="008D117E" w:rsidRDefault="00D30FE3">
      <w:pPr>
        <w:spacing w:after="80"/>
        <w:jc w:val="center"/>
      </w:pPr>
      <w:r>
        <w:rPr>
          <w:color w:val="475569"/>
          <w:sz w:val="19"/>
          <w:szCs w:val="19"/>
        </w:rPr>
        <w:t>10-Dimension Deep-Dive  ·  RCM · Financial · Operational · Patient Experience · Risk &amp; Compliance · Payer Dynamics · Workflow · Innovation · Data &amp; Analytics · Market Position</w:t>
      </w:r>
    </w:p>
    <w:p w:rsidR="008D117E" w:rsidRDefault="00D30FE3">
      <w:pPr>
        <w:jc w:val="center"/>
      </w:pPr>
      <w:r>
        <w:rPr>
          <w:color w:val="94A3B8"/>
          <w:sz w:val="17"/>
          <w:szCs w:val="17"/>
        </w:rPr>
        <w:t>Based on 32 FHIR Healthcare Innovation Ideas  ·  March 2026</w:t>
      </w:r>
    </w:p>
    <w:p w:rsidR="008D117E" w:rsidRDefault="008D117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17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0F2C5E"/>
            <w:tcMar>
              <w:top w:w="120" w:type="dxa"/>
              <w:left w:w="80" w:type="dxa"/>
              <w:bottom w:w="120" w:type="dxa"/>
              <w:right w:w="80" w:type="dxa"/>
            </w:tcMar>
          </w:tcPr>
          <w:p w:rsidR="008D117E" w:rsidRDefault="00D30FE3">
            <w:pPr>
              <w:spacing w:after="30"/>
              <w:jc w:val="center"/>
            </w:pPr>
            <w:r>
              <w:rPr>
                <w:b/>
                <w:bCs/>
                <w:color w:val="3B82F6"/>
                <w:sz w:val="44"/>
                <w:szCs w:val="44"/>
              </w:rPr>
              <w:t>$10.9M</w:t>
            </w:r>
          </w:p>
          <w:p w:rsidR="008D117E" w:rsidRDefault="00D30FE3">
            <w:pPr>
              <w:jc w:val="center"/>
            </w:pPr>
            <w:r>
              <w:rPr>
                <w:color w:val="BFDBFE"/>
                <w:sz w:val="17"/>
                <w:szCs w:val="17"/>
              </w:rPr>
              <w:t>Average HIPA</w:t>
            </w:r>
            <w:r>
              <w:rPr>
                <w:color w:val="BFDBFE"/>
                <w:sz w:val="17"/>
                <w:szCs w:val="17"/>
              </w:rPr>
              <w:t>A Breach Cost Avoided</w:t>
            </w:r>
          </w:p>
        </w:tc>
        <w:tc>
          <w:tcPr>
            <w:tcW w:w="2340" w:type="dxa"/>
            <w:tcBorders>
              <w:top w:val="none" w:sz="0" w:space="0" w:color="FFFFFF"/>
              <w:left w:val="none" w:sz="0" w:space="0" w:color="FFFFFF"/>
              <w:bottom w:val="none" w:sz="0" w:space="0" w:color="FFFFFF"/>
              <w:right w:val="none" w:sz="0" w:space="0" w:color="FFFFFF"/>
            </w:tcBorders>
            <w:shd w:val="clear" w:color="auto" w:fill="0F2C5E"/>
            <w:tcMar>
              <w:top w:w="120" w:type="dxa"/>
              <w:left w:w="80" w:type="dxa"/>
              <w:bottom w:w="120" w:type="dxa"/>
              <w:right w:w="80" w:type="dxa"/>
            </w:tcMar>
          </w:tcPr>
          <w:p w:rsidR="008D117E" w:rsidRDefault="00D30FE3">
            <w:pPr>
              <w:spacing w:after="30"/>
              <w:jc w:val="center"/>
            </w:pPr>
            <w:r>
              <w:rPr>
                <w:b/>
                <w:bCs/>
                <w:color w:val="3B82F6"/>
                <w:sz w:val="44"/>
                <w:szCs w:val="44"/>
              </w:rPr>
              <w:t>40–60%</w:t>
            </w:r>
          </w:p>
          <w:p w:rsidR="008D117E" w:rsidRDefault="00D30FE3">
            <w:pPr>
              <w:jc w:val="center"/>
            </w:pPr>
            <w:r>
              <w:rPr>
                <w:color w:val="BFDBFE"/>
                <w:sz w:val="17"/>
                <w:szCs w:val="17"/>
              </w:rPr>
              <w:t>ROI Dept Workload Reduction</w:t>
            </w:r>
          </w:p>
        </w:tc>
        <w:tc>
          <w:tcPr>
            <w:tcW w:w="2340" w:type="dxa"/>
            <w:tcBorders>
              <w:top w:val="none" w:sz="0" w:space="0" w:color="FFFFFF"/>
              <w:left w:val="none" w:sz="0" w:space="0" w:color="FFFFFF"/>
              <w:bottom w:val="none" w:sz="0" w:space="0" w:color="FFFFFF"/>
              <w:right w:val="none" w:sz="0" w:space="0" w:color="FFFFFF"/>
            </w:tcBorders>
            <w:shd w:val="clear" w:color="auto" w:fill="0F2C5E"/>
            <w:tcMar>
              <w:top w:w="120" w:type="dxa"/>
              <w:left w:w="80" w:type="dxa"/>
              <w:bottom w:w="120" w:type="dxa"/>
              <w:right w:w="80" w:type="dxa"/>
            </w:tcMar>
          </w:tcPr>
          <w:p w:rsidR="008D117E" w:rsidRDefault="00D30FE3">
            <w:pPr>
              <w:spacing w:after="30"/>
              <w:jc w:val="center"/>
            </w:pPr>
            <w:r>
              <w:rPr>
                <w:b/>
                <w:bCs/>
                <w:color w:val="3B82F6"/>
                <w:sz w:val="44"/>
                <w:szCs w:val="44"/>
              </w:rPr>
              <w:t>$2–5M</w:t>
            </w:r>
          </w:p>
          <w:p w:rsidR="008D117E" w:rsidRDefault="00D30FE3">
            <w:pPr>
              <w:jc w:val="center"/>
            </w:pPr>
            <w:r>
              <w:rPr>
                <w:color w:val="BFDBFE"/>
                <w:sz w:val="17"/>
                <w:szCs w:val="17"/>
              </w:rPr>
              <w:t>Annual PA Delay Savings</w:t>
            </w:r>
          </w:p>
        </w:tc>
        <w:tc>
          <w:tcPr>
            <w:tcW w:w="2340" w:type="dxa"/>
            <w:tcBorders>
              <w:top w:val="none" w:sz="0" w:space="0" w:color="FFFFFF"/>
              <w:left w:val="none" w:sz="0" w:space="0" w:color="FFFFFF"/>
              <w:bottom w:val="none" w:sz="0" w:space="0" w:color="FFFFFF"/>
              <w:right w:val="none" w:sz="0" w:space="0" w:color="FFFFFF"/>
            </w:tcBorders>
            <w:shd w:val="clear" w:color="auto" w:fill="0F2C5E"/>
            <w:tcMar>
              <w:top w:w="120" w:type="dxa"/>
              <w:left w:w="80" w:type="dxa"/>
              <w:bottom w:w="120" w:type="dxa"/>
              <w:right w:w="80" w:type="dxa"/>
            </w:tcMar>
          </w:tcPr>
          <w:p w:rsidR="008D117E" w:rsidRDefault="00D30FE3">
            <w:pPr>
              <w:spacing w:after="30"/>
              <w:jc w:val="center"/>
            </w:pPr>
            <w:r>
              <w:rPr>
                <w:b/>
                <w:bCs/>
                <w:color w:val="3B82F6"/>
                <w:sz w:val="44"/>
                <w:szCs w:val="44"/>
              </w:rPr>
              <w:t>15–22%</w:t>
            </w:r>
          </w:p>
          <w:p w:rsidR="008D117E" w:rsidRDefault="00D30FE3">
            <w:pPr>
              <w:jc w:val="center"/>
            </w:pPr>
            <w:r>
              <w:rPr>
                <w:color w:val="BFDBFE"/>
                <w:sz w:val="17"/>
                <w:szCs w:val="17"/>
              </w:rPr>
              <w:t>Fewer Documentation-Based Denials</w:t>
            </w:r>
          </w:p>
        </w:tc>
      </w:tr>
    </w:tbl>
    <w:p w:rsidR="008D117E" w:rsidRDefault="00D30FE3">
      <w:r>
        <w:br w:type="page"/>
      </w:r>
    </w:p>
    <w:p w:rsidR="008D117E" w:rsidRDefault="00D30FE3">
      <w:pPr>
        <w:pStyle w:val="Heading1"/>
        <w:pBdr>
          <w:bottom w:val="single" w:sz="6" w:space="4" w:color="1D4ED8"/>
        </w:pBdr>
      </w:pPr>
      <w:r>
        <w:lastRenderedPageBreak/>
        <w:t>Master Reference — Idea at a Glance</w:t>
      </w:r>
    </w:p>
    <w:p w:rsidR="008D117E" w:rsidRDefault="00D30FE3">
      <w:pPr>
        <w:spacing w:before="60" w:after="60"/>
      </w:pPr>
      <w:r>
        <w:rPr>
          <w:color w:val="1E293B"/>
        </w:rPr>
        <w:t>The table below mirrors the original 32 FHIR Ideas master format: Idea, Added Insight, Example in Practice, ROI, and Challenges — giving teams the quick-reference card alongside the full deep-dive analysis.</w:t>
      </w:r>
    </w:p>
    <w:p w:rsidR="008D117E" w:rsidRDefault="008D11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2"/>
        <w:gridCol w:w="1989"/>
        <w:gridCol w:w="2020"/>
        <w:gridCol w:w="1859"/>
        <w:gridCol w:w="2070"/>
      </w:tblGrid>
      <w:tr w:rsidR="008D117E">
        <w:tblPrEx>
          <w:tblCellMar>
            <w:top w:w="0" w:type="dxa"/>
            <w:bottom w:w="0" w:type="dxa"/>
          </w:tblCellMar>
        </w:tblPrEx>
        <w:tc>
          <w:tcPr>
            <w:tcW w:w="1600" w:type="dxa"/>
            <w:tcBorders>
              <w:top w:val="single" w:sz="2" w:space="0" w:color="888888"/>
              <w:left w:val="single" w:sz="2" w:space="0" w:color="888888"/>
              <w:bottom w:val="single" w:sz="2" w:space="0" w:color="888888"/>
              <w:right w:val="single" w:sz="2" w:space="0" w:color="888888"/>
            </w:tcBorders>
            <w:shd w:val="clear" w:color="auto" w:fill="0F2C5E"/>
            <w:tcMar>
              <w:top w:w="80" w:type="dxa"/>
              <w:left w:w="100" w:type="dxa"/>
              <w:bottom w:w="80" w:type="dxa"/>
              <w:right w:w="100" w:type="dxa"/>
            </w:tcMar>
          </w:tcPr>
          <w:p w:rsidR="008D117E" w:rsidRDefault="00D30FE3">
            <w:pPr>
              <w:jc w:val="center"/>
            </w:pPr>
            <w:r>
              <w:rPr>
                <w:b/>
                <w:bCs/>
                <w:color w:val="FFFFFF"/>
                <w:sz w:val="20"/>
                <w:szCs w:val="20"/>
              </w:rPr>
              <w:t>Idea</w:t>
            </w:r>
          </w:p>
        </w:tc>
        <w:tc>
          <w:tcPr>
            <w:tcW w:w="2200" w:type="dxa"/>
            <w:tcBorders>
              <w:top w:val="single" w:sz="2" w:space="0" w:color="888888"/>
              <w:left w:val="single" w:sz="2" w:space="0" w:color="888888"/>
              <w:bottom w:val="single" w:sz="2" w:space="0" w:color="888888"/>
              <w:right w:val="single" w:sz="2" w:space="0" w:color="888888"/>
            </w:tcBorders>
            <w:shd w:val="clear" w:color="auto" w:fill="0F2C5E"/>
            <w:tcMar>
              <w:top w:w="80" w:type="dxa"/>
              <w:left w:w="100" w:type="dxa"/>
              <w:bottom w:w="80" w:type="dxa"/>
              <w:right w:w="100" w:type="dxa"/>
            </w:tcMar>
          </w:tcPr>
          <w:p w:rsidR="008D117E" w:rsidRDefault="00D30FE3">
            <w:pPr>
              <w:jc w:val="center"/>
            </w:pPr>
            <w:r>
              <w:rPr>
                <w:b/>
                <w:bCs/>
                <w:color w:val="FFFFFF"/>
                <w:sz w:val="20"/>
                <w:szCs w:val="20"/>
              </w:rPr>
              <w:t>Added Insight</w:t>
            </w:r>
          </w:p>
        </w:tc>
        <w:tc>
          <w:tcPr>
            <w:tcW w:w="2600" w:type="dxa"/>
            <w:tcBorders>
              <w:top w:val="single" w:sz="2" w:space="0" w:color="888888"/>
              <w:left w:val="single" w:sz="2" w:space="0" w:color="888888"/>
              <w:bottom w:val="single" w:sz="2" w:space="0" w:color="888888"/>
              <w:right w:val="single" w:sz="2" w:space="0" w:color="888888"/>
            </w:tcBorders>
            <w:shd w:val="clear" w:color="auto" w:fill="0F2C5E"/>
            <w:tcMar>
              <w:top w:w="80" w:type="dxa"/>
              <w:left w:w="100" w:type="dxa"/>
              <w:bottom w:w="80" w:type="dxa"/>
              <w:right w:w="100" w:type="dxa"/>
            </w:tcMar>
          </w:tcPr>
          <w:p w:rsidR="008D117E" w:rsidRDefault="00D30FE3">
            <w:pPr>
              <w:jc w:val="center"/>
            </w:pPr>
            <w:r>
              <w:rPr>
                <w:b/>
                <w:bCs/>
                <w:color w:val="FFFFFF"/>
                <w:sz w:val="20"/>
                <w:szCs w:val="20"/>
              </w:rPr>
              <w:t>Example in Practice</w:t>
            </w:r>
          </w:p>
        </w:tc>
        <w:tc>
          <w:tcPr>
            <w:tcW w:w="1680" w:type="dxa"/>
            <w:tcBorders>
              <w:top w:val="single" w:sz="2" w:space="0" w:color="888888"/>
              <w:left w:val="single" w:sz="2" w:space="0" w:color="888888"/>
              <w:bottom w:val="single" w:sz="2" w:space="0" w:color="888888"/>
              <w:right w:val="single" w:sz="2" w:space="0" w:color="888888"/>
            </w:tcBorders>
            <w:shd w:val="clear" w:color="auto" w:fill="0F2C5E"/>
            <w:tcMar>
              <w:top w:w="80" w:type="dxa"/>
              <w:left w:w="100" w:type="dxa"/>
              <w:bottom w:w="80" w:type="dxa"/>
              <w:right w:w="100" w:type="dxa"/>
            </w:tcMar>
          </w:tcPr>
          <w:p w:rsidR="008D117E" w:rsidRDefault="00D30FE3">
            <w:pPr>
              <w:jc w:val="center"/>
            </w:pPr>
            <w:r>
              <w:rPr>
                <w:b/>
                <w:bCs/>
                <w:color w:val="FFFFFF"/>
                <w:sz w:val="20"/>
                <w:szCs w:val="20"/>
              </w:rPr>
              <w:t>ROI</w:t>
            </w:r>
          </w:p>
        </w:tc>
        <w:tc>
          <w:tcPr>
            <w:tcW w:w="1680" w:type="dxa"/>
            <w:tcBorders>
              <w:top w:val="single" w:sz="2" w:space="0" w:color="888888"/>
              <w:left w:val="single" w:sz="2" w:space="0" w:color="888888"/>
              <w:bottom w:val="single" w:sz="2" w:space="0" w:color="888888"/>
              <w:right w:val="single" w:sz="2" w:space="0" w:color="888888"/>
            </w:tcBorders>
            <w:shd w:val="clear" w:color="auto" w:fill="0F2C5E"/>
            <w:tcMar>
              <w:top w:w="80" w:type="dxa"/>
              <w:left w:w="100" w:type="dxa"/>
              <w:bottom w:w="80" w:type="dxa"/>
              <w:right w:w="100" w:type="dxa"/>
            </w:tcMar>
          </w:tcPr>
          <w:p w:rsidR="008D117E" w:rsidRDefault="00D30FE3">
            <w:pPr>
              <w:jc w:val="center"/>
            </w:pPr>
            <w:r>
              <w:rPr>
                <w:b/>
                <w:bCs/>
                <w:color w:val="FFFFFF"/>
                <w:sz w:val="20"/>
                <w:szCs w:val="20"/>
              </w:rPr>
              <w:t>Challenges</w:t>
            </w:r>
          </w:p>
        </w:tc>
      </w:tr>
      <w:tr w:rsidR="008D117E">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8FAFC"/>
            <w:tcMar>
              <w:top w:w="90" w:type="dxa"/>
              <w:left w:w="100" w:type="dxa"/>
              <w:bottom w:w="90" w:type="dxa"/>
              <w:right w:w="100" w:type="dxa"/>
            </w:tcMar>
          </w:tcPr>
          <w:p w:rsidR="008D117E" w:rsidRDefault="00D30FE3">
            <w:r>
              <w:rPr>
                <w:b/>
                <w:bCs/>
                <w:color w:val="1D4ED8"/>
                <w:sz w:val="22"/>
                <w:szCs w:val="22"/>
              </w:rPr>
              <w:t>Dynamic Consent Ledger</w:t>
            </w:r>
          </w:p>
        </w:tc>
        <w:tc>
          <w:tcPr>
            <w:tcW w:w="2200" w:type="dxa"/>
            <w:tcBorders>
              <w:top w:val="single" w:sz="1" w:space="0" w:color="BBBBBB"/>
              <w:left w:val="single" w:sz="1" w:space="0" w:color="BBBBBB"/>
              <w:bottom w:val="single" w:sz="1" w:space="0" w:color="BBBBBB"/>
              <w:right w:val="single" w:sz="1" w:space="0" w:color="BBBBBB"/>
            </w:tcBorders>
            <w:shd w:val="clear" w:color="auto" w:fill="F8FAFC"/>
            <w:tcMar>
              <w:top w:w="90" w:type="dxa"/>
              <w:left w:w="100" w:type="dxa"/>
              <w:bottom w:w="90" w:type="dxa"/>
              <w:right w:w="100" w:type="dxa"/>
            </w:tcMar>
          </w:tcPr>
          <w:p w:rsidR="008D117E" w:rsidRDefault="00D30FE3">
            <w:r>
              <w:rPr>
                <w:color w:val="1E293B"/>
                <w:sz w:val="19"/>
                <w:szCs w:val="19"/>
              </w:rPr>
              <w:t>Patients grant/revoke access to their health data instantly via a consent-management interface, with every change cryptographically logged.</w:t>
            </w:r>
          </w:p>
        </w:tc>
        <w:tc>
          <w:tcPr>
            <w:tcW w:w="2600" w:type="dxa"/>
            <w:tcBorders>
              <w:top w:val="single" w:sz="1" w:space="0" w:color="BBBBBB"/>
              <w:left w:val="single" w:sz="1" w:space="0" w:color="BBBBBB"/>
              <w:bottom w:val="single" w:sz="1" w:space="0" w:color="BBBBBB"/>
              <w:right w:val="single" w:sz="1" w:space="0" w:color="BBBBBB"/>
            </w:tcBorders>
            <w:shd w:val="clear" w:color="auto" w:fill="F8FAFC"/>
            <w:tcMar>
              <w:top w:w="90" w:type="dxa"/>
              <w:left w:w="100" w:type="dxa"/>
              <w:bottom w:w="90" w:type="dxa"/>
              <w:right w:w="100" w:type="dxa"/>
            </w:tcMar>
          </w:tcPr>
          <w:p w:rsidR="008D117E" w:rsidRDefault="00D30FE3">
            <w:r>
              <w:rPr>
                <w:color w:val="1E293B"/>
                <w:sz w:val="19"/>
                <w:szCs w:val="19"/>
              </w:rPr>
              <w:t>A cancer patient revokes access for a research app but grants it to a second opinion provider in real time</w:t>
            </w:r>
          </w:p>
        </w:tc>
        <w:tc>
          <w:tcPr>
            <w:tcW w:w="1680" w:type="dxa"/>
            <w:tcBorders>
              <w:top w:val="single" w:sz="1" w:space="0" w:color="BBBBBB"/>
              <w:left w:val="single" w:sz="1" w:space="0" w:color="BBBBBB"/>
              <w:bottom w:val="single" w:sz="1" w:space="0" w:color="BBBBBB"/>
              <w:right w:val="single" w:sz="1" w:space="0" w:color="BBBBBB"/>
            </w:tcBorders>
            <w:shd w:val="clear" w:color="auto" w:fill="F8FAFC"/>
            <w:tcMar>
              <w:top w:w="90" w:type="dxa"/>
              <w:left w:w="100" w:type="dxa"/>
              <w:bottom w:w="90" w:type="dxa"/>
              <w:right w:w="100" w:type="dxa"/>
            </w:tcMar>
          </w:tcPr>
          <w:p w:rsidR="008D117E" w:rsidRDefault="00D30FE3">
            <w:pPr>
              <w:pStyle w:val="ListParagraph"/>
              <w:numPr>
                <w:ilvl w:val="0"/>
                <w:numId w:val="2"/>
              </w:numPr>
              <w:spacing w:before="36" w:after="36"/>
            </w:pPr>
            <w:r>
              <w:rPr>
                <w:color w:val="1E293B"/>
                <w:sz w:val="19"/>
                <w:szCs w:val="19"/>
              </w:rPr>
              <w:t>Stronger patient trust &amp; engagement</w:t>
            </w:r>
          </w:p>
          <w:p w:rsidR="008D117E" w:rsidRDefault="00D30FE3">
            <w:pPr>
              <w:pStyle w:val="ListParagraph"/>
              <w:numPr>
                <w:ilvl w:val="0"/>
                <w:numId w:val="2"/>
              </w:numPr>
              <w:spacing w:before="36" w:after="36"/>
            </w:pPr>
            <w:r>
              <w:rPr>
                <w:color w:val="1E293B"/>
                <w:sz w:val="19"/>
                <w:szCs w:val="19"/>
              </w:rPr>
              <w:t>Reduced admin friction</w:t>
            </w:r>
          </w:p>
          <w:p w:rsidR="008D117E" w:rsidRDefault="00D30FE3">
            <w:pPr>
              <w:pStyle w:val="ListParagraph"/>
              <w:numPr>
                <w:ilvl w:val="0"/>
                <w:numId w:val="2"/>
              </w:numPr>
              <w:spacing w:before="36" w:after="36"/>
            </w:pPr>
            <w:r>
              <w:rPr>
                <w:color w:val="1E293B"/>
                <w:sz w:val="19"/>
                <w:szCs w:val="19"/>
              </w:rPr>
              <w:t>Better adherence to care plans</w:t>
            </w:r>
          </w:p>
          <w:p w:rsidR="008D117E" w:rsidRDefault="00D30FE3">
            <w:pPr>
              <w:pStyle w:val="ListParagraph"/>
              <w:numPr>
                <w:ilvl w:val="0"/>
                <w:numId w:val="2"/>
              </w:numPr>
              <w:spacing w:before="36" w:after="36"/>
            </w:pPr>
            <w:r>
              <w:rPr>
                <w:color w:val="1E293B"/>
                <w:sz w:val="19"/>
                <w:szCs w:val="19"/>
              </w:rPr>
              <w:t>Lower risk of unauthorised data access</w:t>
            </w:r>
          </w:p>
        </w:tc>
        <w:tc>
          <w:tcPr>
            <w:tcW w:w="1680" w:type="dxa"/>
            <w:tcBorders>
              <w:top w:val="single" w:sz="1" w:space="0" w:color="BBBBBB"/>
              <w:left w:val="single" w:sz="1" w:space="0" w:color="BBBBBB"/>
              <w:bottom w:val="single" w:sz="1" w:space="0" w:color="BBBBBB"/>
              <w:right w:val="single" w:sz="1" w:space="0" w:color="BBBBBB"/>
            </w:tcBorders>
            <w:shd w:val="clear" w:color="auto" w:fill="F8FAFC"/>
            <w:tcMar>
              <w:top w:w="90" w:type="dxa"/>
              <w:left w:w="100" w:type="dxa"/>
              <w:bottom w:w="90" w:type="dxa"/>
              <w:right w:w="100" w:type="dxa"/>
            </w:tcMar>
          </w:tcPr>
          <w:p w:rsidR="008D117E" w:rsidRDefault="00D30FE3">
            <w:pPr>
              <w:pStyle w:val="ListParagraph"/>
              <w:numPr>
                <w:ilvl w:val="0"/>
                <w:numId w:val="2"/>
              </w:numPr>
              <w:spacing w:before="36" w:after="36"/>
            </w:pPr>
            <w:r>
              <w:rPr>
                <w:color w:val="1E293B"/>
                <w:sz w:val="19"/>
                <w:szCs w:val="19"/>
              </w:rPr>
              <w:t>Data privacy/securit</w:t>
            </w:r>
            <w:r>
              <w:rPr>
                <w:color w:val="1E293B"/>
                <w:sz w:val="19"/>
                <w:szCs w:val="19"/>
              </w:rPr>
              <w:t>y risks</w:t>
            </w:r>
          </w:p>
          <w:p w:rsidR="008D117E" w:rsidRDefault="00D30FE3">
            <w:pPr>
              <w:pStyle w:val="ListParagraph"/>
              <w:numPr>
                <w:ilvl w:val="0"/>
                <w:numId w:val="2"/>
              </w:numPr>
              <w:spacing w:before="36" w:after="36"/>
            </w:pPr>
            <w:r>
              <w:rPr>
                <w:color w:val="1E293B"/>
                <w:sz w:val="19"/>
                <w:szCs w:val="19"/>
              </w:rPr>
              <w:t>Patient digital literacy gaps</w:t>
            </w:r>
          </w:p>
          <w:p w:rsidR="008D117E" w:rsidRDefault="00D30FE3">
            <w:pPr>
              <w:pStyle w:val="ListParagraph"/>
              <w:numPr>
                <w:ilvl w:val="0"/>
                <w:numId w:val="2"/>
              </w:numPr>
              <w:spacing w:before="36" w:after="36"/>
            </w:pPr>
            <w:r>
              <w:rPr>
                <w:color w:val="1E293B"/>
                <w:sz w:val="19"/>
                <w:szCs w:val="19"/>
              </w:rPr>
              <w:t>Integration with legacy EMRs</w:t>
            </w:r>
          </w:p>
          <w:p w:rsidR="008D117E" w:rsidRDefault="00D30FE3">
            <w:pPr>
              <w:pStyle w:val="ListParagraph"/>
              <w:numPr>
                <w:ilvl w:val="0"/>
                <w:numId w:val="2"/>
              </w:numPr>
              <w:spacing w:before="36" w:after="36"/>
            </w:pPr>
            <w:r>
              <w:rPr>
                <w:color w:val="1E293B"/>
                <w:sz w:val="19"/>
                <w:szCs w:val="19"/>
              </w:rPr>
              <w:t>Consent versioning complexity</w:t>
            </w:r>
          </w:p>
        </w:tc>
      </w:tr>
    </w:tbl>
    <w:p w:rsidR="008D117E" w:rsidRDefault="00D30FE3">
      <w:r>
        <w:br w:type="page"/>
      </w:r>
    </w:p>
    <w:p w:rsidR="008D117E" w:rsidRDefault="00D30FE3">
      <w:pPr>
        <w:pStyle w:val="Heading1"/>
        <w:pBdr>
          <w:bottom w:val="single" w:sz="6" w:space="4" w:color="1D4ED8"/>
        </w:pBdr>
      </w:pPr>
      <w:r>
        <w:lastRenderedPageBreak/>
        <w:t>Overview — What Is the Dynamic Consent Ledger?</w:t>
      </w:r>
    </w:p>
    <w:p w:rsidR="008D117E" w:rsidRDefault="00D30FE3">
      <w:pPr>
        <w:spacing w:before="60" w:after="60"/>
      </w:pPr>
      <w:r>
        <w:rPr>
          <w:color w:val="1E293B"/>
        </w:rPr>
        <w:t>The Dynamic Consent Ledger is a patient-controlled, real-time data-access management system built on FHIR R4 Consent resources. It allows patients to grant, modify, and revoke access to specific portions of their health records instantly — from any device,</w:t>
      </w:r>
      <w:r>
        <w:rPr>
          <w:color w:val="1E293B"/>
        </w:rPr>
        <w:t xml:space="preserve"> at any time — with every consent decision cryptographically logged in an immutable, timestamped audit trail that is court-admissible and regulatory-defensible.</w:t>
      </w:r>
    </w:p>
    <w:p w:rsidR="008D117E" w:rsidRDefault="008D117E">
      <w:pPr>
        <w:spacing w:before="60"/>
      </w:pPr>
    </w:p>
    <w:p w:rsidR="008D117E" w:rsidRDefault="00D30FE3">
      <w:pPr>
        <w:spacing w:before="60" w:after="60"/>
      </w:pPr>
      <w:r>
        <w:rPr>
          <w:color w:val="1E293B"/>
        </w:rPr>
        <w:t>Unlike static HIPAA authorisation forms that patients sign once and forget, the Dynamic Consen</w:t>
      </w:r>
      <w:r>
        <w:rPr>
          <w:color w:val="1E293B"/>
        </w:rPr>
        <w:t>t Ledger is living infrastructure. A patient can grant their cardiologist access to cardiac records while excluding mental health data. A cancer patient can revoke access for a research app but simultaneously grant it to a second-opinion provider — in real</w:t>
      </w:r>
      <w:r>
        <w:rPr>
          <w:color w:val="1E293B"/>
        </w:rPr>
        <w:t xml:space="preserve"> time, from their phone. Every change is instantaneous, auditable, and revocable. This is not an incremental improvement to how consent is managed today. It is a structural transformation of the patient-data relationship.</w:t>
      </w:r>
    </w:p>
    <w:p w:rsidR="008D117E" w:rsidRDefault="008D117E">
      <w:pPr>
        <w:spacing w:before="100"/>
      </w:pPr>
    </w:p>
    <w:p w:rsidR="008D117E" w:rsidRDefault="00D30FE3">
      <w:pPr>
        <w:pStyle w:val="Heading2"/>
      </w:pPr>
      <w:r>
        <w:t>How It Helps EHRs</w:t>
      </w:r>
    </w:p>
    <w:p w:rsidR="008D117E" w:rsidRDefault="00D30FE3">
      <w:pPr>
        <w:pStyle w:val="ListParagraph"/>
        <w:numPr>
          <w:ilvl w:val="0"/>
          <w:numId w:val="2"/>
        </w:numPr>
        <w:spacing w:before="52" w:after="52"/>
      </w:pPr>
      <w:r>
        <w:rPr>
          <w:b/>
          <w:bCs/>
          <w:color w:val="0F2C5E"/>
        </w:rPr>
        <w:t xml:space="preserve">Stronger Patient Trust &amp; Engagement: </w:t>
      </w:r>
      <w:r>
        <w:rPr>
          <w:color w:val="1E293B"/>
        </w:rPr>
        <w:t>When patients can see and control exactly who accesses their health data, they engage more actively with their care — sharing more information more accurately because they feel safe doing so. Trust is a clinical outcome.</w:t>
      </w:r>
    </w:p>
    <w:p w:rsidR="008D117E" w:rsidRDefault="00D30FE3">
      <w:pPr>
        <w:pStyle w:val="ListParagraph"/>
        <w:numPr>
          <w:ilvl w:val="0"/>
          <w:numId w:val="2"/>
        </w:numPr>
        <w:spacing w:before="52" w:after="52"/>
      </w:pPr>
      <w:r>
        <w:rPr>
          <w:b/>
          <w:bCs/>
          <w:color w:val="0F2C5E"/>
        </w:rPr>
        <w:t xml:space="preserve">Reduced Admin Friction: </w:t>
      </w:r>
      <w:r>
        <w:rPr>
          <w:color w:val="1E293B"/>
        </w:rPr>
        <w:t>Manual reco</w:t>
      </w:r>
      <w:r>
        <w:rPr>
          <w:color w:val="1E293B"/>
        </w:rPr>
        <w:t>rds requests, Release of Information workflows, and fax-based record transfers are eliminated for consented patients — compressing care transitions from 3–5 days to same-day.</w:t>
      </w:r>
    </w:p>
    <w:p w:rsidR="008D117E" w:rsidRDefault="00D30FE3">
      <w:pPr>
        <w:pStyle w:val="ListParagraph"/>
        <w:numPr>
          <w:ilvl w:val="0"/>
          <w:numId w:val="2"/>
        </w:numPr>
        <w:spacing w:before="52" w:after="52"/>
      </w:pPr>
      <w:r>
        <w:rPr>
          <w:b/>
          <w:bCs/>
          <w:color w:val="0F2C5E"/>
        </w:rPr>
        <w:t xml:space="preserve">Better Adherence to Care Plans: </w:t>
      </w:r>
      <w:r>
        <w:rPr>
          <w:color w:val="1E293B"/>
        </w:rPr>
        <w:t>Patients who trust that their data is protected a</w:t>
      </w:r>
      <w:r>
        <w:rPr>
          <w:color w:val="1E293B"/>
        </w:rPr>
        <w:t>nd used appropriately are 25% more likely to follow through on referred care and 15–20% more likely to return for follow-up visits.</w:t>
      </w:r>
    </w:p>
    <w:p w:rsidR="008D117E" w:rsidRDefault="00D30FE3">
      <w:pPr>
        <w:pStyle w:val="ListParagraph"/>
        <w:numPr>
          <w:ilvl w:val="0"/>
          <w:numId w:val="2"/>
        </w:numPr>
        <w:spacing w:before="52" w:after="52"/>
      </w:pPr>
      <w:r>
        <w:rPr>
          <w:b/>
          <w:bCs/>
          <w:color w:val="0F2C5E"/>
        </w:rPr>
        <w:t xml:space="preserve">Lower Risk of Unauthorised Data Access: </w:t>
      </w:r>
      <w:r>
        <w:rPr>
          <w:color w:val="1E293B"/>
        </w:rPr>
        <w:t xml:space="preserve">Every access event is logged. Revocations propagate in seconds. The immutable audit </w:t>
      </w:r>
      <w:r>
        <w:rPr>
          <w:color w:val="1E293B"/>
        </w:rPr>
        <w:t>trail provides both the deterrent and the forensic record for HIPAA breach investigations.</w:t>
      </w:r>
    </w:p>
    <w:p w:rsidR="008D117E" w:rsidRDefault="008D117E">
      <w:pPr>
        <w:spacing w:before="100"/>
      </w:pPr>
    </w:p>
    <w:p w:rsidR="008D117E" w:rsidRDefault="00D30FE3">
      <w:pPr>
        <w:pStyle w:val="Heading2"/>
      </w:pPr>
      <w:r>
        <w:t>Consultant Q&amp;A — Three Critical Questions Answered at Depth</w:t>
      </w:r>
    </w:p>
    <w:p w:rsidR="008D117E" w:rsidRDefault="008D117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8500"/>
      </w:tblGrid>
      <w:tr w:rsidR="008D117E">
        <w:tblPrEx>
          <w:tblCellMar>
            <w:top w:w="0" w:type="dxa"/>
            <w:bottom w:w="0" w:type="dxa"/>
          </w:tblCellMar>
        </w:tblPrEx>
        <w:tc>
          <w:tcPr>
            <w:tcW w:w="860" w:type="dxa"/>
            <w:tcBorders>
              <w:top w:val="none" w:sz="0" w:space="0" w:color="FFFFFF"/>
              <w:left w:val="none" w:sz="0" w:space="0" w:color="FFFFFF"/>
              <w:bottom w:val="none" w:sz="0" w:space="0" w:color="FFFFFF"/>
              <w:right w:val="none" w:sz="0" w:space="0" w:color="FFFFFF"/>
            </w:tcBorders>
            <w:shd w:val="clear" w:color="auto" w:fill="0F766E"/>
            <w:tcMar>
              <w:top w:w="120" w:type="dxa"/>
              <w:left w:w="100" w:type="dxa"/>
              <w:bottom w:w="120" w:type="dxa"/>
              <w:right w:w="100" w:type="dxa"/>
            </w:tcMar>
            <w:vAlign w:val="center"/>
          </w:tcPr>
          <w:p w:rsidR="008D117E" w:rsidRDefault="00D30FE3">
            <w:pPr>
              <w:jc w:val="center"/>
            </w:pPr>
            <w:r>
              <w:rPr>
                <w:b/>
                <w:bCs/>
                <w:color w:val="FFFFFF"/>
                <w:sz w:val="24"/>
                <w:szCs w:val="24"/>
              </w:rPr>
              <w:t>Q1</w:t>
            </w:r>
          </w:p>
        </w:tc>
        <w:tc>
          <w:tcPr>
            <w:tcW w:w="8500" w:type="dxa"/>
            <w:tcBorders>
              <w:top w:val="none" w:sz="0" w:space="0" w:color="FFFFFF"/>
              <w:left w:val="none" w:sz="0" w:space="0" w:color="FFFFFF"/>
              <w:bottom w:val="none" w:sz="0" w:space="0" w:color="FFFFFF"/>
              <w:right w:val="none" w:sz="0" w:space="0" w:color="FFFFFF"/>
            </w:tcBorders>
            <w:shd w:val="clear" w:color="auto" w:fill="CCFBF1"/>
            <w:tcMar>
              <w:top w:w="100" w:type="dxa"/>
              <w:left w:w="220" w:type="dxa"/>
              <w:bottom w:w="80" w:type="dxa"/>
              <w:right w:w="220" w:type="dxa"/>
            </w:tcMar>
          </w:tcPr>
          <w:p w:rsidR="008D117E" w:rsidRDefault="00D30FE3">
            <w:r>
              <w:rPr>
                <w:b/>
                <w:bCs/>
                <w:color w:val="0F2C5E"/>
                <w:sz w:val="26"/>
                <w:szCs w:val="26"/>
              </w:rPr>
              <w:t>How do FHIR Consent resources technically enable real-time patient-controlled data access?</w:t>
            </w:r>
          </w:p>
        </w:tc>
      </w:tr>
    </w:tbl>
    <w:p w:rsidR="008D117E" w:rsidRDefault="008D117E">
      <w:pPr>
        <w:spacing w:before="60"/>
      </w:pPr>
    </w:p>
    <w:p w:rsidR="008D117E" w:rsidRDefault="00D30FE3">
      <w:pPr>
        <w:spacing w:before="60" w:after="60"/>
      </w:pPr>
      <w:r>
        <w:rPr>
          <w:color w:val="1E293B"/>
        </w:rPr>
        <w:t>The FHIR R4 Consent resource is the technical foundation that makes the Dynamic Consent Ledger architecturally possible. It is a structured clinical data resource — not a PDF form or database flag — that carries all the information needed to enforce access</w:t>
      </w:r>
      <w:r>
        <w:rPr>
          <w:color w:val="1E293B"/>
        </w:rPr>
        <w:t xml:space="preserve"> decisions in real time across any FHIR-compliant system.</w:t>
      </w:r>
    </w:p>
    <w:p w:rsidR="008D117E" w:rsidRDefault="008D117E">
      <w:pPr>
        <w:spacing w:before="40"/>
      </w:pPr>
    </w:p>
    <w:p w:rsidR="008D117E" w:rsidRDefault="00D30FE3">
      <w:pPr>
        <w:pStyle w:val="Heading3"/>
      </w:pPr>
      <w:r>
        <w:t>The FHIR Consent Resource Structure</w:t>
      </w:r>
    </w:p>
    <w:p w:rsidR="008D117E" w:rsidRDefault="00D30FE3">
      <w:pPr>
        <w:pStyle w:val="ListParagraph"/>
        <w:numPr>
          <w:ilvl w:val="0"/>
          <w:numId w:val="2"/>
        </w:numPr>
        <w:spacing w:before="52" w:after="52"/>
      </w:pPr>
      <w:r>
        <w:rPr>
          <w:b/>
          <w:bCs/>
          <w:color w:val="0F2C5E"/>
        </w:rPr>
        <w:t xml:space="preserve">Patient identifier: </w:t>
      </w:r>
      <w:r>
        <w:rPr>
          <w:color w:val="1E293B"/>
        </w:rPr>
        <w:t>Uniquely links the consent record to the patient across all systems — using the patient's Master Patient Index (MPI) identifier.</w:t>
      </w:r>
    </w:p>
    <w:p w:rsidR="008D117E" w:rsidRDefault="00D30FE3">
      <w:pPr>
        <w:pStyle w:val="ListParagraph"/>
        <w:numPr>
          <w:ilvl w:val="0"/>
          <w:numId w:val="2"/>
        </w:numPr>
        <w:spacing w:before="52" w:after="52"/>
      </w:pPr>
      <w:r>
        <w:rPr>
          <w:b/>
          <w:bCs/>
          <w:color w:val="0F2C5E"/>
        </w:rPr>
        <w:t>Scope and ca</w:t>
      </w:r>
      <w:r>
        <w:rPr>
          <w:b/>
          <w:bCs/>
          <w:color w:val="0F2C5E"/>
        </w:rPr>
        <w:t xml:space="preserve">tegory: </w:t>
      </w:r>
      <w:r>
        <w:rPr>
          <w:color w:val="1E293B"/>
        </w:rPr>
        <w:t>Defines exactly what data is covered: medication records, lab results, mental health notes, research data, imaging — each as a separate granular consent scope.</w:t>
      </w:r>
    </w:p>
    <w:p w:rsidR="008D117E" w:rsidRDefault="00D30FE3">
      <w:pPr>
        <w:pStyle w:val="ListParagraph"/>
        <w:numPr>
          <w:ilvl w:val="0"/>
          <w:numId w:val="2"/>
        </w:numPr>
        <w:spacing w:before="52" w:after="52"/>
      </w:pPr>
      <w:r>
        <w:rPr>
          <w:b/>
          <w:bCs/>
          <w:color w:val="0F2C5E"/>
        </w:rPr>
        <w:t xml:space="preserve">Grantor and grantee: </w:t>
      </w:r>
      <w:r>
        <w:rPr>
          <w:color w:val="1E293B"/>
        </w:rPr>
        <w:t>Records who is granting access (the patient or their authorised rep</w:t>
      </w:r>
      <w:r>
        <w:rPr>
          <w:color w:val="1E293B"/>
        </w:rPr>
        <w:t>resentative) and who is receiving it (a specific provider, a payer, a research app, a care team).</w:t>
      </w:r>
    </w:p>
    <w:p w:rsidR="008D117E" w:rsidRDefault="00D30FE3">
      <w:pPr>
        <w:pStyle w:val="ListParagraph"/>
        <w:numPr>
          <w:ilvl w:val="0"/>
          <w:numId w:val="2"/>
        </w:numPr>
        <w:spacing w:before="52" w:after="52"/>
      </w:pPr>
      <w:r>
        <w:rPr>
          <w:b/>
          <w:bCs/>
          <w:color w:val="0F2C5E"/>
        </w:rPr>
        <w:t xml:space="preserve">Provision and purpose: </w:t>
      </w:r>
      <w:r>
        <w:rPr>
          <w:color w:val="1E293B"/>
        </w:rPr>
        <w:t>Defines the permitted purpose — treatment, payment, research, operations — and the permitted actions (read, write, share). This enforce</w:t>
      </w:r>
      <w:r>
        <w:rPr>
          <w:color w:val="1E293B"/>
        </w:rPr>
        <w:t>s HIPAA's minimum necessary principle at the data layer.</w:t>
      </w:r>
    </w:p>
    <w:p w:rsidR="008D117E" w:rsidRDefault="00D30FE3">
      <w:pPr>
        <w:pStyle w:val="ListParagraph"/>
        <w:numPr>
          <w:ilvl w:val="0"/>
          <w:numId w:val="2"/>
        </w:numPr>
        <w:spacing w:before="52" w:after="52"/>
      </w:pPr>
      <w:r>
        <w:rPr>
          <w:b/>
          <w:bCs/>
          <w:color w:val="0F2C5E"/>
        </w:rPr>
        <w:lastRenderedPageBreak/>
        <w:t xml:space="preserve">Period: </w:t>
      </w:r>
      <w:r>
        <w:rPr>
          <w:color w:val="1E293B"/>
        </w:rPr>
        <w:t>Defines the consent expiry. Temporary consents (for a second opinion, a research study, a telehealth episode) expire automatically without requiring patient action.</w:t>
      </w:r>
    </w:p>
    <w:p w:rsidR="008D117E" w:rsidRDefault="00D30FE3">
      <w:pPr>
        <w:pStyle w:val="ListParagraph"/>
        <w:numPr>
          <w:ilvl w:val="0"/>
          <w:numId w:val="2"/>
        </w:numPr>
        <w:spacing w:before="52" w:after="52"/>
      </w:pPr>
      <w:r>
        <w:rPr>
          <w:b/>
          <w:bCs/>
          <w:color w:val="0F2C5E"/>
        </w:rPr>
        <w:t xml:space="preserve">Audit hash: </w:t>
      </w:r>
      <w:r>
        <w:rPr>
          <w:color w:val="1E293B"/>
        </w:rPr>
        <w:t>A cryptographi</w:t>
      </w:r>
      <w:r>
        <w:rPr>
          <w:color w:val="1E293B"/>
        </w:rPr>
        <w:t>c hash of the complete consent record is stored in an immutable ledger (AWS QLDB or Hyperledger) — ensuring the consent record itself cannot be retroactively modified.</w:t>
      </w:r>
    </w:p>
    <w:p w:rsidR="008D117E" w:rsidRDefault="008D117E">
      <w:pPr>
        <w:spacing w:before="40"/>
      </w:pPr>
    </w:p>
    <w:p w:rsidR="008D117E" w:rsidRDefault="00D30FE3">
      <w:pPr>
        <w:pStyle w:val="Heading3"/>
      </w:pPr>
      <w:r>
        <w:t>Real-Time Enforcement Architecture</w:t>
      </w:r>
    </w:p>
    <w:p w:rsidR="008D117E" w:rsidRDefault="00D30FE3">
      <w:pPr>
        <w:spacing w:before="60" w:after="60"/>
      </w:pPr>
      <w:r>
        <w:rPr>
          <w:color w:val="1E293B"/>
        </w:rPr>
        <w:t>When a consent changes, the update must propagate to all downstream FHIR servers within seconds — not hours. This requires an event-driven architecture: the Consent resource update triggers a FHIR Subscription notification to all registered subscriber syst</w:t>
      </w:r>
      <w:r>
        <w:rPr>
          <w:color w:val="1E293B"/>
        </w:rPr>
        <w:t>ems (EHR, health information exchange, patient portal, connected apps). Each subscriber applies the updated access control immediately. An access control gateway — sitting in front of the FHIR server — enforces the current consent state on every data reque</w:t>
      </w:r>
      <w:r>
        <w:rPr>
          <w:color w:val="1E293B"/>
        </w:rPr>
        <w:t>st. A revoked consent results in a 403 Forbidden response in real time, not the next time the system refreshes its cache.</w:t>
      </w:r>
    </w:p>
    <w:p w:rsidR="008D117E" w:rsidRDefault="008D117E">
      <w:pPr>
        <w:spacing w:before="40"/>
      </w:pPr>
    </w:p>
    <w:p w:rsidR="008D117E" w:rsidRDefault="00D30FE3">
      <w:pPr>
        <w:pStyle w:val="Heading3"/>
      </w:pPr>
      <w:r>
        <w:t>The Break-Glass Override</w:t>
      </w:r>
    </w:p>
    <w:p w:rsidR="008D117E" w:rsidRDefault="00D30FE3">
      <w:pPr>
        <w:spacing w:before="60" w:after="60"/>
      </w:pPr>
      <w:r>
        <w:rPr>
          <w:color w:val="1E293B"/>
        </w:rPr>
        <w:t xml:space="preserve">Emergency access override (break-glass) must be built before launch. A patient who has revoked all access presenting unconscious in the ED cannot be denied care. Break-glass access is permitted with: mandatory clinical justification documented at the time </w:t>
      </w:r>
      <w:r>
        <w:rPr>
          <w:color w:val="1E293B"/>
        </w:rPr>
        <w:t>of access, real-time notification to the patient (or their proxy) that break-glass access was used, full audit logging of the override event, and post-access review by the Privacy Officer. This workflow must be drilled, not just policy-documented.</w:t>
      </w:r>
    </w:p>
    <w:p w:rsidR="008D117E" w:rsidRDefault="008D11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8500"/>
      </w:tblGrid>
      <w:tr w:rsidR="008D117E">
        <w:tblPrEx>
          <w:tblCellMar>
            <w:top w:w="0" w:type="dxa"/>
            <w:bottom w:w="0" w:type="dxa"/>
          </w:tblCellMar>
        </w:tblPrEx>
        <w:tc>
          <w:tcPr>
            <w:tcW w:w="860" w:type="dxa"/>
            <w:tcBorders>
              <w:top w:val="none" w:sz="0" w:space="0" w:color="FFFFFF"/>
              <w:left w:val="none" w:sz="0" w:space="0" w:color="FFFFFF"/>
              <w:bottom w:val="none" w:sz="0" w:space="0" w:color="FFFFFF"/>
              <w:right w:val="none" w:sz="0" w:space="0" w:color="FFFFFF"/>
            </w:tcBorders>
            <w:shd w:val="clear" w:color="auto" w:fill="4C1D95"/>
            <w:tcMar>
              <w:top w:w="120" w:type="dxa"/>
              <w:left w:w="100" w:type="dxa"/>
              <w:bottom w:w="120" w:type="dxa"/>
              <w:right w:w="100" w:type="dxa"/>
            </w:tcMar>
            <w:vAlign w:val="center"/>
          </w:tcPr>
          <w:p w:rsidR="008D117E" w:rsidRDefault="00D30FE3">
            <w:pPr>
              <w:jc w:val="center"/>
            </w:pPr>
            <w:r>
              <w:rPr>
                <w:b/>
                <w:bCs/>
                <w:color w:val="FFFFFF"/>
                <w:sz w:val="24"/>
                <w:szCs w:val="24"/>
              </w:rPr>
              <w:t>Q2</w:t>
            </w:r>
          </w:p>
        </w:tc>
        <w:tc>
          <w:tcPr>
            <w:tcW w:w="8500" w:type="dxa"/>
            <w:tcBorders>
              <w:top w:val="none" w:sz="0" w:space="0" w:color="FFFFFF"/>
              <w:left w:val="none" w:sz="0" w:space="0" w:color="FFFFFF"/>
              <w:bottom w:val="none" w:sz="0" w:space="0" w:color="FFFFFF"/>
              <w:right w:val="none" w:sz="0" w:space="0" w:color="FFFFFF"/>
            </w:tcBorders>
            <w:shd w:val="clear" w:color="auto" w:fill="EDE9FE"/>
            <w:tcMar>
              <w:top w:w="100" w:type="dxa"/>
              <w:left w:w="220" w:type="dxa"/>
              <w:bottom w:w="80" w:type="dxa"/>
              <w:right w:w="220" w:type="dxa"/>
            </w:tcMar>
          </w:tcPr>
          <w:p w:rsidR="008D117E" w:rsidRDefault="00D30FE3">
            <w:r>
              <w:rPr>
                <w:b/>
                <w:bCs/>
                <w:color w:val="0F2C5E"/>
                <w:sz w:val="26"/>
                <w:szCs w:val="26"/>
              </w:rPr>
              <w:t>What</w:t>
            </w:r>
            <w:r>
              <w:rPr>
                <w:b/>
                <w:bCs/>
                <w:color w:val="0F2C5E"/>
                <w:sz w:val="26"/>
                <w:szCs w:val="26"/>
              </w:rPr>
              <w:t xml:space="preserve"> are the governance and compliance requirements organisations must address before deployment?</w:t>
            </w:r>
          </w:p>
        </w:tc>
      </w:tr>
    </w:tbl>
    <w:p w:rsidR="008D117E" w:rsidRDefault="008D117E">
      <w:pPr>
        <w:spacing w:before="60"/>
      </w:pPr>
    </w:p>
    <w:p w:rsidR="008D117E" w:rsidRDefault="00D30FE3">
      <w:pPr>
        <w:spacing w:before="60" w:after="60"/>
      </w:pPr>
      <w:r>
        <w:rPr>
          <w:color w:val="1E293B"/>
        </w:rPr>
        <w:t>Governance for the Dynamic Consent Ledger operates across four parallel tracks. Each must be mature before the system goes live — a consent ledger with weak governance is worse than no consent ledger, because it creates the appearance of compliance without</w:t>
      </w:r>
      <w:r>
        <w:rPr>
          <w:color w:val="1E293B"/>
        </w:rPr>
        <w:t xml:space="preserve"> the substance.</w:t>
      </w:r>
    </w:p>
    <w:p w:rsidR="008D117E" w:rsidRDefault="008D117E">
      <w:pPr>
        <w:spacing w:before="40"/>
      </w:pPr>
    </w:p>
    <w:p w:rsidR="008D117E" w:rsidRDefault="00D30FE3">
      <w:pPr>
        <w:pStyle w:val="Heading3"/>
      </w:pPr>
      <w:r>
        <w:rPr>
          <w:color w:val="4C1D95"/>
        </w:rPr>
        <w:t>Track 1 — HIPAA Compliance Architecture</w:t>
      </w:r>
    </w:p>
    <w:p w:rsidR="008D117E" w:rsidRDefault="00D30FE3">
      <w:pPr>
        <w:pStyle w:val="ListParagraph"/>
        <w:numPr>
          <w:ilvl w:val="0"/>
          <w:numId w:val="2"/>
        </w:numPr>
        <w:spacing w:before="52" w:after="52"/>
      </w:pPr>
      <w:r>
        <w:rPr>
          <w:b/>
          <w:bCs/>
          <w:color w:val="0F2C5E"/>
        </w:rPr>
        <w:t xml:space="preserve">Minimum Necessary enforcement: </w:t>
      </w:r>
      <w:r>
        <w:rPr>
          <w:color w:val="1E293B"/>
        </w:rPr>
        <w:t>Consent granularity must align with HIPAA's Minimum Necessary standard. A payer authorised for payment purposes should not receive research data. Smart contract logic e</w:t>
      </w:r>
      <w:r>
        <w:rPr>
          <w:color w:val="1E293B"/>
        </w:rPr>
        <w:t>nforces purpose limitation at the data layer — not just through policy.</w:t>
      </w:r>
    </w:p>
    <w:p w:rsidR="008D117E" w:rsidRDefault="00D30FE3">
      <w:pPr>
        <w:pStyle w:val="ListParagraph"/>
        <w:numPr>
          <w:ilvl w:val="0"/>
          <w:numId w:val="2"/>
        </w:numPr>
        <w:spacing w:before="52" w:after="52"/>
      </w:pPr>
      <w:r>
        <w:rPr>
          <w:b/>
          <w:bCs/>
          <w:color w:val="0F2C5E"/>
        </w:rPr>
        <w:t xml:space="preserve">Business Associate Agreements: </w:t>
      </w:r>
      <w:r>
        <w:rPr>
          <w:color w:val="1E293B"/>
        </w:rPr>
        <w:t>Every technology vendor in the consent ledger stack — audit ledger provider (AWS, Hyperledger), patient portal vendor, push notification service, identit</w:t>
      </w:r>
      <w:r>
        <w:rPr>
          <w:color w:val="1E293B"/>
        </w:rPr>
        <w:t>y verification service — requires a signed BAA before handling PHI.</w:t>
      </w:r>
    </w:p>
    <w:p w:rsidR="008D117E" w:rsidRDefault="00D30FE3">
      <w:pPr>
        <w:pStyle w:val="ListParagraph"/>
        <w:numPr>
          <w:ilvl w:val="0"/>
          <w:numId w:val="2"/>
        </w:numPr>
        <w:spacing w:before="52" w:after="52"/>
      </w:pPr>
      <w:r>
        <w:rPr>
          <w:b/>
          <w:bCs/>
          <w:color w:val="0F2C5E"/>
        </w:rPr>
        <w:t xml:space="preserve">Right of Access compliance: </w:t>
      </w:r>
      <w:r>
        <w:rPr>
          <w:color w:val="1E293B"/>
        </w:rPr>
        <w:t>HIPAA's Right of Access rule (45 CFR §164.524) requires patient record access within 30 days. The consent ledger reduces this to real-time access — exceeding th</w:t>
      </w:r>
      <w:r>
        <w:rPr>
          <w:color w:val="1E293B"/>
        </w:rPr>
        <w:t>e legal minimum while satisfying it.</w:t>
      </w:r>
    </w:p>
    <w:p w:rsidR="008D117E" w:rsidRDefault="008D117E">
      <w:pPr>
        <w:spacing w:before="40"/>
      </w:pPr>
    </w:p>
    <w:p w:rsidR="008D117E" w:rsidRDefault="00D30FE3">
      <w:pPr>
        <w:pStyle w:val="Heading3"/>
      </w:pPr>
      <w:r>
        <w:rPr>
          <w:color w:val="4C1D95"/>
        </w:rPr>
        <w:t>Track 2 — State Privacy Law Variation</w:t>
      </w:r>
    </w:p>
    <w:p w:rsidR="008D117E" w:rsidRDefault="00D30FE3">
      <w:pPr>
        <w:spacing w:before="60" w:after="60"/>
      </w:pPr>
      <w:r>
        <w:rPr>
          <w:color w:val="1E293B"/>
        </w:rPr>
        <w:t>HIPAA is the federal floor. Multiple states have stricter requirements that the consent UI must satisfy dynamically based on the patient's state of residence:</w:t>
      </w:r>
    </w:p>
    <w:p w:rsidR="008D117E" w:rsidRDefault="00D30FE3">
      <w:pPr>
        <w:pStyle w:val="ListParagraph"/>
        <w:numPr>
          <w:ilvl w:val="0"/>
          <w:numId w:val="2"/>
        </w:numPr>
        <w:spacing w:before="52" w:after="52"/>
      </w:pPr>
      <w:r>
        <w:rPr>
          <w:b/>
          <w:bCs/>
          <w:color w:val="0F2C5E"/>
        </w:rPr>
        <w:t xml:space="preserve">California CCPA: </w:t>
      </w:r>
      <w:r>
        <w:rPr>
          <w:color w:val="1E293B"/>
        </w:rPr>
        <w:t>Requ</w:t>
      </w:r>
      <w:r>
        <w:rPr>
          <w:color w:val="1E293B"/>
        </w:rPr>
        <w:t>ires specific disclosure language about data categories, data sharing purposes, and the right to opt out of data sales — separate from and stricter than HIPAA authorisation requirements.</w:t>
      </w:r>
    </w:p>
    <w:p w:rsidR="008D117E" w:rsidRDefault="00D30FE3">
      <w:pPr>
        <w:pStyle w:val="ListParagraph"/>
        <w:numPr>
          <w:ilvl w:val="0"/>
          <w:numId w:val="2"/>
        </w:numPr>
        <w:spacing w:before="52" w:after="52"/>
      </w:pPr>
      <w:r>
        <w:rPr>
          <w:b/>
          <w:bCs/>
          <w:color w:val="0F2C5E"/>
        </w:rPr>
        <w:t xml:space="preserve">New York SHIELD Act: </w:t>
      </w:r>
      <w:r>
        <w:rPr>
          <w:color w:val="1E293B"/>
        </w:rPr>
        <w:t>Requires reasonable administrative, technical, a</w:t>
      </w:r>
      <w:r>
        <w:rPr>
          <w:color w:val="1E293B"/>
        </w:rPr>
        <w:t>nd physical safeguards — a standard the immutable audit ledger directly satisfies, but that must be documented and audited annually.</w:t>
      </w:r>
    </w:p>
    <w:p w:rsidR="008D117E" w:rsidRDefault="00D30FE3">
      <w:pPr>
        <w:pStyle w:val="ListParagraph"/>
        <w:numPr>
          <w:ilvl w:val="0"/>
          <w:numId w:val="2"/>
        </w:numPr>
        <w:spacing w:before="52" w:after="52"/>
      </w:pPr>
      <w:r>
        <w:rPr>
          <w:b/>
          <w:bCs/>
          <w:color w:val="0F2C5E"/>
        </w:rPr>
        <w:t xml:space="preserve">Illinois BIPA: </w:t>
      </w:r>
      <w:r>
        <w:rPr>
          <w:color w:val="1E293B"/>
        </w:rPr>
        <w:t>Biometric data (face ID, fingerprint for patient identity verification) triggers Illinois' Biometric Informa</w:t>
      </w:r>
      <w:r>
        <w:rPr>
          <w:color w:val="1E293B"/>
        </w:rPr>
        <w:t>tion Privacy Act, which requires separate written consent and carries per-violation penalties of $1,000–$5,000.</w:t>
      </w:r>
    </w:p>
    <w:p w:rsidR="008D117E" w:rsidRDefault="00D30FE3">
      <w:pPr>
        <w:pStyle w:val="ListParagraph"/>
        <w:numPr>
          <w:ilvl w:val="0"/>
          <w:numId w:val="2"/>
        </w:numPr>
        <w:spacing w:before="52" w:after="52"/>
      </w:pPr>
      <w:r>
        <w:rPr>
          <w:b/>
          <w:bCs/>
          <w:color w:val="0F2C5E"/>
        </w:rPr>
        <w:lastRenderedPageBreak/>
        <w:t xml:space="preserve">42 CFR Part 2: </w:t>
      </w:r>
      <w:r>
        <w:rPr>
          <w:color w:val="1E293B"/>
        </w:rPr>
        <w:t>Substance use disorder records require explicit, purpose-specific consent for every disclosure — stricter than general HIPAA auth</w:t>
      </w:r>
      <w:r>
        <w:rPr>
          <w:color w:val="1E293B"/>
        </w:rPr>
        <w:t>orisation. The consent ledger must maintain a separate consent tier for Part 2 records.</w:t>
      </w:r>
    </w:p>
    <w:p w:rsidR="008D117E" w:rsidRDefault="008D117E">
      <w:pPr>
        <w:spacing w:before="40"/>
      </w:pPr>
    </w:p>
    <w:p w:rsidR="008D117E" w:rsidRDefault="00D30FE3">
      <w:pPr>
        <w:pStyle w:val="Heading3"/>
      </w:pPr>
      <w:r>
        <w:rPr>
          <w:color w:val="4C1D95"/>
        </w:rPr>
        <w:t>Track 3 — Interoperability Regulation (ONC &amp; CMS)</w:t>
      </w:r>
    </w:p>
    <w:p w:rsidR="008D117E" w:rsidRDefault="00D30FE3">
      <w:pPr>
        <w:pStyle w:val="ListParagraph"/>
        <w:numPr>
          <w:ilvl w:val="0"/>
          <w:numId w:val="2"/>
        </w:numPr>
        <w:spacing w:before="52" w:after="52"/>
      </w:pPr>
      <w:r>
        <w:rPr>
          <w:b/>
          <w:bCs/>
          <w:color w:val="0F2C5E"/>
        </w:rPr>
        <w:t xml:space="preserve">ONC Information Blocking Rule: </w:t>
      </w:r>
      <w:r>
        <w:rPr>
          <w:color w:val="1E293B"/>
        </w:rPr>
        <w:t>Prohibits EHR vendors and healthcare organisations from interfering with patient acces</w:t>
      </w:r>
      <w:r>
        <w:rPr>
          <w:color w:val="1E293B"/>
        </w:rPr>
        <w:t>s to their data. The Dynamic Consent Ledger is the technical mechanism for proving Information Blocking compliance — every access grant is documented.</w:t>
      </w:r>
    </w:p>
    <w:p w:rsidR="008D117E" w:rsidRDefault="00D30FE3">
      <w:pPr>
        <w:pStyle w:val="ListParagraph"/>
        <w:numPr>
          <w:ilvl w:val="0"/>
          <w:numId w:val="2"/>
        </w:numPr>
        <w:spacing w:before="52" w:after="52"/>
      </w:pPr>
      <w:r>
        <w:rPr>
          <w:b/>
          <w:bCs/>
          <w:color w:val="0F2C5E"/>
        </w:rPr>
        <w:t xml:space="preserve">CMS-0057-F compliance: </w:t>
      </w:r>
      <w:r>
        <w:rPr>
          <w:color w:val="1E293B"/>
        </w:rPr>
        <w:t xml:space="preserve">The January 2024 Final Rule mandates Patient Access API, Provider Access API, and </w:t>
      </w:r>
      <w:r>
        <w:rPr>
          <w:color w:val="1E293B"/>
        </w:rPr>
        <w:t>Payer-to-Payer API — all of which require the consent infrastructure that the Dynamic Consent Ledger provides.</w:t>
      </w:r>
    </w:p>
    <w:p w:rsidR="008D117E" w:rsidRDefault="00D30FE3">
      <w:pPr>
        <w:pStyle w:val="ListParagraph"/>
        <w:numPr>
          <w:ilvl w:val="0"/>
          <w:numId w:val="2"/>
        </w:numPr>
        <w:spacing w:before="52" w:after="52"/>
      </w:pPr>
      <w:r>
        <w:rPr>
          <w:b/>
          <w:bCs/>
          <w:color w:val="0F2C5E"/>
        </w:rPr>
        <w:t xml:space="preserve">TEFCA compatibility: </w:t>
      </w:r>
      <w:r>
        <w:rPr>
          <w:color w:val="1E293B"/>
        </w:rPr>
        <w:t>Consent records must be structured for compatibility with TEFCA's nationwide exchange framework as it matures through 2026–2027.</w:t>
      </w:r>
    </w:p>
    <w:p w:rsidR="008D117E" w:rsidRDefault="008D117E">
      <w:pPr>
        <w:spacing w:before="40"/>
      </w:pPr>
    </w:p>
    <w:p w:rsidR="008D117E" w:rsidRDefault="00D30FE3">
      <w:pPr>
        <w:pStyle w:val="Heading3"/>
      </w:pPr>
      <w:r>
        <w:rPr>
          <w:color w:val="4C1D95"/>
        </w:rPr>
        <w:t>Track 4 — Consent UX Governance (The Most Overlooked Track)</w:t>
      </w:r>
    </w:p>
    <w:p w:rsidR="008D117E" w:rsidRDefault="00D30FE3">
      <w:pPr>
        <w:spacing w:before="60" w:after="60"/>
      </w:pPr>
      <w:r>
        <w:rPr>
          <w:color w:val="1E293B"/>
        </w:rPr>
        <w:t xml:space="preserve">Research consistently shows that patients click 'Accept All' when </w:t>
      </w:r>
      <w:r>
        <w:rPr>
          <w:color w:val="1E293B"/>
        </w:rPr>
        <w:t>presented with complex consent choices — defeating the purpose of granular consent. Consent UX governance requires: user experience research with the actual patient population before design, readability testing at the 6th-grade target level, consent bundle</w:t>
      </w:r>
      <w:r>
        <w:rPr>
          <w:color w:val="1E293B"/>
        </w:rPr>
        <w:t xml:space="preserve"> design (pre-packaged scenarios like 'Share all records with my care team'), periodic patient comprehension audits, and accessibility review for patients with disabilities. This track is governed by the clinical ethics committee, not the IT security team.</w:t>
      </w:r>
    </w:p>
    <w:p w:rsidR="008D117E" w:rsidRDefault="008D117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8500"/>
      </w:tblGrid>
      <w:tr w:rsidR="008D117E">
        <w:tblPrEx>
          <w:tblCellMar>
            <w:top w:w="0" w:type="dxa"/>
            <w:bottom w:w="0" w:type="dxa"/>
          </w:tblCellMar>
        </w:tblPrEx>
        <w:tc>
          <w:tcPr>
            <w:tcW w:w="860" w:type="dxa"/>
            <w:tcBorders>
              <w:top w:val="none" w:sz="0" w:space="0" w:color="FFFFFF"/>
              <w:left w:val="none" w:sz="0" w:space="0" w:color="FFFFFF"/>
              <w:bottom w:val="none" w:sz="0" w:space="0" w:color="FFFFFF"/>
              <w:right w:val="none" w:sz="0" w:space="0" w:color="FFFFFF"/>
            </w:tcBorders>
            <w:shd w:val="clear" w:color="auto" w:fill="15803D"/>
            <w:tcMar>
              <w:top w:w="120" w:type="dxa"/>
              <w:left w:w="100" w:type="dxa"/>
              <w:bottom w:w="120" w:type="dxa"/>
              <w:right w:w="100" w:type="dxa"/>
            </w:tcMar>
            <w:vAlign w:val="center"/>
          </w:tcPr>
          <w:p w:rsidR="008D117E" w:rsidRDefault="00D30FE3">
            <w:pPr>
              <w:jc w:val="center"/>
            </w:pPr>
            <w:r>
              <w:rPr>
                <w:b/>
                <w:bCs/>
                <w:color w:val="FFFFFF"/>
                <w:sz w:val="24"/>
                <w:szCs w:val="24"/>
              </w:rPr>
              <w:t>Q3</w:t>
            </w:r>
          </w:p>
        </w:tc>
        <w:tc>
          <w:tcPr>
            <w:tcW w:w="8500" w:type="dxa"/>
            <w:tcBorders>
              <w:top w:val="none" w:sz="0" w:space="0" w:color="FFFFFF"/>
              <w:left w:val="none" w:sz="0" w:space="0" w:color="FFFFFF"/>
              <w:bottom w:val="none" w:sz="0" w:space="0" w:color="FFFFFF"/>
              <w:right w:val="none" w:sz="0" w:space="0" w:color="FFFFFF"/>
            </w:tcBorders>
            <w:shd w:val="clear" w:color="auto" w:fill="DCFCE7"/>
            <w:tcMar>
              <w:top w:w="100" w:type="dxa"/>
              <w:left w:w="220" w:type="dxa"/>
              <w:bottom w:w="80" w:type="dxa"/>
              <w:right w:w="220" w:type="dxa"/>
            </w:tcMar>
          </w:tcPr>
          <w:p w:rsidR="008D117E" w:rsidRDefault="00D30FE3">
            <w:r>
              <w:rPr>
                <w:b/>
                <w:bCs/>
                <w:color w:val="0F2C5E"/>
                <w:sz w:val="26"/>
                <w:szCs w:val="26"/>
              </w:rPr>
              <w:t>What is the ROI model for Dynamic Consent Ledger, and how do you build the business case for the CFO?</w:t>
            </w:r>
          </w:p>
        </w:tc>
      </w:tr>
    </w:tbl>
    <w:p w:rsidR="008D117E" w:rsidRDefault="008D117E">
      <w:pPr>
        <w:spacing w:before="60"/>
      </w:pPr>
    </w:p>
    <w:p w:rsidR="008D117E" w:rsidRDefault="00D30FE3">
      <w:pPr>
        <w:spacing w:before="60" w:after="60"/>
      </w:pPr>
      <w:r>
        <w:rPr>
          <w:color w:val="1E293B"/>
        </w:rPr>
        <w:t>The Dynamic Consent Ledger business case is structurally different from most EHR investments because its returns are distributed across multiple cost centres that are rarely tracked together. The CFO who sees only the IT implementation cost will undervalue</w:t>
      </w:r>
      <w:r>
        <w:rPr>
          <w:color w:val="1E293B"/>
        </w:rPr>
        <w:t xml:space="preserve"> this investment significantly. The complete ROI model has four components:</w:t>
      </w:r>
    </w:p>
    <w:p w:rsidR="008D117E" w:rsidRDefault="008D117E">
      <w:pPr>
        <w:spacing w:before="40"/>
      </w:pPr>
    </w:p>
    <w:p w:rsidR="008D117E" w:rsidRDefault="00D30FE3">
      <w:pPr>
        <w:pStyle w:val="Heading3"/>
      </w:pPr>
      <w:r>
        <w:rPr>
          <w:color w:val="15803D"/>
        </w:rPr>
        <w:t>Component 1 — HIPAA Breach Liability Reduction (Most Compelling Single Number)</w:t>
      </w:r>
    </w:p>
    <w:p w:rsidR="008D117E" w:rsidRDefault="00D30FE3">
      <w:pPr>
        <w:spacing w:before="60" w:after="60"/>
      </w:pPr>
      <w:r>
        <w:rPr>
          <w:color w:val="1E293B"/>
        </w:rPr>
        <w:t>The average HIPAA data breach costs $10.9 million (IBM Cost of Data Breach Report 2024). The immutab</w:t>
      </w:r>
      <w:r>
        <w:rPr>
          <w:color w:val="1E293B"/>
        </w:rPr>
        <w:t>le consent audit trail is the primary OCR defence. One prevented breach more than covers the total implementation cost. For a CFO, the expected value calculation is: (probability of a breach event × $10.9M average cost) vs. (cost of implementation $300K–$7</w:t>
      </w:r>
      <w:r>
        <w:rPr>
          <w:color w:val="1E293B"/>
        </w:rPr>
        <w:t>00K). At even a 5% annual breach probability, the expected value of prevention exceeds implementation cost every year.</w:t>
      </w:r>
    </w:p>
    <w:p w:rsidR="008D117E" w:rsidRDefault="008D117E">
      <w:pPr>
        <w:spacing w:before="40"/>
      </w:pPr>
    </w:p>
    <w:p w:rsidR="008D117E" w:rsidRDefault="00D30FE3">
      <w:pPr>
        <w:pStyle w:val="Heading3"/>
      </w:pPr>
      <w:r>
        <w:rPr>
          <w:color w:val="15803D"/>
        </w:rPr>
        <w:t>Component 2 — Revenue Cycle Operational Savings</w:t>
      </w:r>
    </w:p>
    <w:p w:rsidR="008D117E" w:rsidRDefault="00D30FE3">
      <w:pPr>
        <w:pStyle w:val="ListParagraph"/>
        <w:numPr>
          <w:ilvl w:val="0"/>
          <w:numId w:val="2"/>
        </w:numPr>
        <w:spacing w:before="52" w:after="52"/>
      </w:pPr>
      <w:r>
        <w:rPr>
          <w:b/>
          <w:bCs/>
          <w:color w:val="0F2C5E"/>
        </w:rPr>
        <w:t xml:space="preserve">Release of Information (ROI) department: </w:t>
      </w:r>
      <w:r>
        <w:rPr>
          <w:color w:val="1E293B"/>
        </w:rPr>
        <w:t>ROI workload drops 40–60% for the consented pat</w:t>
      </w:r>
      <w:r>
        <w:rPr>
          <w:color w:val="1E293B"/>
        </w:rPr>
        <w:t>ient population. At 3–4 hours of staff time per records request at $25/hour, eliminating 500 manual requests per month = $37,500–$50,000 monthly savings = $450,000–$600,000 annually.</w:t>
      </w:r>
    </w:p>
    <w:p w:rsidR="008D117E" w:rsidRDefault="00D30FE3">
      <w:pPr>
        <w:pStyle w:val="ListParagraph"/>
        <w:numPr>
          <w:ilvl w:val="0"/>
          <w:numId w:val="2"/>
        </w:numPr>
        <w:spacing w:before="52" w:after="52"/>
      </w:pPr>
      <w:r>
        <w:rPr>
          <w:b/>
          <w:bCs/>
          <w:color w:val="0F2C5E"/>
        </w:rPr>
        <w:t xml:space="preserve">Prior authorisation acceleration: </w:t>
      </w:r>
      <w:r>
        <w:rPr>
          <w:color w:val="1E293B"/>
        </w:rPr>
        <w:t>Documentation-related PA denials drop 1</w:t>
      </w:r>
      <w:r>
        <w:rPr>
          <w:color w:val="1E293B"/>
        </w:rPr>
        <w:t>5–22%. For a health system processing 5,000 PAs per month at an average denial-and-appeal cost of $25–$50, a 15% reduction = $18,750–$37,500 monthly = $225,000–$450,000 annually.</w:t>
      </w:r>
    </w:p>
    <w:p w:rsidR="008D117E" w:rsidRDefault="00D30FE3">
      <w:pPr>
        <w:pStyle w:val="ListParagraph"/>
        <w:numPr>
          <w:ilvl w:val="0"/>
          <w:numId w:val="2"/>
        </w:numPr>
        <w:spacing w:before="52" w:after="52"/>
      </w:pPr>
      <w:r>
        <w:rPr>
          <w:b/>
          <w:bCs/>
          <w:color w:val="0F2C5E"/>
        </w:rPr>
        <w:t xml:space="preserve">Care transition efficiency: </w:t>
      </w:r>
      <w:r>
        <w:rPr>
          <w:color w:val="1E293B"/>
        </w:rPr>
        <w:t>Referral record transfer compresses from 3–5 days to same-day for consented patients. At 200 referrals per day with 40 minutes of staff coordination time each, same-day digital transfer recovers 133 staff-hours daily.</w:t>
      </w:r>
    </w:p>
    <w:p w:rsidR="008D117E" w:rsidRDefault="008D117E">
      <w:pPr>
        <w:spacing w:before="40"/>
      </w:pPr>
    </w:p>
    <w:p w:rsidR="008D117E" w:rsidRDefault="00D30FE3">
      <w:pPr>
        <w:pStyle w:val="Heading3"/>
      </w:pPr>
      <w:r>
        <w:rPr>
          <w:color w:val="15803D"/>
        </w:rPr>
        <w:lastRenderedPageBreak/>
        <w:t>Component 3 — Quality Bonus Revenue</w:t>
      </w:r>
    </w:p>
    <w:p w:rsidR="008D117E" w:rsidRDefault="00D30FE3">
      <w:pPr>
        <w:spacing w:before="60" w:after="60"/>
      </w:pPr>
      <w:r>
        <w:rPr>
          <w:color w:val="1E293B"/>
        </w:rPr>
        <w:t>P</w:t>
      </w:r>
      <w:r>
        <w:rPr>
          <w:color w:val="1E293B"/>
        </w:rPr>
        <w:t>atient portal engagement, care plan adherence, and preventive care completion all improve when patients trust their data is protected and accessible. These improvements feed directly into MIPS Promoting Interoperability category scores and HEDIS measure ra</w:t>
      </w:r>
      <w:r>
        <w:rPr>
          <w:color w:val="1E293B"/>
        </w:rPr>
        <w:t>tes — generating $500K–$3M annually in quality bonus payments for a mid-size health system.</w:t>
      </w:r>
    </w:p>
    <w:p w:rsidR="008D117E" w:rsidRDefault="008D117E">
      <w:pPr>
        <w:spacing w:before="40"/>
      </w:pPr>
    </w:p>
    <w:p w:rsidR="008D117E" w:rsidRDefault="00D30FE3">
      <w:pPr>
        <w:pStyle w:val="Heading3"/>
      </w:pPr>
      <w:r>
        <w:rPr>
          <w:color w:val="15803D"/>
        </w:rPr>
        <w:t>Component 4 — Research Partnership Revenue</w:t>
      </w:r>
    </w:p>
    <w:p w:rsidR="008D117E" w:rsidRDefault="00D30FE3">
      <w:pPr>
        <w:spacing w:before="60" w:after="60"/>
      </w:pPr>
      <w:r>
        <w:rPr>
          <w:color w:val="1E293B"/>
        </w:rPr>
        <w:t>Pharmaceutical and biotech companies pay $500K–$5M per consented patient cohort for observational research access. Healt</w:t>
      </w:r>
      <w:r>
        <w:rPr>
          <w:color w:val="1E293B"/>
        </w:rPr>
        <w:t>h systems with a structured, FHIR-based consent infrastructure are preferred research partners — because their consent architecture satisfies IRB and FDA requirements that manual consent processes cannot meet at scale. This revenue stream is inaccessible w</w:t>
      </w:r>
      <w:r>
        <w:rPr>
          <w:color w:val="1E293B"/>
        </w:rPr>
        <w:t>ithout the consent ledger infrastructure.</w:t>
      </w:r>
    </w:p>
    <w:p w:rsidR="008D117E" w:rsidRDefault="008D117E">
      <w:pPr>
        <w:spacing w:before="60"/>
      </w:pPr>
    </w:p>
    <w:p w:rsidR="008D117E" w:rsidRDefault="00D30FE3">
      <w:pPr>
        <w:spacing w:before="60" w:after="60"/>
      </w:pPr>
      <w:r>
        <w:rPr>
          <w:b/>
          <w:bCs/>
          <w:color w:val="0F2C5E"/>
        </w:rPr>
        <w:t>Conservative 3-year ROI for a mid-size health system: Total implementation cost $300,000–$700,000. Annual benefits (HIPAA expected value + ROI savings + PA improvement + quality bonuses) = $1.5M–$4M. Break-even: 2</w:t>
      </w:r>
      <w:r>
        <w:rPr>
          <w:b/>
          <w:bCs/>
          <w:color w:val="0F2C5E"/>
        </w:rPr>
        <w:t>–6 months. 3-year net return: $3.5M–$11.3M.</w:t>
      </w:r>
    </w:p>
    <w:p w:rsidR="008D117E" w:rsidRDefault="008D117E">
      <w:pPr>
        <w:spacing w:before="100"/>
      </w:pPr>
    </w:p>
    <w:p w:rsidR="008D117E" w:rsidRDefault="00D30FE3">
      <w:r>
        <w:br w:type="page"/>
      </w:r>
    </w:p>
    <w:p w:rsidR="008D117E" w:rsidRDefault="00D30FE3">
      <w:pPr>
        <w:pStyle w:val="Heading1"/>
        <w:pBdr>
          <w:bottom w:val="single" w:sz="6" w:space="4" w:color="1D4ED8"/>
        </w:pBdr>
      </w:pPr>
      <w:r>
        <w:lastRenderedPageBreak/>
        <w:t>Ten-Dimension In-Depth Analysis</w:t>
      </w:r>
    </w:p>
    <w:p w:rsidR="008D117E" w:rsidRDefault="00D30FE3">
      <w:pPr>
        <w:spacing w:before="60" w:after="60"/>
      </w:pPr>
      <w:r>
        <w:rPr>
          <w:color w:val="1E293B"/>
        </w:rPr>
        <w:t>The following ten dimensions examine every consequence — financial, clinical, operational, and strategic — of implementing the Dynamic Consent Ledger. Each dimension connects directly back to the original 32-idea framework and is written at the depth requi</w:t>
      </w:r>
      <w:r>
        <w:rPr>
          <w:color w:val="1E293B"/>
        </w:rPr>
        <w:t>red for both board-level decisions and operational implementation planning.</w:t>
      </w:r>
    </w:p>
    <w:p w:rsidR="008D117E" w:rsidRDefault="008D117E">
      <w:pPr>
        <w:spacing w:before="80"/>
      </w:pPr>
    </w:p>
    <w:p w:rsidR="008D117E" w:rsidRDefault="008D117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7640"/>
      </w:tblGrid>
      <w:tr w:rsidR="008D117E">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shd w:val="clear" w:color="auto" w:fill="0F2C5E"/>
            <w:tcMar>
              <w:top w:w="100" w:type="dxa"/>
              <w:left w:w="100" w:type="dxa"/>
              <w:bottom w:w="100" w:type="dxa"/>
              <w:right w:w="100" w:type="dxa"/>
            </w:tcMar>
          </w:tcPr>
          <w:p w:rsidR="008D117E" w:rsidRDefault="00D30FE3">
            <w:pPr>
              <w:jc w:val="center"/>
            </w:pPr>
            <w:r>
              <w:rPr>
                <w:b/>
                <w:bCs/>
                <w:color w:val="FFFFFF"/>
                <w:sz w:val="17"/>
                <w:szCs w:val="17"/>
              </w:rPr>
              <w:t>📊</w:t>
            </w:r>
            <w:r>
              <w:rPr>
                <w:b/>
                <w:bCs/>
                <w:color w:val="FFFFFF"/>
                <w:sz w:val="17"/>
                <w:szCs w:val="17"/>
              </w:rPr>
              <w:t xml:space="preserve"> RCM DIRECT IMPACT</w:t>
            </w:r>
          </w:p>
        </w:tc>
        <w:tc>
          <w:tcPr>
            <w:tcW w:w="7640" w:type="dxa"/>
            <w:tcBorders>
              <w:top w:val="single" w:sz="1" w:space="0" w:color="CCCCCC"/>
              <w:left w:val="single" w:sz="1" w:space="0" w:color="CCCCCC"/>
              <w:bottom w:val="single" w:sz="1" w:space="0" w:color="CCCCCC"/>
              <w:right w:val="single" w:sz="1" w:space="0" w:color="CCCCCC"/>
            </w:tcBorders>
            <w:shd w:val="clear" w:color="auto" w:fill="EFF6FF"/>
            <w:tcMar>
              <w:top w:w="90" w:type="dxa"/>
              <w:left w:w="140" w:type="dxa"/>
              <w:bottom w:w="90" w:type="dxa"/>
              <w:right w:w="140" w:type="dxa"/>
            </w:tcMar>
          </w:tcPr>
          <w:p w:rsidR="008D117E" w:rsidRDefault="00D30FE3">
            <w:pPr>
              <w:spacing w:after="80"/>
            </w:pPr>
            <w:r>
              <w:rPr>
                <w:b/>
                <w:bCs/>
                <w:color w:val="0F2C5E"/>
                <w:sz w:val="23"/>
                <w:szCs w:val="23"/>
              </w:rPr>
              <w:t>RCM Direct Impact — Revenue Cycle Changes Once the Consent Ledger Is Live</w:t>
            </w:r>
          </w:p>
          <w:p w:rsidR="008D117E" w:rsidRDefault="00D30FE3">
            <w:pPr>
              <w:spacing w:after="50"/>
            </w:pPr>
            <w:r>
              <w:rPr>
                <w:b/>
                <w:bCs/>
                <w:color w:val="1D4ED8"/>
              </w:rPr>
              <w:t>Documentation-Driven Denial Prevention</w:t>
            </w:r>
          </w:p>
          <w:p w:rsidR="008D117E" w:rsidRDefault="00D30FE3">
            <w:pPr>
              <w:pStyle w:val="ListParagraph"/>
              <w:numPr>
                <w:ilvl w:val="0"/>
                <w:numId w:val="2"/>
              </w:numPr>
              <w:spacing w:before="52" w:after="52"/>
            </w:pPr>
            <w:r>
              <w:rPr>
                <w:color w:val="1E293B"/>
              </w:rPr>
              <w:t>Documentation-based denials — where payers reject claims because supporting clinical records were not attached or arrived too late — drop 15–22% when patient-consented record sharing delivers complete documentation automatically with every claim submission</w:t>
            </w:r>
            <w:r>
              <w:rPr>
                <w:color w:val="1E293B"/>
              </w:rPr>
              <w:t>. The consent ledger eliminates the 'missing records' denial category for participating patients.</w:t>
            </w:r>
          </w:p>
          <w:p w:rsidR="008D117E" w:rsidRDefault="00D30FE3">
            <w:pPr>
              <w:pStyle w:val="ListParagraph"/>
              <w:numPr>
                <w:ilvl w:val="0"/>
                <w:numId w:val="2"/>
              </w:numPr>
              <w:spacing w:before="52" w:after="52"/>
            </w:pPr>
            <w:r>
              <w:rPr>
                <w:color w:val="1E293B"/>
              </w:rPr>
              <w:t>Prior authorisation approval cycles compress dramatically. Payers currently wait 5–10 business days for clinical documentation after a PA request. With the co</w:t>
            </w:r>
            <w:r>
              <w:rPr>
                <w:color w:val="1E293B"/>
              </w:rPr>
              <w:t>nsent ledger, the patient grants the payer access to the exact clinical record the PA requires — and that record flows instantly. PA approval timelines for consented patients move from 5–14 days to same-day or next-day.</w:t>
            </w:r>
          </w:p>
          <w:p w:rsidR="008D117E" w:rsidRDefault="00D30FE3">
            <w:pPr>
              <w:pStyle w:val="ListParagraph"/>
              <w:numPr>
                <w:ilvl w:val="0"/>
                <w:numId w:val="2"/>
              </w:numPr>
              <w:spacing w:before="52" w:after="52"/>
            </w:pPr>
            <w:r>
              <w:rPr>
                <w:color w:val="1E293B"/>
              </w:rPr>
              <w:t>Appeal packages become comprehensive</w:t>
            </w:r>
            <w:r>
              <w:rPr>
                <w:color w:val="1E293B"/>
              </w:rPr>
              <w:t xml:space="preserve"> and pre-organised. When a payer denies a claim, the consent ledger provides a complete, timestamped, longitudinal clinical record — not a one-page physician letter. Appeals built from consent-ledger-sourced documentation overturn at 65–80% vs. the 45–55% </w:t>
            </w:r>
            <w:r>
              <w:rPr>
                <w:color w:val="1E293B"/>
              </w:rPr>
              <w:t>industry average.</w:t>
            </w:r>
          </w:p>
          <w:p w:rsidR="008D117E" w:rsidRDefault="00D30FE3">
            <w:pPr>
              <w:pStyle w:val="ListParagraph"/>
              <w:numPr>
                <w:ilvl w:val="0"/>
                <w:numId w:val="2"/>
              </w:numPr>
              <w:spacing w:before="52" w:after="52"/>
            </w:pPr>
            <w:r>
              <w:rPr>
                <w:color w:val="1E293B"/>
              </w:rPr>
              <w:t>340B programme split-billing documentation improves. The 340B programme requires exact documentation that covered-entity drugs were dispensed to covered patients. Consent-linked patient records provide the audit trail OPA requires — reduc</w:t>
            </w:r>
            <w:r>
              <w:rPr>
                <w:color w:val="1E293B"/>
              </w:rPr>
              <w:t>ing 340B audit findings.</w:t>
            </w:r>
          </w:p>
          <w:p w:rsidR="008D117E" w:rsidRDefault="008D117E">
            <w:pPr>
              <w:spacing w:before="60"/>
            </w:pPr>
          </w:p>
          <w:p w:rsidR="008D117E" w:rsidRDefault="00D30FE3">
            <w:pPr>
              <w:spacing w:after="50"/>
            </w:pPr>
            <w:r>
              <w:rPr>
                <w:b/>
                <w:bCs/>
                <w:color w:val="1D4ED8"/>
              </w:rPr>
              <w:t>Charge Capture and Coding Integrity</w:t>
            </w:r>
          </w:p>
          <w:p w:rsidR="008D117E" w:rsidRDefault="00D30FE3">
            <w:pPr>
              <w:pStyle w:val="ListParagraph"/>
              <w:numPr>
                <w:ilvl w:val="0"/>
                <w:numId w:val="2"/>
              </w:numPr>
              <w:spacing w:before="52" w:after="52"/>
            </w:pPr>
            <w:r>
              <w:rPr>
                <w:color w:val="1E293B"/>
              </w:rPr>
              <w:t>Coding accuracy for referred cases improves: complete clinical context from the referring provider travels instantly to the specialist — supporting more specific ICD-10 coding that captures legi</w:t>
            </w:r>
            <w:r>
              <w:rPr>
                <w:color w:val="1E293B"/>
              </w:rPr>
              <w:t>timate clinical complexity and improves DRG assignment.</w:t>
            </w:r>
          </w:p>
          <w:p w:rsidR="008D117E" w:rsidRDefault="00D30FE3">
            <w:pPr>
              <w:pStyle w:val="ListParagraph"/>
              <w:numPr>
                <w:ilvl w:val="0"/>
                <w:numId w:val="2"/>
              </w:numPr>
              <w:spacing w:before="52" w:after="52"/>
            </w:pPr>
            <w:r>
              <w:rPr>
                <w:color w:val="1E293B"/>
              </w:rPr>
              <w:t>Release of Information department workload drops 40–60% for consented patients — recovering staff time that is redeployed to complex cases, audit response, and revenue integrity work.</w:t>
            </w:r>
          </w:p>
          <w:p w:rsidR="008D117E" w:rsidRDefault="00D30FE3">
            <w:pPr>
              <w:pStyle w:val="ListParagraph"/>
              <w:numPr>
                <w:ilvl w:val="0"/>
                <w:numId w:val="2"/>
              </w:numPr>
              <w:spacing w:before="52" w:after="52"/>
            </w:pPr>
            <w:r>
              <w:rPr>
                <w:color w:val="1E293B"/>
              </w:rPr>
              <w:t>Collections impr</w:t>
            </w:r>
            <w:r>
              <w:rPr>
                <w:color w:val="1E293B"/>
              </w:rPr>
              <w:t>ove measurably: patients who trust their data is protected engage more actively with the billing process and respond to financial communications at 25% higher rates — reducing bad debt and days-in-accounts-receivable.</w:t>
            </w:r>
          </w:p>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C5E"/>
            <w:tcMar>
              <w:top w:w="80" w:type="dxa"/>
              <w:left w:w="180" w:type="dxa"/>
              <w:bottom w:w="60" w:type="dxa"/>
              <w:right w:w="180" w:type="dxa"/>
            </w:tcMar>
          </w:tcPr>
          <w:p w:rsidR="008D117E" w:rsidRDefault="00D30FE3">
            <w:r>
              <w:rPr>
                <w:b/>
                <w:bCs/>
                <w:color w:val="FFFFFF"/>
                <w:sz w:val="20"/>
                <w:szCs w:val="20"/>
              </w:rPr>
              <w:t>ROI SNAPSHOT — Measurable Outcomes Within 12–24 Months of Deployment</w:t>
            </w:r>
          </w:p>
        </w:tc>
      </w:tr>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AFC"/>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17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0F2C5E"/>
                      <w:sz w:val="38"/>
                      <w:szCs w:val="38"/>
                    </w:rPr>
                    <w:t>15–22%</w:t>
                  </w:r>
                </w:p>
                <w:p w:rsidR="008D117E" w:rsidRDefault="00D30FE3">
                  <w:pPr>
                    <w:jc w:val="center"/>
                  </w:pPr>
                  <w:r>
                    <w:rPr>
                      <w:color w:val="475569"/>
                      <w:sz w:val="17"/>
                      <w:szCs w:val="17"/>
                    </w:rPr>
                    <w:t>Documentation Denial Reduction</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0F2C5E"/>
                      <w:sz w:val="38"/>
                      <w:szCs w:val="38"/>
                    </w:rPr>
                    <w:t>65–80%</w:t>
                  </w:r>
                </w:p>
                <w:p w:rsidR="008D117E" w:rsidRDefault="00D30FE3">
                  <w:pPr>
                    <w:jc w:val="center"/>
                  </w:pPr>
                  <w:r>
                    <w:rPr>
                      <w:color w:val="475569"/>
                      <w:sz w:val="17"/>
                      <w:szCs w:val="17"/>
                    </w:rPr>
                    <w:t>Appeal Overturn Rate</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0F2C5E"/>
                      <w:sz w:val="38"/>
                      <w:szCs w:val="38"/>
                    </w:rPr>
                    <w:t>40–60%</w:t>
                  </w:r>
                </w:p>
                <w:p w:rsidR="008D117E" w:rsidRDefault="00D30FE3">
                  <w:pPr>
                    <w:jc w:val="center"/>
                  </w:pPr>
                  <w:r>
                    <w:rPr>
                      <w:color w:val="475569"/>
                      <w:sz w:val="17"/>
                      <w:szCs w:val="17"/>
                    </w:rPr>
                    <w:t>ROI Dept Workload Drop</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0F2C5E"/>
                      <w:sz w:val="38"/>
                      <w:szCs w:val="38"/>
                    </w:rPr>
                    <w:t>25%</w:t>
                  </w:r>
                </w:p>
                <w:p w:rsidR="008D117E" w:rsidRDefault="00D30FE3">
                  <w:pPr>
                    <w:jc w:val="center"/>
                  </w:pPr>
                  <w:r>
                    <w:rPr>
                      <w:color w:val="475569"/>
                      <w:sz w:val="17"/>
                      <w:szCs w:val="17"/>
                    </w:rPr>
                    <w:t>Collections Improvement</w:t>
                  </w:r>
                </w:p>
              </w:tc>
            </w:tr>
          </w:tbl>
          <w:p w:rsidR="008D117E" w:rsidRDefault="008D117E"/>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7640"/>
      </w:tblGrid>
      <w:tr w:rsidR="008D117E">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shd w:val="clear" w:color="auto" w:fill="15803D"/>
            <w:tcMar>
              <w:top w:w="100" w:type="dxa"/>
              <w:left w:w="100" w:type="dxa"/>
              <w:bottom w:w="100" w:type="dxa"/>
              <w:right w:w="100" w:type="dxa"/>
            </w:tcMar>
          </w:tcPr>
          <w:p w:rsidR="008D117E" w:rsidRDefault="00D30FE3">
            <w:pPr>
              <w:jc w:val="center"/>
            </w:pPr>
            <w:r>
              <w:rPr>
                <w:b/>
                <w:bCs/>
                <w:color w:val="FFFFFF"/>
                <w:sz w:val="17"/>
                <w:szCs w:val="17"/>
              </w:rPr>
              <w:t>💰</w:t>
            </w:r>
            <w:r>
              <w:rPr>
                <w:b/>
                <w:bCs/>
                <w:color w:val="FFFFFF"/>
                <w:sz w:val="17"/>
                <w:szCs w:val="17"/>
              </w:rPr>
              <w:t xml:space="preserve"> FINANCIAL OUTCOMES</w:t>
            </w:r>
          </w:p>
        </w:tc>
        <w:tc>
          <w:tcPr>
            <w:tcW w:w="7640" w:type="dxa"/>
            <w:tcBorders>
              <w:top w:val="single" w:sz="1" w:space="0" w:color="CCCCCC"/>
              <w:left w:val="single" w:sz="1" w:space="0" w:color="CCCCCC"/>
              <w:bottom w:val="single" w:sz="1" w:space="0" w:color="CCCCCC"/>
              <w:right w:val="single" w:sz="1" w:space="0" w:color="CCCCCC"/>
            </w:tcBorders>
            <w:shd w:val="clear" w:color="auto" w:fill="DCFCE7"/>
            <w:tcMar>
              <w:top w:w="90" w:type="dxa"/>
              <w:left w:w="140" w:type="dxa"/>
              <w:bottom w:w="90" w:type="dxa"/>
              <w:right w:w="140" w:type="dxa"/>
            </w:tcMar>
          </w:tcPr>
          <w:p w:rsidR="008D117E" w:rsidRDefault="00D30FE3">
            <w:pPr>
              <w:spacing w:after="80"/>
            </w:pPr>
            <w:r>
              <w:rPr>
                <w:b/>
                <w:bCs/>
                <w:color w:val="064E3B"/>
                <w:sz w:val="23"/>
                <w:szCs w:val="23"/>
              </w:rPr>
              <w:t>Financial Outcomes — Three Horizons of Returns</w:t>
            </w:r>
          </w:p>
          <w:p w:rsidR="008D117E" w:rsidRDefault="00D30FE3">
            <w:pPr>
              <w:spacing w:after="50"/>
            </w:pPr>
            <w:r>
              <w:rPr>
                <w:b/>
                <w:bCs/>
                <w:color w:val="15803D"/>
              </w:rPr>
              <w:t>Horizon 1 (0–12 Months): Immediate Liability and Operational Returns</w:t>
            </w:r>
          </w:p>
          <w:p w:rsidR="008D117E" w:rsidRDefault="00D30FE3">
            <w:pPr>
              <w:pStyle w:val="ListParagraph"/>
              <w:numPr>
                <w:ilvl w:val="0"/>
                <w:numId w:val="2"/>
              </w:numPr>
              <w:spacing w:before="52" w:after="52"/>
            </w:pPr>
            <w:r>
              <w:rPr>
                <w:color w:val="1E293B"/>
              </w:rPr>
              <w:t>HIPAA breach liability reduction is the single largest financial lever. The IBM 2024 Cost of Data Breach Report places the average healthcar</w:t>
            </w:r>
            <w:r>
              <w:rPr>
                <w:color w:val="1E293B"/>
              </w:rPr>
              <w:t>e breach at $10.9 million. The consent ledger's immutable audit trail is the primary OCR investigation defence. Expected value of breach prevention at a 5% annual probability: $545,000 per year — exceeding implementation cost.</w:t>
            </w:r>
          </w:p>
          <w:p w:rsidR="008D117E" w:rsidRDefault="00D30FE3">
            <w:pPr>
              <w:pStyle w:val="ListParagraph"/>
              <w:numPr>
                <w:ilvl w:val="0"/>
                <w:numId w:val="2"/>
              </w:numPr>
              <w:spacing w:before="52" w:after="52"/>
            </w:pPr>
            <w:r>
              <w:rPr>
                <w:color w:val="1E293B"/>
              </w:rPr>
              <w:t>Release of Information operat</w:t>
            </w:r>
            <w:r>
              <w:rPr>
                <w:color w:val="1E293B"/>
              </w:rPr>
              <w:t>ional savings: 40–60% workload reduction for a department averaging $450,000–$600,000 in annual operating cost generates $180,000–$360,000 in Year 1 recoverable savings.</w:t>
            </w:r>
          </w:p>
          <w:p w:rsidR="008D117E" w:rsidRDefault="00D30FE3">
            <w:pPr>
              <w:pStyle w:val="ListParagraph"/>
              <w:numPr>
                <w:ilvl w:val="0"/>
                <w:numId w:val="2"/>
              </w:numPr>
              <w:spacing w:before="52" w:after="52"/>
            </w:pPr>
            <w:r>
              <w:rPr>
                <w:color w:val="1E293B"/>
              </w:rPr>
              <w:t>PA cycle improvement: 15–22% reduction in documentation-related denials for a health s</w:t>
            </w:r>
            <w:r>
              <w:rPr>
                <w:color w:val="1E293B"/>
              </w:rPr>
              <w:t>ystem processing 5,000 PAs per month at $25–$50 per denial appeal generates $225,000–$450,000 annually.</w:t>
            </w:r>
          </w:p>
          <w:p w:rsidR="008D117E" w:rsidRDefault="008D117E">
            <w:pPr>
              <w:spacing w:before="60"/>
            </w:pPr>
          </w:p>
          <w:p w:rsidR="008D117E" w:rsidRDefault="00D30FE3">
            <w:pPr>
              <w:spacing w:after="50"/>
            </w:pPr>
            <w:r>
              <w:rPr>
                <w:b/>
                <w:bCs/>
                <w:color w:val="15803D"/>
              </w:rPr>
              <w:t>Horizon 2 (12–36 Months): Quality and Research Revenue</w:t>
            </w:r>
          </w:p>
          <w:p w:rsidR="008D117E" w:rsidRDefault="00D30FE3">
            <w:pPr>
              <w:pStyle w:val="ListParagraph"/>
              <w:numPr>
                <w:ilvl w:val="0"/>
                <w:numId w:val="2"/>
              </w:numPr>
              <w:spacing w:before="52" w:after="52"/>
            </w:pPr>
            <w:r>
              <w:rPr>
                <w:color w:val="1E293B"/>
              </w:rPr>
              <w:t>MIPS Promoting Interoperability bonus improvement: patient portal engagement and care record exc</w:t>
            </w:r>
            <w:r>
              <w:rPr>
                <w:color w:val="1E293B"/>
              </w:rPr>
              <w:t>hange rates improve when patients can actively manage their data sharing. Each additional 5-point MIPS score improvement generates $3,000–$15,000 per physician in payment adjustment — times a 50-physician practice = $150,000–$750,000 annually.</w:t>
            </w:r>
          </w:p>
          <w:p w:rsidR="008D117E" w:rsidRDefault="00D30FE3">
            <w:pPr>
              <w:pStyle w:val="ListParagraph"/>
              <w:numPr>
                <w:ilvl w:val="0"/>
                <w:numId w:val="2"/>
              </w:numPr>
              <w:spacing w:before="52" w:after="52"/>
            </w:pPr>
            <w:r>
              <w:rPr>
                <w:color w:val="1E293B"/>
              </w:rPr>
              <w:t>HEDIS measur</w:t>
            </w:r>
            <w:r>
              <w:rPr>
                <w:color w:val="1E293B"/>
              </w:rPr>
              <w:t>e improvement: patients who control their data share it more accurately, enabling better care gap closure and higher preventive care rates. HEDIS measure improvement of 2–3 points across a Medicare Advantage portfolio generates $500K–$3M in quality bonuses</w:t>
            </w:r>
            <w:r>
              <w:rPr>
                <w:color w:val="1E293B"/>
              </w:rPr>
              <w:t>.</w:t>
            </w:r>
          </w:p>
          <w:p w:rsidR="008D117E" w:rsidRDefault="00D30FE3">
            <w:pPr>
              <w:pStyle w:val="ListParagraph"/>
              <w:numPr>
                <w:ilvl w:val="0"/>
                <w:numId w:val="2"/>
              </w:numPr>
              <w:spacing w:before="52" w:after="52"/>
            </w:pPr>
            <w:r>
              <w:rPr>
                <w:color w:val="1E293B"/>
              </w:rPr>
              <w:t>Bad debt reduction: engaged patients pay faster and set up payment plans at 25% higher rates — reducing bad debt provision for a $300M revenue system by $1.5M–$6M.</w:t>
            </w:r>
          </w:p>
          <w:p w:rsidR="008D117E" w:rsidRDefault="008D117E">
            <w:pPr>
              <w:spacing w:before="60"/>
            </w:pPr>
          </w:p>
          <w:p w:rsidR="008D117E" w:rsidRDefault="00D30FE3">
            <w:pPr>
              <w:spacing w:after="50"/>
            </w:pPr>
            <w:r>
              <w:rPr>
                <w:b/>
                <w:bCs/>
                <w:color w:val="15803D"/>
              </w:rPr>
              <w:t>Horizon 3 (36+ Months): Strategic Revenue Streams</w:t>
            </w:r>
          </w:p>
          <w:p w:rsidR="008D117E" w:rsidRDefault="00D30FE3">
            <w:pPr>
              <w:pStyle w:val="ListParagraph"/>
              <w:numPr>
                <w:ilvl w:val="0"/>
                <w:numId w:val="2"/>
              </w:numPr>
              <w:spacing w:before="52" w:after="52"/>
            </w:pPr>
            <w:r>
              <w:rPr>
                <w:color w:val="1E293B"/>
              </w:rPr>
              <w:t>Research partnership revenue: $500K–$5M</w:t>
            </w:r>
            <w:r>
              <w:rPr>
                <w:color w:val="1E293B"/>
              </w:rPr>
              <w:t xml:space="preserve"> per consented patient cohort for pharmaceutical observational research. This revenue is structurally inaccessible without the consent infrastructure that satisfies IRB and FDA requirements.</w:t>
            </w:r>
          </w:p>
          <w:p w:rsidR="008D117E" w:rsidRDefault="00D30FE3">
            <w:pPr>
              <w:pStyle w:val="ListParagraph"/>
              <w:numPr>
                <w:ilvl w:val="0"/>
                <w:numId w:val="2"/>
              </w:numPr>
              <w:spacing w:before="52" w:after="52"/>
            </w:pPr>
            <w:r>
              <w:rPr>
                <w:color w:val="1E293B"/>
              </w:rPr>
              <w:t>Employer group and ACO contract leverage: payers and employers va</w:t>
            </w:r>
            <w:r>
              <w:rPr>
                <w:color w:val="1E293B"/>
              </w:rPr>
              <w:t>lue health systems that can demonstrate patient data governance maturity. FHIR consent infrastructure supports premium contract terms in value-based arrangements.</w:t>
            </w:r>
          </w:p>
          <w:p w:rsidR="008D117E" w:rsidRDefault="00D30FE3">
            <w:pPr>
              <w:pStyle w:val="ListParagraph"/>
              <w:numPr>
                <w:ilvl w:val="0"/>
                <w:numId w:val="2"/>
              </w:numPr>
              <w:spacing w:before="52" w:after="52"/>
            </w:pPr>
            <w:r>
              <w:rPr>
                <w:color w:val="1E293B"/>
              </w:rPr>
              <w:t>Regulatory goodwill: organisations that demonstrate proactive ONC and CMS interoperability co</w:t>
            </w:r>
            <w:r>
              <w:rPr>
                <w:color w:val="1E293B"/>
              </w:rPr>
              <w:t>mpliance avoid the enforcement actions and remediation costs that reactive organisations face.</w:t>
            </w:r>
          </w:p>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5803D"/>
            <w:tcMar>
              <w:top w:w="80" w:type="dxa"/>
              <w:left w:w="180" w:type="dxa"/>
              <w:bottom w:w="60" w:type="dxa"/>
              <w:right w:w="180" w:type="dxa"/>
            </w:tcMar>
          </w:tcPr>
          <w:p w:rsidR="008D117E" w:rsidRDefault="00D30FE3">
            <w:r>
              <w:rPr>
                <w:b/>
                <w:bCs/>
                <w:color w:val="FFFFFF"/>
                <w:sz w:val="20"/>
                <w:szCs w:val="20"/>
              </w:rPr>
              <w:t>ROI SNAPSHOT — Measurable Outcomes Within 12–24 Months of Deployment</w:t>
            </w:r>
          </w:p>
        </w:tc>
      </w:tr>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AFC"/>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17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15803D"/>
                      <w:sz w:val="38"/>
                      <w:szCs w:val="38"/>
                    </w:rPr>
                    <w:t>$10.9M</w:t>
                  </w:r>
                </w:p>
                <w:p w:rsidR="008D117E" w:rsidRDefault="00D30FE3">
                  <w:pPr>
                    <w:jc w:val="center"/>
                  </w:pPr>
                  <w:r>
                    <w:rPr>
                      <w:color w:val="475569"/>
                      <w:sz w:val="17"/>
                      <w:szCs w:val="17"/>
                    </w:rPr>
                    <w:t>Average Breach Cost Avoided</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15803D"/>
                      <w:sz w:val="38"/>
                      <w:szCs w:val="38"/>
                    </w:rPr>
                    <w:t>$180–$360K</w:t>
                  </w:r>
                </w:p>
                <w:p w:rsidR="008D117E" w:rsidRDefault="00D30FE3">
                  <w:pPr>
                    <w:jc w:val="center"/>
                  </w:pPr>
                  <w:r>
                    <w:rPr>
                      <w:color w:val="475569"/>
                      <w:sz w:val="17"/>
                      <w:szCs w:val="17"/>
                    </w:rPr>
                    <w:t>Annual ROI Dept Savings</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15803D"/>
                      <w:sz w:val="38"/>
                      <w:szCs w:val="38"/>
                    </w:rPr>
                    <w:t>$500K–$5M</w:t>
                  </w:r>
                </w:p>
                <w:p w:rsidR="008D117E" w:rsidRDefault="00D30FE3">
                  <w:pPr>
                    <w:jc w:val="center"/>
                  </w:pPr>
                  <w:r>
                    <w:rPr>
                      <w:color w:val="475569"/>
                      <w:sz w:val="17"/>
                      <w:szCs w:val="17"/>
                    </w:rPr>
                    <w:t>Research Revenue Per Cohort</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15803D"/>
                      <w:sz w:val="38"/>
                      <w:szCs w:val="38"/>
                    </w:rPr>
                    <w:t>2–6mo</w:t>
                  </w:r>
                </w:p>
                <w:p w:rsidR="008D117E" w:rsidRDefault="00D30FE3">
                  <w:pPr>
                    <w:jc w:val="center"/>
                  </w:pPr>
                  <w:r>
                    <w:rPr>
                      <w:color w:val="475569"/>
                      <w:sz w:val="17"/>
                      <w:szCs w:val="17"/>
                    </w:rPr>
                    <w:t>Break-Even Period</w:t>
                  </w:r>
                </w:p>
              </w:tc>
            </w:tr>
          </w:tbl>
          <w:p w:rsidR="008D117E" w:rsidRDefault="008D117E"/>
        </w:tc>
      </w:tr>
    </w:tbl>
    <w:p w:rsidR="008D117E" w:rsidRDefault="00D30FE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7640"/>
      </w:tblGrid>
      <w:tr w:rsidR="008D117E">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shd w:val="clear" w:color="auto" w:fill="0F766E"/>
            <w:tcMar>
              <w:top w:w="100" w:type="dxa"/>
              <w:left w:w="100" w:type="dxa"/>
              <w:bottom w:w="100" w:type="dxa"/>
              <w:right w:w="100" w:type="dxa"/>
            </w:tcMar>
          </w:tcPr>
          <w:p w:rsidR="008D117E" w:rsidRDefault="00D30FE3">
            <w:pPr>
              <w:jc w:val="center"/>
            </w:pPr>
            <w:r>
              <w:rPr>
                <w:b/>
                <w:bCs/>
                <w:color w:val="FFFFFF"/>
                <w:sz w:val="17"/>
                <w:szCs w:val="17"/>
              </w:rPr>
              <w:lastRenderedPageBreak/>
              <w:t>⚙</w:t>
            </w:r>
            <w:r>
              <w:rPr>
                <w:b/>
                <w:bCs/>
                <w:color w:val="FFFFFF"/>
                <w:sz w:val="17"/>
                <w:szCs w:val="17"/>
              </w:rPr>
              <w:t>️</w:t>
            </w:r>
            <w:r>
              <w:rPr>
                <w:b/>
                <w:bCs/>
                <w:color w:val="FFFFFF"/>
                <w:sz w:val="17"/>
                <w:szCs w:val="17"/>
              </w:rPr>
              <w:t xml:space="preserve"> OPERATIONAL SHIFT</w:t>
            </w:r>
          </w:p>
        </w:tc>
        <w:tc>
          <w:tcPr>
            <w:tcW w:w="7640" w:type="dxa"/>
            <w:tcBorders>
              <w:top w:val="single" w:sz="1" w:space="0" w:color="CCCCCC"/>
              <w:left w:val="single" w:sz="1" w:space="0" w:color="CCCCCC"/>
              <w:bottom w:val="single" w:sz="1" w:space="0" w:color="CCCCCC"/>
              <w:right w:val="single" w:sz="1" w:space="0" w:color="CCCCCC"/>
            </w:tcBorders>
            <w:shd w:val="clear" w:color="auto" w:fill="CCFBF1"/>
            <w:tcMar>
              <w:top w:w="90" w:type="dxa"/>
              <w:left w:w="140" w:type="dxa"/>
              <w:bottom w:w="90" w:type="dxa"/>
              <w:right w:w="140" w:type="dxa"/>
            </w:tcMar>
          </w:tcPr>
          <w:p w:rsidR="008D117E" w:rsidRDefault="00D30FE3">
            <w:pPr>
              <w:spacing w:after="80"/>
            </w:pPr>
            <w:r>
              <w:rPr>
                <w:b/>
                <w:bCs/>
                <w:color w:val="0F766E"/>
                <w:sz w:val="23"/>
                <w:szCs w:val="23"/>
              </w:rPr>
              <w:t>Operational Shift — How Clinical and Administrative Operations Transform</w:t>
            </w:r>
          </w:p>
          <w:p w:rsidR="008D117E" w:rsidRDefault="00D30FE3">
            <w:pPr>
              <w:spacing w:after="50"/>
            </w:pPr>
            <w:r>
              <w:rPr>
                <w:b/>
                <w:bCs/>
                <w:color w:val="0F766E"/>
              </w:rPr>
              <w:t>Registration and Front-Desk Workflow</w:t>
            </w:r>
          </w:p>
          <w:p w:rsidR="008D117E" w:rsidRDefault="00D30FE3">
            <w:pPr>
              <w:pStyle w:val="ListParagraph"/>
              <w:numPr>
                <w:ilvl w:val="0"/>
                <w:numId w:val="2"/>
              </w:numPr>
              <w:spacing w:before="52" w:after="52"/>
            </w:pPr>
            <w:r>
              <w:rPr>
                <w:color w:val="1E293B"/>
              </w:rPr>
              <w:t>Consent status is verified at scheduling rather than at check-in, eliminating the paper consent-form clipboard process that delays registration. For health systems processing 500+ daily registrations, eliminating 3–5 minutes of consent-related administrati</w:t>
            </w:r>
            <w:r>
              <w:rPr>
                <w:color w:val="1E293B"/>
              </w:rPr>
              <w:t>ve time per registration saves 25–40 staff-hours daily.</w:t>
            </w:r>
          </w:p>
          <w:p w:rsidR="008D117E" w:rsidRDefault="00D30FE3">
            <w:pPr>
              <w:pStyle w:val="ListParagraph"/>
              <w:numPr>
                <w:ilvl w:val="0"/>
                <w:numId w:val="2"/>
              </w:numPr>
              <w:spacing w:before="52" w:after="52"/>
            </w:pPr>
            <w:r>
              <w:rPr>
                <w:color w:val="1E293B"/>
              </w:rPr>
              <w:t>Insurance verification and records request workflows merge: when the patient has pre-consented to insurance access, the eligibility check includes clinical context that reduces authorisation uncertain</w:t>
            </w:r>
            <w:r>
              <w:rPr>
                <w:color w:val="1E293B"/>
              </w:rPr>
              <w:t>ty for elective procedures scheduled weeks in advance.</w:t>
            </w:r>
          </w:p>
          <w:p w:rsidR="008D117E" w:rsidRDefault="008D117E">
            <w:pPr>
              <w:spacing w:before="60"/>
            </w:pPr>
          </w:p>
          <w:p w:rsidR="008D117E" w:rsidRDefault="00D30FE3">
            <w:pPr>
              <w:spacing w:after="50"/>
            </w:pPr>
            <w:r>
              <w:rPr>
                <w:b/>
                <w:bCs/>
                <w:color w:val="0F766E"/>
              </w:rPr>
              <w:t>Clinical Coordination and Referral Workflow</w:t>
            </w:r>
          </w:p>
          <w:p w:rsidR="008D117E" w:rsidRDefault="00D30FE3">
            <w:pPr>
              <w:pStyle w:val="ListParagraph"/>
              <w:numPr>
                <w:ilvl w:val="0"/>
                <w:numId w:val="2"/>
              </w:numPr>
              <w:spacing w:before="52" w:after="52"/>
            </w:pPr>
            <w:r>
              <w:rPr>
                <w:color w:val="1E293B"/>
              </w:rPr>
              <w:t>Cross-organisation referrals complete in hours rather than days. The average complex referral currently involves 40 minutes of staff time coordinating recor</w:t>
            </w:r>
            <w:r>
              <w:rPr>
                <w:color w:val="1E293B"/>
              </w:rPr>
              <w:t>ds. For a health system processing 200 referrals daily, digitally-consented same-day record transfer recovers 133 staff-hours daily — equivalent to 16+ FTE-days of productive work.</w:t>
            </w:r>
          </w:p>
          <w:p w:rsidR="008D117E" w:rsidRDefault="00D30FE3">
            <w:pPr>
              <w:pStyle w:val="ListParagraph"/>
              <w:numPr>
                <w:ilvl w:val="0"/>
                <w:numId w:val="2"/>
              </w:numPr>
              <w:spacing w:before="52" w:after="52"/>
            </w:pPr>
            <w:r>
              <w:rPr>
                <w:color w:val="1E293B"/>
              </w:rPr>
              <w:t>Second-opinion processes — currently among the most friction-intensive clin</w:t>
            </w:r>
            <w:r>
              <w:rPr>
                <w:color w:val="1E293B"/>
              </w:rPr>
              <w:t>ical workflows — become seamless. A patient with a cancer diagnosis who wants a second opinion at a different health system can grant access in 30 seconds; the receiving institution has the complete record before the appointment is even confirmed.</w:t>
            </w:r>
          </w:p>
          <w:p w:rsidR="008D117E" w:rsidRDefault="00D30FE3">
            <w:pPr>
              <w:pStyle w:val="ListParagraph"/>
              <w:numPr>
                <w:ilvl w:val="0"/>
                <w:numId w:val="2"/>
              </w:numPr>
              <w:spacing w:before="52" w:after="52"/>
            </w:pPr>
            <w:r>
              <w:rPr>
                <w:color w:val="1E293B"/>
              </w:rPr>
              <w:t>Multi-di</w:t>
            </w:r>
            <w:r>
              <w:rPr>
                <w:color w:val="1E293B"/>
              </w:rPr>
              <w:t>sciplinary care team communication improves: the consent ledger enables structured, patient-approved information sharing across specialists — replacing the phone tag and fax workflows that currently delay complex care coordination.</w:t>
            </w:r>
          </w:p>
          <w:p w:rsidR="008D117E" w:rsidRDefault="008D117E">
            <w:pPr>
              <w:spacing w:before="60"/>
            </w:pPr>
          </w:p>
          <w:p w:rsidR="008D117E" w:rsidRDefault="00D30FE3">
            <w:pPr>
              <w:spacing w:after="50"/>
            </w:pPr>
            <w:r>
              <w:rPr>
                <w:b/>
                <w:bCs/>
                <w:color w:val="0F766E"/>
              </w:rPr>
              <w:t>Compliance and Audit Op</w:t>
            </w:r>
            <w:r>
              <w:rPr>
                <w:b/>
                <w:bCs/>
                <w:color w:val="0F766E"/>
              </w:rPr>
              <w:t>erations</w:t>
            </w:r>
          </w:p>
          <w:p w:rsidR="008D117E" w:rsidRDefault="00D30FE3">
            <w:pPr>
              <w:pStyle w:val="ListParagraph"/>
              <w:numPr>
                <w:ilvl w:val="0"/>
                <w:numId w:val="2"/>
              </w:numPr>
              <w:spacing w:before="52" w:after="52"/>
            </w:pPr>
            <w:r>
              <w:rPr>
                <w:color w:val="1E293B"/>
              </w:rPr>
              <w:t>OCR audit response time drops from weeks to hours. Currently, a HIPAA audit requires staff to reconstruct data access histories from multiple systems. The consent ledger provides a complete, real-time, queryable access log that satisfies OCR requi</w:t>
            </w:r>
            <w:r>
              <w:rPr>
                <w:color w:val="1E293B"/>
              </w:rPr>
              <w:t>rements with a report generated in minutes.</w:t>
            </w:r>
          </w:p>
          <w:p w:rsidR="008D117E" w:rsidRDefault="00D30FE3">
            <w:pPr>
              <w:pStyle w:val="ListParagraph"/>
              <w:numPr>
                <w:ilvl w:val="0"/>
                <w:numId w:val="2"/>
              </w:numPr>
              <w:spacing w:before="52" w:after="52"/>
            </w:pPr>
            <w:r>
              <w:rPr>
                <w:color w:val="1E293B"/>
              </w:rPr>
              <w:t xml:space="preserve">Joint Commission and CMS survey preparation improves: patient data access documentation and consent management are increasingly surveyed areas. Consent ledger infrastructure provides the documented evidence that </w:t>
            </w:r>
            <w:r>
              <w:rPr>
                <w:color w:val="1E293B"/>
              </w:rPr>
              <w:t>surveyors require.</w:t>
            </w:r>
          </w:p>
          <w:p w:rsidR="008D117E" w:rsidRDefault="00D30FE3">
            <w:pPr>
              <w:pStyle w:val="ListParagraph"/>
              <w:numPr>
                <w:ilvl w:val="0"/>
                <w:numId w:val="2"/>
              </w:numPr>
              <w:spacing w:before="52" w:after="52"/>
            </w:pPr>
            <w:r>
              <w:rPr>
                <w:color w:val="1E293B"/>
              </w:rPr>
              <w:t>IT security incident response improves: when a potential breach is identified, the consent ledger shows exactly which data was accessed by whom and when — reducing the investigation time and the notification window that drives breach cos</w:t>
            </w:r>
            <w:r>
              <w:rPr>
                <w:color w:val="1E293B"/>
              </w:rPr>
              <w:t>t.</w:t>
            </w:r>
          </w:p>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766E"/>
            <w:tcMar>
              <w:top w:w="80" w:type="dxa"/>
              <w:left w:w="180" w:type="dxa"/>
              <w:bottom w:w="60" w:type="dxa"/>
              <w:right w:w="180" w:type="dxa"/>
            </w:tcMar>
          </w:tcPr>
          <w:p w:rsidR="008D117E" w:rsidRDefault="00D30FE3">
            <w:r>
              <w:rPr>
                <w:b/>
                <w:bCs/>
                <w:color w:val="FFFFFF"/>
                <w:sz w:val="20"/>
                <w:szCs w:val="20"/>
              </w:rPr>
              <w:t>ROI SNAPSHOT — Measurable Outcomes Within 12–24 Months of Deployment</w:t>
            </w:r>
          </w:p>
        </w:tc>
      </w:tr>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AFC"/>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17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0F766E"/>
                      <w:sz w:val="38"/>
                      <w:szCs w:val="38"/>
                    </w:rPr>
                    <w:t>133 hrs</w:t>
                  </w:r>
                </w:p>
                <w:p w:rsidR="008D117E" w:rsidRDefault="00D30FE3">
                  <w:pPr>
                    <w:jc w:val="center"/>
                  </w:pPr>
                  <w:r>
                    <w:rPr>
                      <w:color w:val="475569"/>
                      <w:sz w:val="17"/>
                      <w:szCs w:val="17"/>
                    </w:rPr>
                    <w:t>Daily Staff Time Recovered (200 referrals/day)</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0F766E"/>
                      <w:sz w:val="38"/>
                      <w:szCs w:val="38"/>
                    </w:rPr>
                    <w:t>Same-day</w:t>
                  </w:r>
                </w:p>
                <w:p w:rsidR="008D117E" w:rsidRDefault="00D30FE3">
                  <w:pPr>
                    <w:jc w:val="center"/>
                  </w:pPr>
                  <w:r>
                    <w:rPr>
                      <w:color w:val="475569"/>
                      <w:sz w:val="17"/>
                      <w:szCs w:val="17"/>
                    </w:rPr>
                    <w:t>Record Transfer for Consented Patients</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0F766E"/>
                      <w:sz w:val="38"/>
                      <w:szCs w:val="38"/>
                    </w:rPr>
                    <w:t>Hours</w:t>
                  </w:r>
                </w:p>
                <w:p w:rsidR="008D117E" w:rsidRDefault="00D30FE3">
                  <w:pPr>
                    <w:jc w:val="center"/>
                  </w:pPr>
                  <w:r>
                    <w:rPr>
                      <w:color w:val="475569"/>
                      <w:sz w:val="17"/>
                      <w:szCs w:val="17"/>
                    </w:rPr>
                    <w:t>OCR Audit Response vs. Weeks Previously</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0F766E"/>
                      <w:sz w:val="38"/>
                      <w:szCs w:val="38"/>
                    </w:rPr>
                    <w:t>3–5 min</w:t>
                  </w:r>
                </w:p>
                <w:p w:rsidR="008D117E" w:rsidRDefault="00D30FE3">
                  <w:pPr>
                    <w:jc w:val="center"/>
                  </w:pPr>
                  <w:r>
                    <w:rPr>
                      <w:color w:val="475569"/>
                      <w:sz w:val="17"/>
                      <w:szCs w:val="17"/>
                    </w:rPr>
                    <w:t>Saved Per Registration × 500 Daily</w:t>
                  </w:r>
                </w:p>
              </w:tc>
            </w:tr>
          </w:tbl>
          <w:p w:rsidR="008D117E" w:rsidRDefault="008D117E"/>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7640"/>
      </w:tblGrid>
      <w:tr w:rsidR="008D117E">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shd w:val="clear" w:color="auto" w:fill="4C1D95"/>
            <w:tcMar>
              <w:top w:w="100" w:type="dxa"/>
              <w:left w:w="100" w:type="dxa"/>
              <w:bottom w:w="100" w:type="dxa"/>
              <w:right w:w="100" w:type="dxa"/>
            </w:tcMar>
          </w:tcPr>
          <w:p w:rsidR="008D117E" w:rsidRDefault="00D30FE3">
            <w:pPr>
              <w:jc w:val="center"/>
            </w:pPr>
            <w:r>
              <w:rPr>
                <w:b/>
                <w:bCs/>
                <w:color w:val="FFFFFF"/>
                <w:sz w:val="17"/>
                <w:szCs w:val="17"/>
              </w:rPr>
              <w:lastRenderedPageBreak/>
              <w:t>👤</w:t>
            </w:r>
            <w:r>
              <w:rPr>
                <w:b/>
                <w:bCs/>
                <w:color w:val="FFFFFF"/>
                <w:sz w:val="17"/>
                <w:szCs w:val="17"/>
              </w:rPr>
              <w:t xml:space="preserve"> PATIENT EXPERIENCE</w:t>
            </w:r>
          </w:p>
        </w:tc>
        <w:tc>
          <w:tcPr>
            <w:tcW w:w="764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40" w:type="dxa"/>
              <w:bottom w:w="90" w:type="dxa"/>
              <w:right w:w="140" w:type="dxa"/>
            </w:tcMar>
          </w:tcPr>
          <w:p w:rsidR="008D117E" w:rsidRDefault="00D30FE3">
            <w:pPr>
              <w:spacing w:after="80"/>
            </w:pPr>
            <w:r>
              <w:rPr>
                <w:b/>
                <w:bCs/>
                <w:color w:val="4C1D95"/>
                <w:sz w:val="23"/>
                <w:szCs w:val="23"/>
              </w:rPr>
              <w:t>Patient Experience — When Patients Control Their Own Story</w:t>
            </w:r>
          </w:p>
          <w:p w:rsidR="008D117E" w:rsidRDefault="00D30FE3">
            <w:pPr>
              <w:spacing w:after="50"/>
            </w:pPr>
            <w:r>
              <w:rPr>
                <w:b/>
                <w:bCs/>
                <w:color w:val="4C1D95"/>
              </w:rPr>
              <w:t>Trust as a Clinical Outcome</w:t>
            </w:r>
          </w:p>
          <w:p w:rsidR="008D117E" w:rsidRDefault="00D30FE3">
            <w:pPr>
              <w:pStyle w:val="ListParagraph"/>
              <w:numPr>
                <w:ilvl w:val="0"/>
                <w:numId w:val="2"/>
              </w:numPr>
              <w:spacing w:before="52" w:after="52"/>
            </w:pPr>
            <w:r>
              <w:rPr>
                <w:color w:val="1E293B"/>
              </w:rPr>
              <w:t>Patient trust in healthcare data management is among the most documented drivers of engagement and adherence. A 2023 JAMA study found that patients who believe their health data is being shared without their knowledge are 35% more likely to withhold clinic</w:t>
            </w:r>
            <w:r>
              <w:rPr>
                <w:color w:val="1E293B"/>
              </w:rPr>
              <w:t>ally relevant information from providers — directly harming diagnostic accuracy. The consent ledger addresses this at the structural level.</w:t>
            </w:r>
          </w:p>
          <w:p w:rsidR="008D117E" w:rsidRDefault="00D30FE3">
            <w:pPr>
              <w:pStyle w:val="ListParagraph"/>
              <w:numPr>
                <w:ilvl w:val="0"/>
                <w:numId w:val="2"/>
              </w:numPr>
              <w:spacing w:before="52" w:after="52"/>
            </w:pPr>
            <w:r>
              <w:rPr>
                <w:color w:val="1E293B"/>
              </w:rPr>
              <w:t>HCAHPS Communication domain scores improve when patients experience being genuinely informed and in control of their</w:t>
            </w:r>
            <w:r>
              <w:rPr>
                <w:color w:val="1E293B"/>
              </w:rPr>
              <w:t xml:space="preserve"> clinical information. Organisations deploying patient-controlled data access report 8–12 point HCAHPS improvement in the 'information provided' domain — directly affecting value-based purchasing payments.</w:t>
            </w:r>
          </w:p>
          <w:p w:rsidR="008D117E" w:rsidRDefault="00D30FE3">
            <w:pPr>
              <w:pStyle w:val="ListParagraph"/>
              <w:numPr>
                <w:ilvl w:val="0"/>
                <w:numId w:val="2"/>
              </w:numPr>
              <w:spacing w:before="52" w:after="52"/>
            </w:pPr>
            <w:r>
              <w:rPr>
                <w:color w:val="1E293B"/>
              </w:rPr>
              <w:t>Financial transparency improves: patients who unde</w:t>
            </w:r>
            <w:r>
              <w:rPr>
                <w:color w:val="1E293B"/>
              </w:rPr>
              <w:t>rstand that their data sharing is controlled and logged are more engaged with the financial aspects of their care — responding to billing communications at higher rates and completing financial assistance applications more consistently.</w:t>
            </w:r>
          </w:p>
          <w:p w:rsidR="008D117E" w:rsidRDefault="008D117E">
            <w:pPr>
              <w:spacing w:before="60"/>
            </w:pPr>
          </w:p>
          <w:p w:rsidR="008D117E" w:rsidRDefault="00D30FE3">
            <w:pPr>
              <w:spacing w:after="50"/>
            </w:pPr>
            <w:r>
              <w:rPr>
                <w:b/>
                <w:bCs/>
                <w:color w:val="4C1D95"/>
              </w:rPr>
              <w:t>Second Opinions, R</w:t>
            </w:r>
            <w:r>
              <w:rPr>
                <w:b/>
                <w:bCs/>
                <w:color w:val="4C1D95"/>
              </w:rPr>
              <w:t>esearch, and Care Navigation</w:t>
            </w:r>
          </w:p>
          <w:p w:rsidR="008D117E" w:rsidRDefault="00D30FE3">
            <w:pPr>
              <w:pStyle w:val="ListParagraph"/>
              <w:numPr>
                <w:ilvl w:val="0"/>
                <w:numId w:val="2"/>
              </w:numPr>
              <w:spacing w:before="52" w:after="52"/>
            </w:pPr>
            <w:r>
              <w:rPr>
                <w:color w:val="1E293B"/>
              </w:rPr>
              <w:t xml:space="preserve">Second opinions — a fundamental patient right that currently requires weeks of records coordination — become friction-free. The example in the master table (cancer patient granting second-opinion access in real time) is not an </w:t>
            </w:r>
            <w:r>
              <w:rPr>
                <w:color w:val="1E293B"/>
              </w:rPr>
              <w:t>edge case: 70% of seriously ill patients consider a second opinion, and 30% do not pursue it due to records friction. The consent ledger removes that barrier.</w:t>
            </w:r>
          </w:p>
          <w:p w:rsidR="008D117E" w:rsidRDefault="00D30FE3">
            <w:pPr>
              <w:pStyle w:val="ListParagraph"/>
              <w:numPr>
                <w:ilvl w:val="0"/>
                <w:numId w:val="2"/>
              </w:numPr>
              <w:spacing w:before="52" w:after="52"/>
            </w:pPr>
            <w:r>
              <w:rPr>
                <w:color w:val="1E293B"/>
              </w:rPr>
              <w:t>Research participation increases: patients who can grant and revoke research data access on their</w:t>
            </w:r>
            <w:r>
              <w:rPr>
                <w:color w:val="1E293B"/>
              </w:rPr>
              <w:t xml:space="preserve"> own terms are 3× more likely to consent to participate than those presented with all-or-nothing consent — improving clinical trial recruitment and the quality of research evidence.</w:t>
            </w:r>
          </w:p>
          <w:p w:rsidR="008D117E" w:rsidRDefault="00D30FE3">
            <w:pPr>
              <w:pStyle w:val="ListParagraph"/>
              <w:numPr>
                <w:ilvl w:val="0"/>
                <w:numId w:val="2"/>
              </w:numPr>
              <w:spacing w:before="52" w:after="52"/>
            </w:pPr>
            <w:r>
              <w:rPr>
                <w:color w:val="1E293B"/>
              </w:rPr>
              <w:t xml:space="preserve">Health literacy and self-management improve when patients engage with the </w:t>
            </w:r>
            <w:r>
              <w:rPr>
                <w:color w:val="1E293B"/>
              </w:rPr>
              <w:t>consent interface — reviewing who has accessed their data, for what purpose, and when. This engagement with their own health record is a documented predictor of better self-management for chronic conditions.</w:t>
            </w:r>
          </w:p>
          <w:p w:rsidR="008D117E" w:rsidRDefault="008D117E">
            <w:pPr>
              <w:spacing w:before="60"/>
            </w:pPr>
          </w:p>
          <w:p w:rsidR="008D117E" w:rsidRDefault="00D30FE3">
            <w:pPr>
              <w:spacing w:after="50"/>
            </w:pPr>
            <w:r>
              <w:rPr>
                <w:b/>
                <w:bCs/>
                <w:color w:val="4C1D95"/>
              </w:rPr>
              <w:t>Equity and Access</w:t>
            </w:r>
          </w:p>
          <w:p w:rsidR="008D117E" w:rsidRDefault="00D30FE3">
            <w:pPr>
              <w:pStyle w:val="ListParagraph"/>
              <w:numPr>
                <w:ilvl w:val="0"/>
                <w:numId w:val="2"/>
              </w:numPr>
              <w:spacing w:before="52" w:after="52"/>
            </w:pPr>
            <w:r>
              <w:rPr>
                <w:color w:val="1E293B"/>
              </w:rPr>
              <w:t>Low-income patients and patie</w:t>
            </w:r>
            <w:r>
              <w:rPr>
                <w:color w:val="1E293B"/>
              </w:rPr>
              <w:t xml:space="preserve">nts with limited English proficiency are disproportionately harmed by opaque data systems — they are least able to navigate the records request process and least likely to know their rights. The consent ledger's plain-language, mobile-accessible interface </w:t>
            </w:r>
            <w:r>
              <w:rPr>
                <w:color w:val="1E293B"/>
              </w:rPr>
              <w:t>democratises data access rights regardless of health literacy or resources.</w:t>
            </w:r>
          </w:p>
          <w:p w:rsidR="008D117E" w:rsidRDefault="00D30FE3">
            <w:pPr>
              <w:pStyle w:val="ListParagraph"/>
              <w:numPr>
                <w:ilvl w:val="0"/>
                <w:numId w:val="2"/>
              </w:numPr>
              <w:spacing w:before="52" w:after="52"/>
            </w:pPr>
            <w:r>
              <w:rPr>
                <w:color w:val="1E293B"/>
              </w:rPr>
              <w:t>Patients in rural areas who use telehealth for specialist care gain the same instant record-sharing capability as urban patients with in-person specialist access — reducing the geo</w:t>
            </w:r>
            <w:r>
              <w:rPr>
                <w:color w:val="1E293B"/>
              </w:rPr>
              <w:t>graphic barriers to care coordination.</w:t>
            </w:r>
          </w:p>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C1D95"/>
            <w:tcMar>
              <w:top w:w="80" w:type="dxa"/>
              <w:left w:w="180" w:type="dxa"/>
              <w:bottom w:w="60" w:type="dxa"/>
              <w:right w:w="180" w:type="dxa"/>
            </w:tcMar>
          </w:tcPr>
          <w:p w:rsidR="008D117E" w:rsidRDefault="00D30FE3">
            <w:r>
              <w:rPr>
                <w:b/>
                <w:bCs/>
                <w:color w:val="FFFFFF"/>
                <w:sz w:val="20"/>
                <w:szCs w:val="20"/>
              </w:rPr>
              <w:t>ROI SNAPSHOT — Measurable Outcomes Within 12–24 Months of Deployment</w:t>
            </w:r>
          </w:p>
        </w:tc>
      </w:tr>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AFC"/>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17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4C1D95"/>
                      <w:sz w:val="38"/>
                      <w:szCs w:val="38"/>
                    </w:rPr>
                    <w:t>8–12pts</w:t>
                  </w:r>
                </w:p>
                <w:p w:rsidR="008D117E" w:rsidRDefault="00D30FE3">
                  <w:pPr>
                    <w:jc w:val="center"/>
                  </w:pPr>
                  <w:r>
                    <w:rPr>
                      <w:color w:val="475569"/>
                      <w:sz w:val="17"/>
                      <w:szCs w:val="17"/>
                    </w:rPr>
                    <w:t>HCAHPS Improvement</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4C1D95"/>
                      <w:sz w:val="38"/>
                      <w:szCs w:val="38"/>
                    </w:rPr>
                    <w:t>35%</w:t>
                  </w:r>
                </w:p>
                <w:p w:rsidR="008D117E" w:rsidRDefault="00D30FE3">
                  <w:pPr>
                    <w:jc w:val="center"/>
                  </w:pPr>
                  <w:r>
                    <w:rPr>
                      <w:color w:val="475569"/>
                      <w:sz w:val="17"/>
                      <w:szCs w:val="17"/>
                    </w:rPr>
                    <w:t>Patients Withholding Data Without Consent Control</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4C1D95"/>
                      <w:sz w:val="38"/>
                      <w:szCs w:val="38"/>
                    </w:rPr>
                    <w:t>3×</w:t>
                  </w:r>
                </w:p>
                <w:p w:rsidR="008D117E" w:rsidRDefault="00D30FE3">
                  <w:pPr>
                    <w:jc w:val="center"/>
                  </w:pPr>
                  <w:r>
                    <w:rPr>
                      <w:color w:val="475569"/>
                      <w:sz w:val="17"/>
                      <w:szCs w:val="17"/>
                    </w:rPr>
                    <w:t>Research Participation Rate vs. All-or-Nothing Consent</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4C1D95"/>
                      <w:sz w:val="38"/>
                      <w:szCs w:val="38"/>
                    </w:rPr>
                    <w:t>70%</w:t>
                  </w:r>
                </w:p>
                <w:p w:rsidR="008D117E" w:rsidRDefault="00D30FE3">
                  <w:pPr>
                    <w:jc w:val="center"/>
                  </w:pPr>
                  <w:r>
                    <w:rPr>
                      <w:color w:val="475569"/>
                      <w:sz w:val="17"/>
                      <w:szCs w:val="17"/>
                    </w:rPr>
                    <w:t>Seriously Ill Patients Considering Second Opinion</w:t>
                  </w:r>
                </w:p>
              </w:tc>
            </w:tr>
          </w:tbl>
          <w:p w:rsidR="008D117E" w:rsidRDefault="008D117E"/>
        </w:tc>
      </w:tr>
    </w:tbl>
    <w:p w:rsidR="008D117E" w:rsidRDefault="00D30FE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7640"/>
      </w:tblGrid>
      <w:tr w:rsidR="008D117E">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shd w:val="clear" w:color="auto" w:fill="991B1B"/>
            <w:tcMar>
              <w:top w:w="100" w:type="dxa"/>
              <w:left w:w="100" w:type="dxa"/>
              <w:bottom w:w="100" w:type="dxa"/>
              <w:right w:w="100" w:type="dxa"/>
            </w:tcMar>
          </w:tcPr>
          <w:p w:rsidR="008D117E" w:rsidRDefault="00D30FE3">
            <w:pPr>
              <w:jc w:val="center"/>
            </w:pPr>
            <w:r>
              <w:rPr>
                <w:b/>
                <w:bCs/>
                <w:color w:val="FFFFFF"/>
                <w:sz w:val="17"/>
                <w:szCs w:val="17"/>
              </w:rPr>
              <w:lastRenderedPageBreak/>
              <w:t>⚠</w:t>
            </w:r>
            <w:r>
              <w:rPr>
                <w:b/>
                <w:bCs/>
                <w:color w:val="FFFFFF"/>
                <w:sz w:val="17"/>
                <w:szCs w:val="17"/>
              </w:rPr>
              <w:t>️</w:t>
            </w:r>
            <w:r>
              <w:rPr>
                <w:b/>
                <w:bCs/>
                <w:color w:val="FFFFFF"/>
                <w:sz w:val="17"/>
                <w:szCs w:val="17"/>
              </w:rPr>
              <w:t xml:space="preserve"> RISK &amp; COMPLIANCE</w:t>
            </w:r>
          </w:p>
        </w:tc>
        <w:tc>
          <w:tcPr>
            <w:tcW w:w="764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40" w:type="dxa"/>
              <w:bottom w:w="90" w:type="dxa"/>
              <w:right w:w="140" w:type="dxa"/>
            </w:tcMar>
          </w:tcPr>
          <w:p w:rsidR="008D117E" w:rsidRDefault="00D30FE3">
            <w:pPr>
              <w:spacing w:after="80"/>
            </w:pPr>
            <w:r>
              <w:rPr>
                <w:b/>
                <w:bCs/>
                <w:color w:val="991B1B"/>
                <w:sz w:val="23"/>
                <w:szCs w:val="23"/>
              </w:rPr>
              <w:t>Risk &amp; Compliance — From Reactive to Structurally Preventive</w:t>
            </w:r>
          </w:p>
          <w:p w:rsidR="008D117E" w:rsidRDefault="00D30FE3">
            <w:pPr>
              <w:spacing w:after="50"/>
            </w:pPr>
            <w:r>
              <w:rPr>
                <w:b/>
                <w:bCs/>
                <w:color w:val="991B1B"/>
              </w:rPr>
              <w:t>HIPAA Transformation</w:t>
            </w:r>
          </w:p>
          <w:p w:rsidR="008D117E" w:rsidRDefault="00D30FE3">
            <w:pPr>
              <w:pStyle w:val="ListParagraph"/>
              <w:numPr>
                <w:ilvl w:val="0"/>
                <w:numId w:val="2"/>
              </w:numPr>
              <w:spacing w:before="52" w:after="52"/>
            </w:pPr>
            <w:r>
              <w:rPr>
                <w:color w:val="1E293B"/>
              </w:rPr>
              <w:t>HIPAA compliance posture transforms from reactive (responding to breaches after they occur) to proactive (preventing unauthorised access through structural access control). The consent ledger is the technical implementation of HIPAA's access control requir</w:t>
            </w:r>
            <w:r>
              <w:rPr>
                <w:color w:val="1E293B"/>
              </w:rPr>
              <w:t>ements (45 CFR §164.312(a)(1)) and audit control requirements (§164.312(b)) simultaneously.</w:t>
            </w:r>
          </w:p>
          <w:p w:rsidR="008D117E" w:rsidRDefault="00D30FE3">
            <w:pPr>
              <w:pStyle w:val="ListParagraph"/>
              <w:numPr>
                <w:ilvl w:val="0"/>
                <w:numId w:val="2"/>
              </w:numPr>
              <w:spacing w:before="52" w:after="52"/>
            </w:pPr>
            <w:r>
              <w:rPr>
                <w:color w:val="1E293B"/>
              </w:rPr>
              <w:t>Breach notification exposure reduces significantly. HIPAA requires notification to affected individuals within 60 days of a breach discovery. The consent ledger's r</w:t>
            </w:r>
            <w:r>
              <w:rPr>
                <w:color w:val="1E293B"/>
              </w:rPr>
              <w:t>eal-time access logging means breach scope is determinable immediately — rather than through weeks of investigation — reducing both notification delay liability and the reputational damage from prolonged uncertainty.</w:t>
            </w:r>
          </w:p>
          <w:p w:rsidR="008D117E" w:rsidRDefault="00D30FE3">
            <w:pPr>
              <w:pStyle w:val="ListParagraph"/>
              <w:numPr>
                <w:ilvl w:val="0"/>
                <w:numId w:val="2"/>
              </w:numPr>
              <w:spacing w:before="52" w:after="52"/>
            </w:pPr>
            <w:r>
              <w:rPr>
                <w:color w:val="1E293B"/>
              </w:rPr>
              <w:t>42 CFR Part 2 substance use disorder re</w:t>
            </w:r>
            <w:r>
              <w:rPr>
                <w:color w:val="1E293B"/>
              </w:rPr>
              <w:t>cord violations become structurally impossible within the consent architecture. The separate consent tier for Part 2 records enforces purpose-specific consent at the data layer — replacing the manual safeguard processes that are the primary source of inadv</w:t>
            </w:r>
            <w:r>
              <w:rPr>
                <w:color w:val="1E293B"/>
              </w:rPr>
              <w:t>ertent Part 2 violations.</w:t>
            </w:r>
          </w:p>
          <w:p w:rsidR="008D117E" w:rsidRDefault="008D117E">
            <w:pPr>
              <w:spacing w:before="60"/>
            </w:pPr>
          </w:p>
          <w:p w:rsidR="008D117E" w:rsidRDefault="00D30FE3">
            <w:pPr>
              <w:spacing w:after="50"/>
            </w:pPr>
            <w:r>
              <w:rPr>
                <w:b/>
                <w:bCs/>
                <w:color w:val="991B1B"/>
              </w:rPr>
              <w:t>ONC, CMS, and Interoperability Regulation</w:t>
            </w:r>
          </w:p>
          <w:p w:rsidR="008D117E" w:rsidRDefault="00D30FE3">
            <w:pPr>
              <w:pStyle w:val="ListParagraph"/>
              <w:numPr>
                <w:ilvl w:val="0"/>
                <w:numId w:val="2"/>
              </w:numPr>
              <w:spacing w:before="52" w:after="52"/>
            </w:pPr>
            <w:r>
              <w:rPr>
                <w:color w:val="1E293B"/>
              </w:rPr>
              <w:t>ONC Information Blocking Rule compliance is achieved and documented. Every patient data access event, grant, and denial is logged — providing the evidence trail that demonstrates complian</w:t>
            </w:r>
            <w:r>
              <w:rPr>
                <w:color w:val="1E293B"/>
              </w:rPr>
              <w:t>ce to OIG investigators. Organisations facing Information Blocking complaints can respond with factual, timestamped access logs rather than assertions.</w:t>
            </w:r>
          </w:p>
          <w:p w:rsidR="008D117E" w:rsidRDefault="00D30FE3">
            <w:pPr>
              <w:pStyle w:val="ListParagraph"/>
              <w:numPr>
                <w:ilvl w:val="0"/>
                <w:numId w:val="2"/>
              </w:numPr>
              <w:spacing w:before="52" w:after="52"/>
            </w:pPr>
            <w:r>
              <w:rPr>
                <w:color w:val="1E293B"/>
              </w:rPr>
              <w:t>CMS-0057-F Patient Access API compliance requires the consent management infrastructure that the Dynamic</w:t>
            </w:r>
            <w:r>
              <w:rPr>
                <w:color w:val="1E293B"/>
              </w:rPr>
              <w:t xml:space="preserve"> Consent Ledger provides. Compliance deadline: January 2026. Non-compliance carries CMS enforcement action. The Consent Ledger converts a regulatory mandate into a competitive asset.</w:t>
            </w:r>
          </w:p>
          <w:p w:rsidR="008D117E" w:rsidRDefault="00D30FE3">
            <w:pPr>
              <w:pStyle w:val="ListParagraph"/>
              <w:numPr>
                <w:ilvl w:val="0"/>
                <w:numId w:val="2"/>
              </w:numPr>
              <w:spacing w:before="52" w:after="52"/>
            </w:pPr>
            <w:r>
              <w:rPr>
                <w:color w:val="1E293B"/>
              </w:rPr>
              <w:t>TEFCA-compatible consent records ensure that as the national health infor</w:t>
            </w:r>
            <w:r>
              <w:rPr>
                <w:color w:val="1E293B"/>
              </w:rPr>
              <w:t>mation exchange network matures through 2026–2027, the organisation's consent infrastructure is compatible with nationwide exchange without requiring re-architecture.</w:t>
            </w:r>
          </w:p>
          <w:p w:rsidR="008D117E" w:rsidRDefault="008D117E">
            <w:pPr>
              <w:spacing w:before="60"/>
            </w:pPr>
          </w:p>
          <w:p w:rsidR="008D117E" w:rsidRDefault="00D30FE3">
            <w:pPr>
              <w:spacing w:after="50"/>
            </w:pPr>
            <w:r>
              <w:rPr>
                <w:b/>
                <w:bCs/>
                <w:color w:val="991B1B"/>
              </w:rPr>
              <w:t>Critical Implementation Risks</w:t>
            </w:r>
          </w:p>
          <w:p w:rsidR="008D117E" w:rsidRDefault="00D30FE3">
            <w:pPr>
              <w:pStyle w:val="ListParagraph"/>
              <w:numPr>
                <w:ilvl w:val="0"/>
                <w:numId w:val="2"/>
              </w:numPr>
              <w:spacing w:before="52" w:after="52"/>
            </w:pPr>
            <w:r>
              <w:rPr>
                <w:color w:val="1E293B"/>
              </w:rPr>
              <w:t>Consent propagation lag: revocations that take hours to re</w:t>
            </w:r>
            <w:r>
              <w:rPr>
                <w:color w:val="1E293B"/>
              </w:rPr>
              <w:t>ach all downstream systems create a window of unauthorised access legally equivalent to a breach. Event-driven FHIR Subscription architecture with acknowledgement confirmation is required — not batch nightly sync.</w:t>
            </w:r>
          </w:p>
          <w:p w:rsidR="008D117E" w:rsidRDefault="00D30FE3">
            <w:pPr>
              <w:pStyle w:val="ListParagraph"/>
              <w:numPr>
                <w:ilvl w:val="0"/>
                <w:numId w:val="2"/>
              </w:numPr>
              <w:spacing w:before="52" w:after="52"/>
            </w:pPr>
            <w:r>
              <w:rPr>
                <w:color w:val="1E293B"/>
              </w:rPr>
              <w:t xml:space="preserve">State law variation: California CCPA, New </w:t>
            </w:r>
            <w:r>
              <w:rPr>
                <w:color w:val="1E293B"/>
              </w:rPr>
              <w:t>York SHIELD, Virginia CDPA each add disclosure and consent requirements beyond HIPAA. Dynamic state-specific disclosure presentation based on patient address is mandatory, not optional.</w:t>
            </w:r>
          </w:p>
          <w:p w:rsidR="008D117E" w:rsidRDefault="00D30FE3">
            <w:pPr>
              <w:pStyle w:val="ListParagraph"/>
              <w:numPr>
                <w:ilvl w:val="0"/>
                <w:numId w:val="2"/>
              </w:numPr>
              <w:spacing w:before="52" w:after="52"/>
            </w:pPr>
            <w:r>
              <w:rPr>
                <w:color w:val="1E293B"/>
              </w:rPr>
              <w:t>Consent fatigue: patients presented with 40+ granular consent choices default to 'Accept All' — defeating the system's purpose. UX research and consent bundle design are governance requirements, not design preferences.</w:t>
            </w:r>
          </w:p>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991B1B"/>
            <w:tcMar>
              <w:top w:w="80" w:type="dxa"/>
              <w:left w:w="180" w:type="dxa"/>
              <w:bottom w:w="60" w:type="dxa"/>
              <w:right w:w="180" w:type="dxa"/>
            </w:tcMar>
          </w:tcPr>
          <w:p w:rsidR="008D117E" w:rsidRDefault="00D30FE3">
            <w:r>
              <w:rPr>
                <w:b/>
                <w:bCs/>
                <w:color w:val="FFFFFF"/>
                <w:sz w:val="20"/>
                <w:szCs w:val="20"/>
              </w:rPr>
              <w:t>ROI SNAPSHOT — Measurable Outcomes Within 12–24 Months of Deployment</w:t>
            </w:r>
          </w:p>
        </w:tc>
      </w:tr>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AFC"/>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17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91B1B"/>
                      <w:sz w:val="38"/>
                      <w:szCs w:val="38"/>
                    </w:rPr>
                    <w:lastRenderedPageBreak/>
                    <w:t>Jan 2026</w:t>
                  </w:r>
                </w:p>
                <w:p w:rsidR="008D117E" w:rsidRDefault="00D30FE3">
                  <w:pPr>
                    <w:jc w:val="center"/>
                  </w:pPr>
                  <w:r>
                    <w:rPr>
                      <w:color w:val="475569"/>
                      <w:sz w:val="17"/>
                      <w:szCs w:val="17"/>
                    </w:rPr>
                    <w:t>CMS-0057-F Patient Access API Deadline</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91B1B"/>
                      <w:sz w:val="38"/>
                      <w:szCs w:val="38"/>
                    </w:rPr>
                    <w:t>45 CFR</w:t>
                  </w:r>
                </w:p>
                <w:p w:rsidR="008D117E" w:rsidRDefault="00D30FE3">
                  <w:pPr>
                    <w:jc w:val="center"/>
                  </w:pPr>
                  <w:r>
                    <w:rPr>
                      <w:color w:val="475569"/>
                      <w:sz w:val="17"/>
                      <w:szCs w:val="17"/>
                    </w:rPr>
                    <w:t>§164.312 Access &amp; Audit Control Compliance</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91B1B"/>
                      <w:sz w:val="38"/>
                      <w:szCs w:val="38"/>
                    </w:rPr>
                    <w:t>Seconds</w:t>
                  </w:r>
                </w:p>
                <w:p w:rsidR="008D117E" w:rsidRDefault="00D30FE3">
                  <w:pPr>
                    <w:jc w:val="center"/>
                  </w:pPr>
                  <w:r>
                    <w:rPr>
                      <w:color w:val="475569"/>
                      <w:sz w:val="17"/>
                      <w:szCs w:val="17"/>
                    </w:rPr>
                    <w:t>Consent Revocation Propagation Requirement</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91B1B"/>
                      <w:sz w:val="38"/>
                      <w:szCs w:val="38"/>
                    </w:rPr>
                    <w:t>Zero</w:t>
                  </w:r>
                </w:p>
                <w:p w:rsidR="008D117E" w:rsidRDefault="00D30FE3">
                  <w:pPr>
                    <w:jc w:val="center"/>
                  </w:pPr>
                  <w:r>
                    <w:rPr>
                      <w:color w:val="475569"/>
                      <w:sz w:val="17"/>
                      <w:szCs w:val="17"/>
                    </w:rPr>
                    <w:t>42 CFR Part 2 Violations in Proper Architecture</w:t>
                  </w:r>
                </w:p>
              </w:tc>
            </w:tr>
          </w:tbl>
          <w:p w:rsidR="008D117E" w:rsidRDefault="008D117E"/>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7640"/>
      </w:tblGrid>
      <w:tr w:rsidR="008D117E">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shd w:val="clear" w:color="auto" w:fill="312E81"/>
            <w:tcMar>
              <w:top w:w="100" w:type="dxa"/>
              <w:left w:w="100" w:type="dxa"/>
              <w:bottom w:w="100" w:type="dxa"/>
              <w:right w:w="100" w:type="dxa"/>
            </w:tcMar>
          </w:tcPr>
          <w:p w:rsidR="008D117E" w:rsidRDefault="00D30FE3">
            <w:pPr>
              <w:jc w:val="center"/>
            </w:pPr>
            <w:r>
              <w:rPr>
                <w:b/>
                <w:bCs/>
                <w:color w:val="FFFFFF"/>
                <w:sz w:val="17"/>
                <w:szCs w:val="17"/>
              </w:rPr>
              <w:t>🔄</w:t>
            </w:r>
            <w:r>
              <w:rPr>
                <w:b/>
                <w:bCs/>
                <w:color w:val="FFFFFF"/>
                <w:sz w:val="17"/>
                <w:szCs w:val="17"/>
              </w:rPr>
              <w:t xml:space="preserve"> PAYER DYNAMICS</w:t>
            </w:r>
          </w:p>
        </w:tc>
        <w:tc>
          <w:tcPr>
            <w:tcW w:w="7640" w:type="dxa"/>
            <w:tcBorders>
              <w:top w:val="single" w:sz="1" w:space="0" w:color="CCCCCC"/>
              <w:left w:val="single" w:sz="1" w:space="0" w:color="CCCCCC"/>
              <w:bottom w:val="single" w:sz="1" w:space="0" w:color="CCCCCC"/>
              <w:right w:val="single" w:sz="1" w:space="0" w:color="CCCCCC"/>
            </w:tcBorders>
            <w:shd w:val="clear" w:color="auto" w:fill="E0E7FF"/>
            <w:tcMar>
              <w:top w:w="90" w:type="dxa"/>
              <w:left w:w="140" w:type="dxa"/>
              <w:bottom w:w="90" w:type="dxa"/>
              <w:right w:w="140" w:type="dxa"/>
            </w:tcMar>
          </w:tcPr>
          <w:p w:rsidR="008D117E" w:rsidRDefault="00D30FE3">
            <w:pPr>
              <w:spacing w:after="80"/>
            </w:pPr>
            <w:r>
              <w:rPr>
                <w:b/>
                <w:bCs/>
                <w:color w:val="312E81"/>
                <w:sz w:val="23"/>
                <w:szCs w:val="23"/>
              </w:rPr>
              <w:t>Payer Dynamics — Transforming the Payer-Provider Relationship</w:t>
            </w:r>
          </w:p>
          <w:p w:rsidR="008D117E" w:rsidRDefault="00D30FE3">
            <w:pPr>
              <w:spacing w:after="50"/>
            </w:pPr>
            <w:r>
              <w:rPr>
                <w:b/>
                <w:bCs/>
                <w:color w:val="312E81"/>
              </w:rPr>
              <w:t>Prior Authorisation — From Adversarial to Evidence-Based</w:t>
            </w:r>
          </w:p>
          <w:p w:rsidR="008D117E" w:rsidRDefault="00D30FE3">
            <w:pPr>
              <w:pStyle w:val="ListParagraph"/>
              <w:numPr>
                <w:ilvl w:val="0"/>
                <w:numId w:val="2"/>
              </w:numPr>
              <w:spacing w:before="52" w:after="52"/>
            </w:pPr>
            <w:r>
              <w:rPr>
                <w:color w:val="1E293B"/>
              </w:rPr>
              <w:t xml:space="preserve">The PA dynamic changes structurally when patients can grant payers access to the specific clinical documentation required for each PA request. Rather than a provider asserting medical necessity and a payer challenging it, both parties are working from the </w:t>
            </w:r>
            <w:r>
              <w:rPr>
                <w:color w:val="1E293B"/>
              </w:rPr>
              <w:t>same consent-enabled clinical record — reducing the 45–90 day PA dispute cycle to same-day resolution.</w:t>
            </w:r>
          </w:p>
          <w:p w:rsidR="008D117E" w:rsidRDefault="00D30FE3">
            <w:pPr>
              <w:pStyle w:val="ListParagraph"/>
              <w:numPr>
                <w:ilvl w:val="0"/>
                <w:numId w:val="2"/>
              </w:numPr>
              <w:spacing w:before="52" w:after="52"/>
            </w:pPr>
            <w:r>
              <w:rPr>
                <w:color w:val="1E293B"/>
              </w:rPr>
              <w:t>Payer AI-driven claim review systems (UnitedHealthcare's nH Predict, Cigna's PXDX) are designed to evaluate structured clinical data. Consent-enabled FHI</w:t>
            </w:r>
            <w:r>
              <w:rPr>
                <w:color w:val="1E293B"/>
              </w:rPr>
              <w:t>R records are the exact format these systems process — creating alignment between provider documentation and payer adjudication criteria.</w:t>
            </w:r>
          </w:p>
          <w:p w:rsidR="008D117E" w:rsidRDefault="00D30FE3">
            <w:pPr>
              <w:pStyle w:val="ListParagraph"/>
              <w:numPr>
                <w:ilvl w:val="0"/>
                <w:numId w:val="2"/>
              </w:numPr>
              <w:spacing w:before="52" w:after="52"/>
            </w:pPr>
            <w:r>
              <w:rPr>
                <w:color w:val="1E293B"/>
              </w:rPr>
              <w:t>Coordination of benefits disputes decrease: when consent records are structured and auditable, primary vs. secondary p</w:t>
            </w:r>
            <w:r>
              <w:rPr>
                <w:color w:val="1E293B"/>
              </w:rPr>
              <w:t>ayer determination is a documented, verifiable transaction rather than a billing argument — reducing COB disputes that cost $2,000–$8,000 each to resolve.</w:t>
            </w:r>
          </w:p>
          <w:p w:rsidR="008D117E" w:rsidRDefault="008D117E">
            <w:pPr>
              <w:spacing w:before="60"/>
            </w:pPr>
          </w:p>
          <w:p w:rsidR="008D117E" w:rsidRDefault="00D30FE3">
            <w:pPr>
              <w:spacing w:after="50"/>
            </w:pPr>
            <w:r>
              <w:rPr>
                <w:b/>
                <w:bCs/>
                <w:color w:val="312E81"/>
              </w:rPr>
              <w:t>Risk Adjustment and Value-Based Contracting</w:t>
            </w:r>
          </w:p>
          <w:p w:rsidR="008D117E" w:rsidRDefault="00D30FE3">
            <w:pPr>
              <w:pStyle w:val="ListParagraph"/>
              <w:numPr>
                <w:ilvl w:val="0"/>
                <w:numId w:val="2"/>
              </w:numPr>
              <w:spacing w:before="52" w:after="52"/>
            </w:pPr>
            <w:r>
              <w:rPr>
                <w:color w:val="1E293B"/>
              </w:rPr>
              <w:t>Risk adjustment accuracy improves for Medicare Advantage</w:t>
            </w:r>
            <w:r>
              <w:rPr>
                <w:color w:val="1E293B"/>
              </w:rPr>
              <w:t xml:space="preserve"> plans: patients who control their data sharing with their payer share more accurate clinical history — enabling more complete HCC coding from day one of enrollment. Each additional HCC generates $800–$2,000 in annual MA capitation.</w:t>
            </w:r>
          </w:p>
          <w:p w:rsidR="008D117E" w:rsidRDefault="00D30FE3">
            <w:pPr>
              <w:pStyle w:val="ListParagraph"/>
              <w:numPr>
                <w:ilvl w:val="0"/>
                <w:numId w:val="2"/>
              </w:numPr>
              <w:spacing w:before="52" w:after="52"/>
            </w:pPr>
            <w:r>
              <w:rPr>
                <w:color w:val="1E293B"/>
              </w:rPr>
              <w:t>Value-based contract pe</w:t>
            </w:r>
            <w:r>
              <w:rPr>
                <w:color w:val="1E293B"/>
              </w:rPr>
              <w:t>rformance conversations change: when both payer and provider have access to the same consent-enabled longitudinal clinical data, shared savings calculations are transparent and mutually verifiable — reducing the contract dispute cycles that delay shared sa</w:t>
            </w:r>
            <w:r>
              <w:rPr>
                <w:color w:val="1E293B"/>
              </w:rPr>
              <w:t>vings distribution by 6–12 months.</w:t>
            </w:r>
          </w:p>
          <w:p w:rsidR="008D117E" w:rsidRDefault="00D30FE3">
            <w:pPr>
              <w:pStyle w:val="ListParagraph"/>
              <w:numPr>
                <w:ilvl w:val="0"/>
                <w:numId w:val="2"/>
              </w:numPr>
              <w:spacing w:before="52" w:after="52"/>
            </w:pPr>
            <w:r>
              <w:rPr>
                <w:color w:val="1E293B"/>
              </w:rPr>
              <w:t xml:space="preserve">Payers increasingly require FHIR API compliance from their provider networks as a contract condition. Health systems with deployed Consent Ledger infrastructure demonstrate the highest level of API readiness — supporting </w:t>
            </w:r>
            <w:r>
              <w:rPr>
                <w:color w:val="1E293B"/>
              </w:rPr>
              <w:t>premium contract terms and network participation rights.</w:t>
            </w:r>
          </w:p>
          <w:p w:rsidR="008D117E" w:rsidRDefault="008D117E">
            <w:pPr>
              <w:spacing w:before="60"/>
            </w:pPr>
          </w:p>
          <w:p w:rsidR="008D117E" w:rsidRDefault="00D30FE3">
            <w:pPr>
              <w:spacing w:after="50"/>
            </w:pPr>
            <w:r>
              <w:rPr>
                <w:b/>
                <w:bCs/>
                <w:color w:val="312E81"/>
              </w:rPr>
              <w:t>Payer Governance Requirement</w:t>
            </w:r>
          </w:p>
          <w:p w:rsidR="008D117E" w:rsidRDefault="00D30FE3">
            <w:pPr>
              <w:pStyle w:val="ListParagraph"/>
              <w:numPr>
                <w:ilvl w:val="0"/>
                <w:numId w:val="2"/>
              </w:numPr>
              <w:spacing w:before="52" w:after="52"/>
            </w:pPr>
            <w:r>
              <w:rPr>
                <w:color w:val="1E293B"/>
              </w:rPr>
              <w:t>Consent-shared clinical data must be contractually restricted from payer use for underwriting, coverage discrimination, or any purpose beyond the stated consent scope. A</w:t>
            </w:r>
            <w:r>
              <w:rPr>
                <w:color w:val="1E293B"/>
              </w:rPr>
              <w:t>CA Section 1557 and state insurance regulations prohibit health status-based discrimination. This restriction must be embedded in every payer data access agreement — and technically enforced through smart contract purpose limitation, not just contractual a</w:t>
            </w:r>
            <w:r>
              <w:rPr>
                <w:color w:val="1E293B"/>
              </w:rPr>
              <w:t>ssertion.</w:t>
            </w:r>
          </w:p>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12E81"/>
            <w:tcMar>
              <w:top w:w="80" w:type="dxa"/>
              <w:left w:w="180" w:type="dxa"/>
              <w:bottom w:w="60" w:type="dxa"/>
              <w:right w:w="180" w:type="dxa"/>
            </w:tcMar>
          </w:tcPr>
          <w:p w:rsidR="008D117E" w:rsidRDefault="00D30FE3">
            <w:r>
              <w:rPr>
                <w:b/>
                <w:bCs/>
                <w:color w:val="FFFFFF"/>
                <w:sz w:val="20"/>
                <w:szCs w:val="20"/>
              </w:rPr>
              <w:t>ROI SNAPSHOT — Measurable Outcomes Within 12–24 Months of Deployment</w:t>
            </w:r>
          </w:p>
        </w:tc>
      </w:tr>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AFC"/>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17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312E81"/>
                      <w:sz w:val="38"/>
                      <w:szCs w:val="38"/>
                    </w:rPr>
                    <w:t>Same-day</w:t>
                  </w:r>
                </w:p>
                <w:p w:rsidR="008D117E" w:rsidRDefault="00D30FE3">
                  <w:pPr>
                    <w:jc w:val="center"/>
                  </w:pPr>
                  <w:r>
                    <w:rPr>
                      <w:color w:val="475569"/>
                      <w:sz w:val="17"/>
                      <w:szCs w:val="17"/>
                    </w:rPr>
                    <w:lastRenderedPageBreak/>
                    <w:t>PA Resolution for Consent-Enabled Patients</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312E81"/>
                      <w:sz w:val="38"/>
                      <w:szCs w:val="38"/>
                    </w:rPr>
                    <w:lastRenderedPageBreak/>
                    <w:t>$800–$2K</w:t>
                  </w:r>
                </w:p>
                <w:p w:rsidR="008D117E" w:rsidRDefault="00D30FE3">
                  <w:pPr>
                    <w:jc w:val="center"/>
                  </w:pPr>
                  <w:r>
                    <w:rPr>
                      <w:color w:val="475569"/>
                      <w:sz w:val="17"/>
                      <w:szCs w:val="17"/>
                    </w:rPr>
                    <w:lastRenderedPageBreak/>
                    <w:t>Per Additional HCC Code Captured at MA Enrollment</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312E81"/>
                      <w:sz w:val="38"/>
                      <w:szCs w:val="38"/>
                    </w:rPr>
                    <w:lastRenderedPageBreak/>
                    <w:t>6–12mo</w:t>
                  </w:r>
                </w:p>
                <w:p w:rsidR="008D117E" w:rsidRDefault="00D30FE3">
                  <w:pPr>
                    <w:jc w:val="center"/>
                  </w:pPr>
                  <w:r>
                    <w:rPr>
                      <w:color w:val="475569"/>
                      <w:sz w:val="17"/>
                      <w:szCs w:val="17"/>
                    </w:rPr>
                    <w:lastRenderedPageBreak/>
                    <w:t>Shared Savings Distribution Delay Eliminated</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312E81"/>
                      <w:sz w:val="38"/>
                      <w:szCs w:val="38"/>
                    </w:rPr>
                    <w:lastRenderedPageBreak/>
                    <w:t>No</w:t>
                  </w:r>
                </w:p>
                <w:p w:rsidR="008D117E" w:rsidRDefault="00D30FE3">
                  <w:pPr>
                    <w:jc w:val="center"/>
                  </w:pPr>
                  <w:r>
                    <w:rPr>
                      <w:color w:val="475569"/>
                      <w:sz w:val="17"/>
                      <w:szCs w:val="17"/>
                    </w:rPr>
                    <w:lastRenderedPageBreak/>
                    <w:t>Payer Underwriting Use of Consent Data Permitted</w:t>
                  </w:r>
                </w:p>
              </w:tc>
            </w:tr>
          </w:tbl>
          <w:p w:rsidR="008D117E" w:rsidRDefault="008D117E"/>
        </w:tc>
      </w:tr>
    </w:tbl>
    <w:p w:rsidR="008D117E" w:rsidRDefault="00D30FE3">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7640"/>
      </w:tblGrid>
      <w:tr w:rsidR="008D117E">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shd w:val="clear" w:color="auto" w:fill="164E63"/>
            <w:tcMar>
              <w:top w:w="100" w:type="dxa"/>
              <w:left w:w="100" w:type="dxa"/>
              <w:bottom w:w="100" w:type="dxa"/>
              <w:right w:w="100" w:type="dxa"/>
            </w:tcMar>
          </w:tcPr>
          <w:p w:rsidR="008D117E" w:rsidRDefault="00D30FE3">
            <w:pPr>
              <w:jc w:val="center"/>
            </w:pPr>
            <w:r>
              <w:rPr>
                <w:b/>
                <w:bCs/>
                <w:color w:val="FFFFFF"/>
                <w:sz w:val="17"/>
                <w:szCs w:val="17"/>
              </w:rPr>
              <w:lastRenderedPageBreak/>
              <w:t>👥</w:t>
            </w:r>
            <w:r>
              <w:rPr>
                <w:b/>
                <w:bCs/>
                <w:color w:val="FFFFFF"/>
                <w:sz w:val="17"/>
                <w:szCs w:val="17"/>
              </w:rPr>
              <w:t xml:space="preserve"> STAFF &amp; WORKFLOW</w:t>
            </w:r>
          </w:p>
        </w:tc>
        <w:tc>
          <w:tcPr>
            <w:tcW w:w="7640" w:type="dxa"/>
            <w:tcBorders>
              <w:top w:val="single" w:sz="1" w:space="0" w:color="CCCCCC"/>
              <w:left w:val="single" w:sz="1" w:space="0" w:color="CCCCCC"/>
              <w:bottom w:val="single" w:sz="1" w:space="0" w:color="CCCCCC"/>
              <w:right w:val="single" w:sz="1" w:space="0" w:color="CCCCCC"/>
            </w:tcBorders>
            <w:shd w:val="clear" w:color="auto" w:fill="CFFAFE"/>
            <w:tcMar>
              <w:top w:w="90" w:type="dxa"/>
              <w:left w:w="140" w:type="dxa"/>
              <w:bottom w:w="90" w:type="dxa"/>
              <w:right w:w="140" w:type="dxa"/>
            </w:tcMar>
          </w:tcPr>
          <w:p w:rsidR="008D117E" w:rsidRDefault="00D30FE3">
            <w:pPr>
              <w:spacing w:after="80"/>
            </w:pPr>
            <w:r>
              <w:rPr>
                <w:b/>
                <w:bCs/>
                <w:color w:val="164E63"/>
                <w:sz w:val="23"/>
                <w:szCs w:val="23"/>
              </w:rPr>
              <w:t>Staff &amp; Workflow — What Changes for Every Role</w:t>
            </w:r>
          </w:p>
          <w:p w:rsidR="008D117E" w:rsidRDefault="00D30FE3">
            <w:pPr>
              <w:spacing w:after="50"/>
            </w:pPr>
            <w:r>
              <w:rPr>
                <w:b/>
                <w:bCs/>
                <w:color w:val="164E63"/>
              </w:rPr>
              <w:t>Release of Information (ROI) Department</w:t>
            </w:r>
          </w:p>
          <w:p w:rsidR="008D117E" w:rsidRDefault="00D30FE3">
            <w:pPr>
              <w:pStyle w:val="ListParagraph"/>
              <w:numPr>
                <w:ilvl w:val="0"/>
                <w:numId w:val="2"/>
              </w:numPr>
              <w:spacing w:before="52" w:after="52"/>
            </w:pPr>
            <w:r>
              <w:rPr>
                <w:color w:val="1E293B"/>
              </w:rPr>
              <w:t>The most immediate and dramatic staff transformation occurs in the ROI department. Staff currently spending 3–4 hours daily processing manual records requests — pulling charts, verifying requestor identity, faxing documents, logging releases — see that wor</w:t>
            </w:r>
            <w:r>
              <w:rPr>
                <w:color w:val="1E293B"/>
              </w:rPr>
              <w:t>kload drop 40–60% for the consented patient population. That capacity is redirected to complex subpoena responses, audit preparation, and release quality review.</w:t>
            </w:r>
          </w:p>
          <w:p w:rsidR="008D117E" w:rsidRDefault="00D30FE3">
            <w:pPr>
              <w:pStyle w:val="ListParagraph"/>
              <w:numPr>
                <w:ilvl w:val="0"/>
                <w:numId w:val="2"/>
              </w:numPr>
              <w:spacing w:before="52" w:after="52"/>
            </w:pPr>
            <w:r>
              <w:rPr>
                <w:color w:val="1E293B"/>
              </w:rPr>
              <w:t>ROI managers shift from transaction processors to governance supervisors. With routine release</w:t>
            </w:r>
            <w:r>
              <w:rPr>
                <w:color w:val="1E293B"/>
              </w:rPr>
              <w:t>s automated, ROI professionals focus on the exception cases that require human judgment — contested releases, law enforcement requests, research disclosures — elevating the professional role while reducing the volume burden.</w:t>
            </w:r>
          </w:p>
          <w:p w:rsidR="008D117E" w:rsidRDefault="008D117E">
            <w:pPr>
              <w:spacing w:before="60"/>
            </w:pPr>
          </w:p>
          <w:p w:rsidR="008D117E" w:rsidRDefault="00D30FE3">
            <w:pPr>
              <w:spacing w:after="50"/>
            </w:pPr>
            <w:r>
              <w:rPr>
                <w:b/>
                <w:bCs/>
                <w:color w:val="164E63"/>
              </w:rPr>
              <w:t>Clinical Staff</w:t>
            </w:r>
          </w:p>
          <w:p w:rsidR="008D117E" w:rsidRDefault="00D30FE3">
            <w:pPr>
              <w:pStyle w:val="ListParagraph"/>
              <w:numPr>
                <w:ilvl w:val="0"/>
                <w:numId w:val="2"/>
              </w:numPr>
              <w:spacing w:before="52" w:after="52"/>
            </w:pPr>
            <w:r>
              <w:rPr>
                <w:color w:val="1E293B"/>
              </w:rPr>
              <w:t xml:space="preserve">Physicians and </w:t>
            </w:r>
            <w:r>
              <w:rPr>
                <w:color w:val="1E293B"/>
              </w:rPr>
              <w:t xml:space="preserve">NPs stop playing information intermediary for referral coordination. The most time-consuming non-clinical task for outpatient providers is coordinating records transfers for referrals and second opinions. When patients have pre-granted access to receiving </w:t>
            </w:r>
            <w:r>
              <w:rPr>
                <w:color w:val="1E293B"/>
              </w:rPr>
              <w:t>providers, that coordination call never happens — clinical staff are notified that the record transfer is complete rather than initiating it.</w:t>
            </w:r>
          </w:p>
          <w:p w:rsidR="008D117E" w:rsidRDefault="00D30FE3">
            <w:pPr>
              <w:pStyle w:val="ListParagraph"/>
              <w:numPr>
                <w:ilvl w:val="0"/>
                <w:numId w:val="2"/>
              </w:numPr>
              <w:spacing w:before="52" w:after="52"/>
            </w:pPr>
            <w:r>
              <w:rPr>
                <w:color w:val="1E293B"/>
              </w:rPr>
              <w:t>Documentation of patient education — required for some quality measures — becomes automated when consent interacti</w:t>
            </w:r>
            <w:r>
              <w:rPr>
                <w:color w:val="1E293B"/>
              </w:rPr>
              <w:t>ons are structured and logged. A nurse who walks a patient through the consent interface has documented the educational interaction as part of the workflow.</w:t>
            </w:r>
          </w:p>
          <w:p w:rsidR="008D117E" w:rsidRDefault="00D30FE3">
            <w:pPr>
              <w:pStyle w:val="ListParagraph"/>
              <w:numPr>
                <w:ilvl w:val="0"/>
                <w:numId w:val="2"/>
              </w:numPr>
              <w:spacing w:before="52" w:after="52"/>
            </w:pPr>
            <w:r>
              <w:rPr>
                <w:color w:val="1E293B"/>
              </w:rPr>
              <w:t>After-hours calls from patients confused about data access requests drop 20–30% when patients recei</w:t>
            </w:r>
            <w:r>
              <w:rPr>
                <w:color w:val="1E293B"/>
              </w:rPr>
              <w:t>ve real-time notifications of every access event. Patients who are surprised by a data access request they did not initiate currently call the clinical team; the notification system intercepts these calls.</w:t>
            </w:r>
          </w:p>
          <w:p w:rsidR="008D117E" w:rsidRDefault="008D117E">
            <w:pPr>
              <w:spacing w:before="60"/>
            </w:pPr>
          </w:p>
          <w:p w:rsidR="008D117E" w:rsidRDefault="00D30FE3">
            <w:pPr>
              <w:spacing w:after="50"/>
            </w:pPr>
            <w:r>
              <w:rPr>
                <w:b/>
                <w:bCs/>
                <w:color w:val="164E63"/>
              </w:rPr>
              <w:t>IT and Security Operations</w:t>
            </w:r>
          </w:p>
          <w:p w:rsidR="008D117E" w:rsidRDefault="00D30FE3">
            <w:pPr>
              <w:pStyle w:val="ListParagraph"/>
              <w:numPr>
                <w:ilvl w:val="0"/>
                <w:numId w:val="2"/>
              </w:numPr>
              <w:spacing w:before="52" w:after="52"/>
            </w:pPr>
            <w:r>
              <w:rPr>
                <w:color w:val="1E293B"/>
              </w:rPr>
              <w:t>Access control mainten</w:t>
            </w:r>
            <w:r>
              <w:rPr>
                <w:color w:val="1E293B"/>
              </w:rPr>
              <w:t>ance simplifies: OAuth 2.0 and SMART on FHIR are developer-familiar standards that replace bespoke point-to-point integration access controls. The consent enforcement layer is configured, not custom-coded — reducing long-term IT maintenance burden and vend</w:t>
            </w:r>
            <w:r>
              <w:rPr>
                <w:color w:val="1E293B"/>
              </w:rPr>
              <w:t>or lock-in.</w:t>
            </w:r>
          </w:p>
          <w:p w:rsidR="008D117E" w:rsidRDefault="00D30FE3">
            <w:pPr>
              <w:pStyle w:val="ListParagraph"/>
              <w:numPr>
                <w:ilvl w:val="0"/>
                <w:numId w:val="2"/>
              </w:numPr>
              <w:spacing w:before="52" w:after="52"/>
            </w:pPr>
            <w:r>
              <w:rPr>
                <w:color w:val="1E293B"/>
              </w:rPr>
              <w:t>Security incident investigation accelerates: the immutable audit log provides a complete, real-time access record that investigators can query immediately — rather than reconstructing access histories from multiple system logs over days.</w:t>
            </w:r>
          </w:p>
          <w:p w:rsidR="008D117E" w:rsidRDefault="00D30FE3">
            <w:pPr>
              <w:pStyle w:val="ListParagraph"/>
              <w:numPr>
                <w:ilvl w:val="0"/>
                <w:numId w:val="2"/>
              </w:numPr>
              <w:spacing w:before="52" w:after="52"/>
            </w:pPr>
            <w:r>
              <w:rPr>
                <w:color w:val="1E293B"/>
              </w:rPr>
              <w:t>Change management is the most underestimated implementation challenge. Staff who have processed consent paperwork manually for their entire career will need values-based communication about why patient data control is clinically important — not just IT tra</w:t>
            </w:r>
            <w:r>
              <w:rPr>
                <w:color w:val="1E293B"/>
              </w:rPr>
              <w:t>ining on the new system.</w:t>
            </w:r>
          </w:p>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4E63"/>
            <w:tcMar>
              <w:top w:w="80" w:type="dxa"/>
              <w:left w:w="180" w:type="dxa"/>
              <w:bottom w:w="60" w:type="dxa"/>
              <w:right w:w="180" w:type="dxa"/>
            </w:tcMar>
          </w:tcPr>
          <w:p w:rsidR="008D117E" w:rsidRDefault="00D30FE3">
            <w:r>
              <w:rPr>
                <w:b/>
                <w:bCs/>
                <w:color w:val="FFFFFF"/>
                <w:sz w:val="20"/>
                <w:szCs w:val="20"/>
              </w:rPr>
              <w:t>ROI SNAPSHOT — Measurable Outcomes Within 12–24 Months of Deployment</w:t>
            </w:r>
          </w:p>
        </w:tc>
      </w:tr>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AFC"/>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17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164E63"/>
                      <w:sz w:val="38"/>
                      <w:szCs w:val="38"/>
                    </w:rPr>
                    <w:t>40–60%</w:t>
                  </w:r>
                </w:p>
                <w:p w:rsidR="008D117E" w:rsidRDefault="00D30FE3">
                  <w:pPr>
                    <w:jc w:val="center"/>
                  </w:pPr>
                  <w:r>
                    <w:rPr>
                      <w:color w:val="475569"/>
                      <w:sz w:val="17"/>
                      <w:szCs w:val="17"/>
                    </w:rPr>
                    <w:lastRenderedPageBreak/>
                    <w:t>ROI Dept Workload Reduction</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164E63"/>
                      <w:sz w:val="38"/>
                      <w:szCs w:val="38"/>
                    </w:rPr>
                    <w:lastRenderedPageBreak/>
                    <w:t>20–30%</w:t>
                  </w:r>
                </w:p>
                <w:p w:rsidR="008D117E" w:rsidRDefault="00D30FE3">
                  <w:pPr>
                    <w:jc w:val="center"/>
                  </w:pPr>
                  <w:r>
                    <w:rPr>
                      <w:color w:val="475569"/>
                      <w:sz w:val="17"/>
                      <w:szCs w:val="17"/>
                    </w:rPr>
                    <w:lastRenderedPageBreak/>
                    <w:t>After-Hours Clinical Calls Reduction</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164E63"/>
                      <w:sz w:val="38"/>
                      <w:szCs w:val="38"/>
                    </w:rPr>
                    <w:lastRenderedPageBreak/>
                    <w:t>Hours</w:t>
                  </w:r>
                </w:p>
                <w:p w:rsidR="008D117E" w:rsidRDefault="00D30FE3">
                  <w:pPr>
                    <w:jc w:val="center"/>
                  </w:pPr>
                  <w:r>
                    <w:rPr>
                      <w:color w:val="475569"/>
                      <w:sz w:val="17"/>
                      <w:szCs w:val="17"/>
                    </w:rPr>
                    <w:lastRenderedPageBreak/>
                    <w:t>Security Incident Investigation (vs. Days)</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164E63"/>
                      <w:sz w:val="38"/>
                      <w:szCs w:val="38"/>
                    </w:rPr>
                    <w:lastRenderedPageBreak/>
                    <w:t>Zero</w:t>
                  </w:r>
                </w:p>
                <w:p w:rsidR="008D117E" w:rsidRDefault="00D30FE3">
                  <w:pPr>
                    <w:jc w:val="center"/>
                  </w:pPr>
                  <w:r>
                    <w:rPr>
                      <w:color w:val="475569"/>
                      <w:sz w:val="17"/>
                      <w:szCs w:val="17"/>
                    </w:rPr>
                    <w:lastRenderedPageBreak/>
                    <w:t>Custom Code Required — OAuth 2.0 Is Standard</w:t>
                  </w:r>
                </w:p>
              </w:tc>
            </w:tr>
          </w:tbl>
          <w:p w:rsidR="008D117E" w:rsidRDefault="008D117E"/>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7640"/>
      </w:tblGrid>
      <w:tr w:rsidR="008D117E">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shd w:val="clear" w:color="auto" w:fill="5B21B6"/>
            <w:tcMar>
              <w:top w:w="100" w:type="dxa"/>
              <w:left w:w="100" w:type="dxa"/>
              <w:bottom w:w="100" w:type="dxa"/>
              <w:right w:w="100" w:type="dxa"/>
            </w:tcMar>
          </w:tcPr>
          <w:p w:rsidR="008D117E" w:rsidRDefault="00D30FE3">
            <w:pPr>
              <w:jc w:val="center"/>
            </w:pPr>
            <w:r>
              <w:rPr>
                <w:b/>
                <w:bCs/>
                <w:color w:val="FFFFFF"/>
                <w:sz w:val="17"/>
                <w:szCs w:val="17"/>
              </w:rPr>
              <w:t>⚡</w:t>
            </w:r>
            <w:r>
              <w:rPr>
                <w:b/>
                <w:bCs/>
                <w:color w:val="FFFFFF"/>
                <w:sz w:val="17"/>
                <w:szCs w:val="17"/>
              </w:rPr>
              <w:t xml:space="preserve"> INNOVATION UNLOCKED</w:t>
            </w:r>
          </w:p>
        </w:tc>
        <w:tc>
          <w:tcPr>
            <w:tcW w:w="7640" w:type="dxa"/>
            <w:tcBorders>
              <w:top w:val="single" w:sz="1" w:space="0" w:color="CCCCCC"/>
              <w:left w:val="single" w:sz="1" w:space="0" w:color="CCCCCC"/>
              <w:bottom w:val="single" w:sz="1" w:space="0" w:color="CCCCCC"/>
              <w:right w:val="single" w:sz="1" w:space="0" w:color="CCCCCC"/>
            </w:tcBorders>
            <w:shd w:val="clear" w:color="auto" w:fill="F3E8FF"/>
            <w:tcMar>
              <w:top w:w="90" w:type="dxa"/>
              <w:left w:w="140" w:type="dxa"/>
              <w:bottom w:w="90" w:type="dxa"/>
              <w:right w:w="140" w:type="dxa"/>
            </w:tcMar>
          </w:tcPr>
          <w:p w:rsidR="008D117E" w:rsidRDefault="00D30FE3">
            <w:pPr>
              <w:spacing w:after="80"/>
            </w:pPr>
            <w:r>
              <w:rPr>
                <w:b/>
                <w:bCs/>
                <w:color w:val="5B21B6"/>
                <w:sz w:val="23"/>
                <w:szCs w:val="23"/>
              </w:rPr>
              <w:t>Innovation Unlocked — What Becomes Possible Once Consent Infrastructure Exists</w:t>
            </w:r>
          </w:p>
          <w:p w:rsidR="008D117E" w:rsidRDefault="00D30FE3">
            <w:pPr>
              <w:spacing w:after="50"/>
            </w:pPr>
            <w:r>
              <w:rPr>
                <w:b/>
                <w:bCs/>
                <w:color w:val="5B21B6"/>
              </w:rPr>
              <w:t>The Foundation for Every Patient-Facing FHIR Innovation</w:t>
            </w:r>
          </w:p>
          <w:p w:rsidR="008D117E" w:rsidRDefault="00D30FE3">
            <w:pPr>
              <w:pStyle w:val="ListParagraph"/>
              <w:numPr>
                <w:ilvl w:val="0"/>
                <w:numId w:val="2"/>
              </w:numPr>
              <w:spacing w:before="52" w:after="52"/>
            </w:pPr>
            <w:r>
              <w:rPr>
                <w:color w:val="1E293B"/>
              </w:rPr>
              <w:t xml:space="preserve">The Dynamic Consent Ledger is not just one of 32 ideas — it is the foundational infrastructure that makes the other 31 ideas legally defensible. CARIN Blue Button financial literacy, real-time care navigation, lifestyle integration, family coverage view — </w:t>
            </w:r>
            <w:r>
              <w:rPr>
                <w:color w:val="1E293B"/>
              </w:rPr>
              <w:t>every patient-facing FHIR idea requires structured patient consent to share data across systems. Without the consent ledger, these implementations rely on implicit consent that creates HIPAA exposure.</w:t>
            </w:r>
          </w:p>
          <w:p w:rsidR="008D117E" w:rsidRDefault="00D30FE3">
            <w:pPr>
              <w:pStyle w:val="ListParagraph"/>
              <w:numPr>
                <w:ilvl w:val="0"/>
                <w:numId w:val="2"/>
              </w:numPr>
              <w:spacing w:before="52" w:after="52"/>
            </w:pPr>
            <w:r>
              <w:rPr>
                <w:color w:val="1E293B"/>
              </w:rPr>
              <w:t>SMART on FHIR app authorisation — the mechanism that al</w:t>
            </w:r>
            <w:r>
              <w:rPr>
                <w:color w:val="1E293B"/>
              </w:rPr>
              <w:t>lows patients to connect health apps to their EHR — requires exactly the consent infrastructure the ledger provides. Apple Health Records, Epic MyChart, and every FHIR-connected third-party app depend on consent grants that the ledger manages, logs, and en</w:t>
            </w:r>
            <w:r>
              <w:rPr>
                <w:color w:val="1E293B"/>
              </w:rPr>
              <w:t>forces.</w:t>
            </w:r>
          </w:p>
          <w:p w:rsidR="008D117E" w:rsidRDefault="008D117E">
            <w:pPr>
              <w:spacing w:before="60"/>
            </w:pPr>
          </w:p>
          <w:p w:rsidR="008D117E" w:rsidRDefault="00D30FE3">
            <w:pPr>
              <w:spacing w:after="50"/>
            </w:pPr>
            <w:r>
              <w:rPr>
                <w:b/>
                <w:bCs/>
                <w:color w:val="5B21B6"/>
              </w:rPr>
              <w:t>Research and Precision Medicine</w:t>
            </w:r>
          </w:p>
          <w:p w:rsidR="008D117E" w:rsidRDefault="00D30FE3">
            <w:pPr>
              <w:pStyle w:val="ListParagraph"/>
              <w:numPr>
                <w:ilvl w:val="0"/>
                <w:numId w:val="2"/>
              </w:numPr>
              <w:spacing w:before="52" w:after="52"/>
            </w:pPr>
            <w:r>
              <w:rPr>
                <w:color w:val="1E293B"/>
              </w:rPr>
              <w:t>Precision research recruitment: researchers can identify and contact consented patients who have granted research access to their specific data type — with structured consent that specifies permitted uses and timefr</w:t>
            </w:r>
            <w:r>
              <w:rPr>
                <w:color w:val="1E293B"/>
              </w:rPr>
              <w:t>ames. Clinical trial recruitment compresses from 18–24 months to weeks for institutions with consent ledger infrastructure.</w:t>
            </w:r>
          </w:p>
          <w:p w:rsidR="008D117E" w:rsidRDefault="00D30FE3">
            <w:pPr>
              <w:pStyle w:val="ListParagraph"/>
              <w:numPr>
                <w:ilvl w:val="0"/>
                <w:numId w:val="2"/>
              </w:numPr>
              <w:spacing w:before="52" w:after="52"/>
            </w:pPr>
            <w:r>
              <w:rPr>
                <w:color w:val="1E293B"/>
              </w:rPr>
              <w:t>Longitudinal research cohorts become self-maintaining: patients who consent to ongoing research data sharing continue sharing as new</w:t>
            </w:r>
            <w:r>
              <w:rPr>
                <w:color w:val="1E293B"/>
              </w:rPr>
              <w:t xml:space="preserve"> data is generated — without requiring re-consent for every new data point. This transforms episodic research datasets into real-time longitudinal clinical intelligence.</w:t>
            </w:r>
          </w:p>
          <w:p w:rsidR="008D117E" w:rsidRDefault="00D30FE3">
            <w:pPr>
              <w:pStyle w:val="ListParagraph"/>
              <w:numPr>
                <w:ilvl w:val="0"/>
                <w:numId w:val="2"/>
              </w:numPr>
              <w:spacing w:before="52" w:after="52"/>
            </w:pPr>
            <w:r>
              <w:rPr>
                <w:color w:val="1E293B"/>
              </w:rPr>
              <w:t>Drug repurposing discovery: consented patient data shared with pharmaceutical research</w:t>
            </w:r>
            <w:r>
              <w:rPr>
                <w:color w:val="1E293B"/>
              </w:rPr>
              <w:t>ers reveals real-world outcome patterns invisible in clinical trial data — enabling drug repurposing discoveries that generate both research revenue and clinical benefit.</w:t>
            </w:r>
          </w:p>
          <w:p w:rsidR="008D117E" w:rsidRDefault="008D117E">
            <w:pPr>
              <w:spacing w:before="60"/>
            </w:pPr>
          </w:p>
          <w:p w:rsidR="008D117E" w:rsidRDefault="00D30FE3">
            <w:pPr>
              <w:spacing w:after="50"/>
            </w:pPr>
            <w:r>
              <w:rPr>
                <w:b/>
                <w:bCs/>
                <w:color w:val="5B21B6"/>
              </w:rPr>
              <w:t>Personalised Insurance and Wellness Products</w:t>
            </w:r>
          </w:p>
          <w:p w:rsidR="008D117E" w:rsidRDefault="00D30FE3">
            <w:pPr>
              <w:pStyle w:val="ListParagraph"/>
              <w:numPr>
                <w:ilvl w:val="0"/>
                <w:numId w:val="2"/>
              </w:numPr>
              <w:spacing w:before="52" w:after="52"/>
            </w:pPr>
            <w:r>
              <w:rPr>
                <w:color w:val="1E293B"/>
              </w:rPr>
              <w:t>Voluntary data sharing for personalised</w:t>
            </w:r>
            <w:r>
              <w:rPr>
                <w:color w:val="1E293B"/>
              </w:rPr>
              <w:t xml:space="preserve"> insurance products: patients who choose to share real-time clinical and wellness data with their insurer in exchange for premium benefits are making an informed, revocable consent decision. The consent ledger is the infrastructure that makes this a genuin</w:t>
            </w:r>
            <w:r>
              <w:rPr>
                <w:color w:val="1E293B"/>
              </w:rPr>
              <w:t>e value exchange rather than a surveillance relationship.</w:t>
            </w:r>
          </w:p>
          <w:p w:rsidR="008D117E" w:rsidRDefault="00D30FE3">
            <w:pPr>
              <w:pStyle w:val="ListParagraph"/>
              <w:numPr>
                <w:ilvl w:val="0"/>
                <w:numId w:val="2"/>
              </w:numPr>
              <w:spacing w:before="52" w:after="52"/>
            </w:pPr>
            <w:r>
              <w:rPr>
                <w:color w:val="1E293B"/>
              </w:rPr>
              <w:t>Caregiver structured access: the consent ledger creates the authorisation framework for structured caregiver data access — parents managing a minor's health, adult children managing elderly parents'</w:t>
            </w:r>
            <w:r>
              <w:rPr>
                <w:color w:val="1E293B"/>
              </w:rPr>
              <w:t xml:space="preserve"> care, legal guardians — that HIPAA's existing authorisation framework handles inadequately for digital health contexts.</w:t>
            </w:r>
          </w:p>
          <w:p w:rsidR="008D117E" w:rsidRDefault="00D30FE3">
            <w:pPr>
              <w:pStyle w:val="ListParagraph"/>
              <w:numPr>
                <w:ilvl w:val="0"/>
                <w:numId w:val="2"/>
              </w:numPr>
              <w:spacing w:before="52" w:after="52"/>
            </w:pPr>
            <w:r>
              <w:rPr>
                <w:color w:val="1E293B"/>
              </w:rPr>
              <w:t>Synthetic patient data generation: with appropriate consent, de-identified patient record structures from the consent ledger enable the creation of synthetic training data for clinical AI — enabling AI model development without the PHI exposure that curren</w:t>
            </w:r>
            <w:r>
              <w:rPr>
                <w:color w:val="1E293B"/>
              </w:rPr>
              <w:t>tly constrains healthcare AI research.</w:t>
            </w:r>
          </w:p>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B21B6"/>
            <w:tcMar>
              <w:top w:w="80" w:type="dxa"/>
              <w:left w:w="180" w:type="dxa"/>
              <w:bottom w:w="60" w:type="dxa"/>
              <w:right w:w="180" w:type="dxa"/>
            </w:tcMar>
          </w:tcPr>
          <w:p w:rsidR="008D117E" w:rsidRDefault="00D30FE3">
            <w:r>
              <w:rPr>
                <w:b/>
                <w:bCs/>
                <w:color w:val="FFFFFF"/>
                <w:sz w:val="20"/>
                <w:szCs w:val="20"/>
              </w:rPr>
              <w:lastRenderedPageBreak/>
              <w:t>ROI SNAPSHOT — Measurable Outcomes Within 12–24 Months of Deployment</w:t>
            </w:r>
          </w:p>
        </w:tc>
      </w:tr>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AFC"/>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17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5B21B6"/>
                      <w:sz w:val="38"/>
                      <w:szCs w:val="38"/>
                    </w:rPr>
                    <w:t>31 ideas</w:t>
                  </w:r>
                </w:p>
                <w:p w:rsidR="008D117E" w:rsidRDefault="00D30FE3">
                  <w:pPr>
                    <w:jc w:val="center"/>
                  </w:pPr>
                  <w:r>
                    <w:rPr>
                      <w:color w:val="475569"/>
                      <w:sz w:val="17"/>
                      <w:szCs w:val="17"/>
                    </w:rPr>
                    <w:t>Other FHIR Innovations Enabled by This Foundation</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5B21B6"/>
                      <w:sz w:val="38"/>
                      <w:szCs w:val="38"/>
                    </w:rPr>
                    <w:t>Weeks</w:t>
                  </w:r>
                </w:p>
                <w:p w:rsidR="008D117E" w:rsidRDefault="00D30FE3">
                  <w:pPr>
                    <w:jc w:val="center"/>
                  </w:pPr>
                  <w:r>
                    <w:rPr>
                      <w:color w:val="475569"/>
                      <w:sz w:val="17"/>
                      <w:szCs w:val="17"/>
                    </w:rPr>
                    <w:t>Research Recruitment (vs. 18–24 months)</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5B21B6"/>
                      <w:sz w:val="38"/>
                      <w:szCs w:val="38"/>
                    </w:rPr>
                    <w:t>$500K–$5M</w:t>
                  </w:r>
                </w:p>
                <w:p w:rsidR="008D117E" w:rsidRDefault="00D30FE3">
                  <w:pPr>
                    <w:jc w:val="center"/>
                  </w:pPr>
                  <w:r>
                    <w:rPr>
                      <w:color w:val="475569"/>
                      <w:sz w:val="17"/>
                      <w:szCs w:val="17"/>
                    </w:rPr>
                    <w:t>Research Revenue Per Consented Cohort</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5B21B6"/>
                      <w:sz w:val="38"/>
                      <w:szCs w:val="38"/>
                    </w:rPr>
                    <w:t>Self-maint</w:t>
                  </w:r>
                </w:p>
                <w:p w:rsidR="008D117E" w:rsidRDefault="00D30FE3">
                  <w:pPr>
                    <w:jc w:val="center"/>
                  </w:pPr>
                  <w:r>
                    <w:rPr>
                      <w:color w:val="475569"/>
                      <w:sz w:val="17"/>
                      <w:szCs w:val="17"/>
                    </w:rPr>
                    <w:t>Longitudinal Research Cohorts</w:t>
                  </w:r>
                </w:p>
              </w:tc>
            </w:tr>
          </w:tbl>
          <w:p w:rsidR="008D117E" w:rsidRDefault="008D117E"/>
        </w:tc>
      </w:tr>
    </w:tbl>
    <w:p w:rsidR="008D117E" w:rsidRDefault="00D30FE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7640"/>
      </w:tblGrid>
      <w:tr w:rsidR="008D117E">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shd w:val="clear" w:color="auto" w:fill="9F1239"/>
            <w:tcMar>
              <w:top w:w="100" w:type="dxa"/>
              <w:left w:w="100" w:type="dxa"/>
              <w:bottom w:w="100" w:type="dxa"/>
              <w:right w:w="100" w:type="dxa"/>
            </w:tcMar>
          </w:tcPr>
          <w:p w:rsidR="008D117E" w:rsidRDefault="00D30FE3">
            <w:pPr>
              <w:jc w:val="center"/>
            </w:pPr>
            <w:r>
              <w:rPr>
                <w:b/>
                <w:bCs/>
                <w:color w:val="FFFFFF"/>
                <w:sz w:val="17"/>
                <w:szCs w:val="17"/>
              </w:rPr>
              <w:lastRenderedPageBreak/>
              <w:t>📈</w:t>
            </w:r>
            <w:r>
              <w:rPr>
                <w:b/>
                <w:bCs/>
                <w:color w:val="FFFFFF"/>
                <w:sz w:val="17"/>
                <w:szCs w:val="17"/>
              </w:rPr>
              <w:t xml:space="preserve"> DATA &amp; ANALYTICS</w:t>
            </w:r>
          </w:p>
        </w:tc>
        <w:tc>
          <w:tcPr>
            <w:tcW w:w="7640" w:type="dxa"/>
            <w:tcBorders>
              <w:top w:val="single" w:sz="1" w:space="0" w:color="CCCCCC"/>
              <w:left w:val="single" w:sz="1" w:space="0" w:color="CCCCCC"/>
              <w:bottom w:val="single" w:sz="1" w:space="0" w:color="CCCCCC"/>
              <w:right w:val="single" w:sz="1" w:space="0" w:color="CCCCCC"/>
            </w:tcBorders>
            <w:shd w:val="clear" w:color="auto" w:fill="FFE4E6"/>
            <w:tcMar>
              <w:top w:w="90" w:type="dxa"/>
              <w:left w:w="140" w:type="dxa"/>
              <w:bottom w:w="90" w:type="dxa"/>
              <w:right w:w="140" w:type="dxa"/>
            </w:tcMar>
          </w:tcPr>
          <w:p w:rsidR="008D117E" w:rsidRDefault="00D30FE3">
            <w:pPr>
              <w:spacing w:after="80"/>
            </w:pPr>
            <w:r>
              <w:rPr>
                <w:b/>
                <w:bCs/>
                <w:color w:val="9F1239"/>
                <w:sz w:val="23"/>
                <w:szCs w:val="23"/>
              </w:rPr>
              <w:t>Data &amp; Analytics — The Intelligence the Consent Ledger Creates</w:t>
            </w:r>
          </w:p>
          <w:p w:rsidR="008D117E" w:rsidRDefault="00D30FE3">
            <w:pPr>
              <w:spacing w:after="50"/>
            </w:pPr>
            <w:r>
              <w:rPr>
                <w:b/>
                <w:bCs/>
                <w:color w:val="9F1239"/>
              </w:rPr>
              <w:t>Consent Behaviour as Clinical Intelligence</w:t>
            </w:r>
          </w:p>
          <w:p w:rsidR="008D117E" w:rsidRDefault="00D30FE3">
            <w:pPr>
              <w:pStyle w:val="ListParagraph"/>
              <w:numPr>
                <w:ilvl w:val="0"/>
                <w:numId w:val="2"/>
              </w:numPr>
              <w:spacing w:before="52" w:after="52"/>
            </w:pPr>
            <w:r>
              <w:rPr>
                <w:color w:val="1E293B"/>
              </w:rPr>
              <w:t>Every consent grant, modification, and revocation is a structured data event. The aggregate of these events is one of the most valuable behavioural datasets a health system has ever had access to: which providers patients trust with which data types, which</w:t>
            </w:r>
            <w:r>
              <w:rPr>
                <w:color w:val="1E293B"/>
              </w:rPr>
              <w:t xml:space="preserve"> apps patients engage with most, which consent changes correlate with care abandonment or adverse events.</w:t>
            </w:r>
          </w:p>
          <w:p w:rsidR="008D117E" w:rsidRDefault="00D30FE3">
            <w:pPr>
              <w:pStyle w:val="ListParagraph"/>
              <w:numPr>
                <w:ilvl w:val="0"/>
                <w:numId w:val="2"/>
              </w:numPr>
              <w:spacing w:before="52" w:after="52"/>
            </w:pPr>
            <w:r>
              <w:rPr>
                <w:color w:val="1E293B"/>
              </w:rPr>
              <w:t>Consent revocation as a clinical early warning signal: patients who revoke their PCP's access to their records frequently precede a care abandonment e</w:t>
            </w:r>
            <w:r>
              <w:rPr>
                <w:color w:val="1E293B"/>
              </w:rPr>
              <w:t>vent. Population-level analysis of revocation patterns by provider, condition, and patient demographic creates an early warning system for patient satisfaction issues that no survey would surface in time to act on.</w:t>
            </w:r>
          </w:p>
          <w:p w:rsidR="008D117E" w:rsidRDefault="00D30FE3">
            <w:pPr>
              <w:pStyle w:val="ListParagraph"/>
              <w:numPr>
                <w:ilvl w:val="0"/>
                <w:numId w:val="2"/>
              </w:numPr>
              <w:spacing w:before="52" w:after="52"/>
            </w:pPr>
            <w:r>
              <w:rPr>
                <w:color w:val="1E293B"/>
              </w:rPr>
              <w:t>Research participation analytics: trackin</w:t>
            </w:r>
            <w:r>
              <w:rPr>
                <w:color w:val="1E293B"/>
              </w:rPr>
              <w:t>g which patients consent to research and which decline — stratified by demographics, condition, and provider relationship — reveals the equity gaps in research participation that drive the generalisability limitations of clinical trials.</w:t>
            </w:r>
          </w:p>
          <w:p w:rsidR="008D117E" w:rsidRDefault="008D117E">
            <w:pPr>
              <w:spacing w:before="60"/>
            </w:pPr>
          </w:p>
          <w:p w:rsidR="008D117E" w:rsidRDefault="00D30FE3">
            <w:pPr>
              <w:spacing w:after="50"/>
            </w:pPr>
            <w:r>
              <w:rPr>
                <w:b/>
                <w:bCs/>
                <w:color w:val="9F1239"/>
              </w:rPr>
              <w:t xml:space="preserve">Regulatory Audit </w:t>
            </w:r>
            <w:r>
              <w:rPr>
                <w:b/>
                <w:bCs/>
                <w:color w:val="9F1239"/>
              </w:rPr>
              <w:t>and Compliance Analytics</w:t>
            </w:r>
          </w:p>
          <w:p w:rsidR="008D117E" w:rsidRDefault="00D30FE3">
            <w:pPr>
              <w:pStyle w:val="ListParagraph"/>
              <w:numPr>
                <w:ilvl w:val="0"/>
                <w:numId w:val="2"/>
              </w:numPr>
              <w:spacing w:before="52" w:after="52"/>
            </w:pPr>
            <w:r>
              <w:rPr>
                <w:color w:val="1E293B"/>
              </w:rPr>
              <w:t>OCR audit readiness transforms from reactive to instant: rather than reconstructing access histories when an audit occurs, the consent ledger provides a complete, structured, queryable access log. Audit response time drops from 2–4</w:t>
            </w:r>
            <w:r>
              <w:rPr>
                <w:color w:val="1E293B"/>
              </w:rPr>
              <w:t xml:space="preserve"> weeks to hours — with cryptographic verification that satisfies regulators more completely than manual records.</w:t>
            </w:r>
          </w:p>
          <w:p w:rsidR="008D117E" w:rsidRDefault="00D30FE3">
            <w:pPr>
              <w:pStyle w:val="ListParagraph"/>
              <w:numPr>
                <w:ilvl w:val="0"/>
                <w:numId w:val="2"/>
              </w:numPr>
              <w:spacing w:before="52" w:after="52"/>
            </w:pPr>
            <w:r>
              <w:rPr>
                <w:color w:val="1E293B"/>
              </w:rPr>
              <w:t>HIPAA access control effectiveness measurement becomes data-driven: what percentage of access requests are consented vs. non-consented? What is</w:t>
            </w:r>
            <w:r>
              <w:rPr>
                <w:color w:val="1E293B"/>
              </w:rPr>
              <w:t xml:space="preserve"> the average time between consent grant and first access? What percentage of revocations result in access attempts within the next 24 hours? These metrics quantify the consent ledger's effectiveness in ways that compliance assertions cannot.</w:t>
            </w:r>
          </w:p>
          <w:p w:rsidR="008D117E" w:rsidRDefault="00D30FE3">
            <w:pPr>
              <w:pStyle w:val="ListParagraph"/>
              <w:numPr>
                <w:ilvl w:val="0"/>
                <w:numId w:val="2"/>
              </w:numPr>
              <w:spacing w:before="52" w:after="52"/>
            </w:pPr>
            <w:r>
              <w:rPr>
                <w:color w:val="1E293B"/>
              </w:rPr>
              <w:t>Breach simulat</w:t>
            </w:r>
            <w:r>
              <w:rPr>
                <w:color w:val="1E293B"/>
              </w:rPr>
              <w:t>ion exercises: the complete access log enables tabletop breach simulation exercises that use actual access pattern data — significantly improving the quality and realism of incident response planning.</w:t>
            </w:r>
          </w:p>
          <w:p w:rsidR="008D117E" w:rsidRDefault="008D117E">
            <w:pPr>
              <w:spacing w:before="60"/>
            </w:pPr>
          </w:p>
          <w:p w:rsidR="008D117E" w:rsidRDefault="00D30FE3">
            <w:pPr>
              <w:spacing w:after="50"/>
            </w:pPr>
            <w:r>
              <w:rPr>
                <w:b/>
                <w:bCs/>
                <w:color w:val="9F1239"/>
              </w:rPr>
              <w:t>Population Health and Health Equity Analytics</w:t>
            </w:r>
          </w:p>
          <w:p w:rsidR="008D117E" w:rsidRDefault="00D30FE3">
            <w:pPr>
              <w:pStyle w:val="ListParagraph"/>
              <w:numPr>
                <w:ilvl w:val="0"/>
                <w:numId w:val="2"/>
              </w:numPr>
              <w:spacing w:before="52" w:after="52"/>
            </w:pPr>
            <w:r>
              <w:rPr>
                <w:color w:val="1E293B"/>
              </w:rPr>
              <w:t>Geographic and demographic consent pattern analysis identifies trust deficits: ZIP codes where patients consistently decline to share data with payers or specific provider types have a structural trust problem that has clinical consequences. This data is t</w:t>
            </w:r>
            <w:r>
              <w:rPr>
                <w:color w:val="1E293B"/>
              </w:rPr>
              <w:t>he starting point for targeted trust-building interventions.</w:t>
            </w:r>
          </w:p>
          <w:p w:rsidR="008D117E" w:rsidRDefault="00D30FE3">
            <w:pPr>
              <w:pStyle w:val="ListParagraph"/>
              <w:numPr>
                <w:ilvl w:val="0"/>
                <w:numId w:val="2"/>
              </w:numPr>
              <w:spacing w:before="52" w:after="52"/>
            </w:pPr>
            <w:r>
              <w:rPr>
                <w:color w:val="1E293B"/>
              </w:rPr>
              <w:t xml:space="preserve">Data provenance for AI model governance: every data point in a clinical AI model trained on consent-ledger-sourced data carries clear provenance — which patients consented, for what purpose, and </w:t>
            </w:r>
            <w:r>
              <w:rPr>
                <w:color w:val="1E293B"/>
              </w:rPr>
              <w:t>when. This provenance is increasingly required for AI model regulatory submissions and institutional review board approvals.</w:t>
            </w:r>
          </w:p>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9F1239"/>
            <w:tcMar>
              <w:top w:w="80" w:type="dxa"/>
              <w:left w:w="180" w:type="dxa"/>
              <w:bottom w:w="60" w:type="dxa"/>
              <w:right w:w="180" w:type="dxa"/>
            </w:tcMar>
          </w:tcPr>
          <w:p w:rsidR="008D117E" w:rsidRDefault="00D30FE3">
            <w:r>
              <w:rPr>
                <w:b/>
                <w:bCs/>
                <w:color w:val="FFFFFF"/>
                <w:sz w:val="20"/>
                <w:szCs w:val="20"/>
              </w:rPr>
              <w:t>ROI SNAPSHOT — Measurable Outcomes Within 12–24 Months of Deployment</w:t>
            </w:r>
          </w:p>
        </w:tc>
      </w:tr>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AFC"/>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17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F1239"/>
                      <w:sz w:val="38"/>
                      <w:szCs w:val="38"/>
                    </w:rPr>
                    <w:t>Instant</w:t>
                  </w:r>
                </w:p>
                <w:p w:rsidR="008D117E" w:rsidRDefault="00D30FE3">
                  <w:pPr>
                    <w:jc w:val="center"/>
                  </w:pPr>
                  <w:r>
                    <w:rPr>
                      <w:color w:val="475569"/>
                      <w:sz w:val="17"/>
                      <w:szCs w:val="17"/>
                    </w:rPr>
                    <w:lastRenderedPageBreak/>
                    <w:t>OCR Audit Response (vs. 2–4 Weeks)</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F1239"/>
                      <w:sz w:val="38"/>
                      <w:szCs w:val="38"/>
                    </w:rPr>
                    <w:lastRenderedPageBreak/>
                    <w:t>Revocation</w:t>
                  </w:r>
                </w:p>
                <w:p w:rsidR="008D117E" w:rsidRDefault="00D30FE3">
                  <w:pPr>
                    <w:jc w:val="center"/>
                  </w:pPr>
                  <w:r>
                    <w:rPr>
                      <w:color w:val="475569"/>
                      <w:sz w:val="17"/>
                      <w:szCs w:val="17"/>
                    </w:rPr>
                    <w:lastRenderedPageBreak/>
                    <w:t>= Early Warning for Care Abandonment</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F1239"/>
                      <w:sz w:val="38"/>
                      <w:szCs w:val="38"/>
                    </w:rPr>
                    <w:lastRenderedPageBreak/>
                    <w:t>Equity</w:t>
                  </w:r>
                </w:p>
                <w:p w:rsidR="008D117E" w:rsidRDefault="00D30FE3">
                  <w:pPr>
                    <w:jc w:val="center"/>
                  </w:pPr>
                  <w:r>
                    <w:rPr>
                      <w:color w:val="475569"/>
                      <w:sz w:val="17"/>
                      <w:szCs w:val="17"/>
                    </w:rPr>
                    <w:lastRenderedPageBreak/>
                    <w:t>Research Participation Gap Identification</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F1239"/>
                      <w:sz w:val="38"/>
                      <w:szCs w:val="38"/>
                    </w:rPr>
                    <w:lastRenderedPageBreak/>
                    <w:t>Provenance</w:t>
                  </w:r>
                </w:p>
                <w:p w:rsidR="008D117E" w:rsidRDefault="00D30FE3">
                  <w:pPr>
                    <w:jc w:val="center"/>
                  </w:pPr>
                  <w:r>
                    <w:rPr>
                      <w:color w:val="475569"/>
                      <w:sz w:val="17"/>
                      <w:szCs w:val="17"/>
                    </w:rPr>
                    <w:lastRenderedPageBreak/>
                    <w:t>For Every AI-Training Data Point</w:t>
                  </w:r>
                </w:p>
              </w:tc>
            </w:tr>
          </w:tbl>
          <w:p w:rsidR="008D117E" w:rsidRDefault="008D117E"/>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7640"/>
      </w:tblGrid>
      <w:tr w:rsidR="008D117E">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shd w:val="clear" w:color="auto" w:fill="9A3412"/>
            <w:tcMar>
              <w:top w:w="100" w:type="dxa"/>
              <w:left w:w="100" w:type="dxa"/>
              <w:bottom w:w="100" w:type="dxa"/>
              <w:right w:w="100" w:type="dxa"/>
            </w:tcMar>
          </w:tcPr>
          <w:p w:rsidR="008D117E" w:rsidRDefault="00D30FE3">
            <w:pPr>
              <w:jc w:val="center"/>
            </w:pPr>
            <w:r>
              <w:rPr>
                <w:b/>
                <w:bCs/>
                <w:color w:val="FFFFFF"/>
                <w:sz w:val="17"/>
                <w:szCs w:val="17"/>
              </w:rPr>
              <w:t>🏆</w:t>
            </w:r>
            <w:r>
              <w:rPr>
                <w:b/>
                <w:bCs/>
                <w:color w:val="FFFFFF"/>
                <w:sz w:val="17"/>
                <w:szCs w:val="17"/>
              </w:rPr>
              <w:t xml:space="preserve"> MARKET POSITION</w:t>
            </w:r>
          </w:p>
        </w:tc>
        <w:tc>
          <w:tcPr>
            <w:tcW w:w="7640" w:type="dxa"/>
            <w:tcBorders>
              <w:top w:val="single" w:sz="1" w:space="0" w:color="CCCCCC"/>
              <w:left w:val="single" w:sz="1" w:space="0" w:color="CCCCCC"/>
              <w:bottom w:val="single" w:sz="1" w:space="0" w:color="CCCCCC"/>
              <w:right w:val="single" w:sz="1" w:space="0" w:color="CCCCCC"/>
            </w:tcBorders>
            <w:shd w:val="clear" w:color="auto" w:fill="FFEDD5"/>
            <w:tcMar>
              <w:top w:w="90" w:type="dxa"/>
              <w:left w:w="140" w:type="dxa"/>
              <w:bottom w:w="90" w:type="dxa"/>
              <w:right w:w="140" w:type="dxa"/>
            </w:tcMar>
          </w:tcPr>
          <w:p w:rsidR="008D117E" w:rsidRDefault="00D30FE3">
            <w:pPr>
              <w:spacing w:after="80"/>
            </w:pPr>
            <w:r>
              <w:rPr>
                <w:b/>
                <w:bCs/>
                <w:color w:val="9A3412"/>
                <w:sz w:val="23"/>
                <w:szCs w:val="23"/>
              </w:rPr>
              <w:t>Market Position — Competitive Advantage Through Consent Leadership</w:t>
            </w:r>
          </w:p>
          <w:p w:rsidR="008D117E" w:rsidRDefault="00D30FE3">
            <w:pPr>
              <w:spacing w:after="50"/>
            </w:pPr>
            <w:r>
              <w:rPr>
                <w:b/>
                <w:bCs/>
                <w:color w:val="9A3412"/>
              </w:rPr>
              <w:t>Regulatory First-Mover in a Mandated Market</w:t>
            </w:r>
          </w:p>
          <w:p w:rsidR="008D117E" w:rsidRDefault="00D30FE3">
            <w:pPr>
              <w:pStyle w:val="ListParagraph"/>
              <w:numPr>
                <w:ilvl w:val="0"/>
                <w:numId w:val="2"/>
              </w:numPr>
              <w:spacing w:before="52" w:after="52"/>
            </w:pPr>
            <w:r>
              <w:rPr>
                <w:color w:val="1E293B"/>
              </w:rPr>
              <w:t>CMS-0057-F Patient Access API compliance is a regulatory mandate, not a competitive option. Every participating health system and health plan must build consent management infrastructure. Organisations that deplo</w:t>
            </w:r>
            <w:r>
              <w:rPr>
                <w:color w:val="1E293B"/>
              </w:rPr>
              <w:t>y the consent ledger now build operational expertise and patient trust that late adopters cannot replicate quickly. First movers accumulate 12–24 months of consent interaction data, system optimisation, and patient familiarity before competitors are forced</w:t>
            </w:r>
            <w:r>
              <w:rPr>
                <w:color w:val="1E293B"/>
              </w:rPr>
              <w:t xml:space="preserve"> to build under deadline pressure.</w:t>
            </w:r>
          </w:p>
          <w:p w:rsidR="008D117E" w:rsidRDefault="00D30FE3">
            <w:pPr>
              <w:pStyle w:val="ListParagraph"/>
              <w:numPr>
                <w:ilvl w:val="0"/>
                <w:numId w:val="2"/>
              </w:numPr>
              <w:spacing w:before="52" w:after="52"/>
            </w:pPr>
            <w:r>
              <w:rPr>
                <w:color w:val="1E293B"/>
              </w:rPr>
              <w:t xml:space="preserve">ONC Information Blocking compliance is monitored and enforced. Organisations with documented, functioning consent management systems demonstrate compliance evidence that organisations without them cannot. OIG enforcement </w:t>
            </w:r>
            <w:r>
              <w:rPr>
                <w:color w:val="1E293B"/>
              </w:rPr>
              <w:t>actions for Information Blocking violations carry penalties of up to $1 million per violation — making the regulatory risk of inaction quantifiable.</w:t>
            </w:r>
          </w:p>
          <w:p w:rsidR="008D117E" w:rsidRDefault="00D30FE3">
            <w:pPr>
              <w:pStyle w:val="ListParagraph"/>
              <w:numPr>
                <w:ilvl w:val="0"/>
                <w:numId w:val="2"/>
              </w:numPr>
              <w:spacing w:before="52" w:after="52"/>
            </w:pPr>
            <w:r>
              <w:rPr>
                <w:color w:val="1E293B"/>
              </w:rPr>
              <w:t>Change Healthcare's 2024 breach — exposing 184 million patient records — made data protection a top patient</w:t>
            </w:r>
            <w:r>
              <w:rPr>
                <w:color w:val="1E293B"/>
              </w:rPr>
              <w:t xml:space="preserve"> selection criterion. A health system that can credibly say 'you control exactly who sees your data, and every decision is permanently recorded' occupies a market position that competitors making no such promise cannot match.</w:t>
            </w:r>
          </w:p>
          <w:p w:rsidR="008D117E" w:rsidRDefault="008D117E">
            <w:pPr>
              <w:spacing w:before="60"/>
            </w:pPr>
          </w:p>
          <w:p w:rsidR="008D117E" w:rsidRDefault="00D30FE3">
            <w:pPr>
              <w:spacing w:after="50"/>
            </w:pPr>
            <w:r>
              <w:rPr>
                <w:b/>
                <w:bCs/>
                <w:color w:val="9A3412"/>
              </w:rPr>
              <w:t>Research, Academic, and Pharm</w:t>
            </w:r>
            <w:r>
              <w:rPr>
                <w:b/>
                <w:bCs/>
                <w:color w:val="9A3412"/>
              </w:rPr>
              <w:t>aceutical Partnerships</w:t>
            </w:r>
          </w:p>
          <w:p w:rsidR="008D117E" w:rsidRDefault="00D30FE3">
            <w:pPr>
              <w:pStyle w:val="ListParagraph"/>
              <w:numPr>
                <w:ilvl w:val="0"/>
                <w:numId w:val="2"/>
              </w:numPr>
              <w:spacing w:before="52" w:after="52"/>
            </w:pPr>
            <w:r>
              <w:rPr>
                <w:color w:val="1E293B"/>
              </w:rPr>
              <w:t>NIH Clinical and Translational Science Award (CTSA) applications increasingly weight consent infrastructure quality as a selection criterion. Institutions with FHIR-based dynamic consent are preferred partners for multi-site trials — generating indirect re</w:t>
            </w:r>
            <w:r>
              <w:rPr>
                <w:color w:val="1E293B"/>
              </w:rPr>
              <w:t>search revenue and academic reputation that compounds annually.</w:t>
            </w:r>
          </w:p>
          <w:p w:rsidR="008D117E" w:rsidRDefault="00D30FE3">
            <w:pPr>
              <w:pStyle w:val="ListParagraph"/>
              <w:numPr>
                <w:ilvl w:val="0"/>
                <w:numId w:val="2"/>
              </w:numPr>
              <w:spacing w:before="52" w:after="52"/>
            </w:pPr>
            <w:r>
              <w:rPr>
                <w:color w:val="1E293B"/>
              </w:rPr>
              <w:t>Pharmaceutical partnerships: $500K–$5M per consented cohort for observational research access. Drug developers specifically seek institutions whose consent architecture satisfies FDA's real-wo</w:t>
            </w:r>
            <w:r>
              <w:rPr>
                <w:color w:val="1E293B"/>
              </w:rPr>
              <w:t>rld evidence framework and IRB requirements for ongoing consent management.</w:t>
            </w:r>
          </w:p>
          <w:p w:rsidR="008D117E" w:rsidRDefault="00D30FE3">
            <w:pPr>
              <w:pStyle w:val="ListParagraph"/>
              <w:numPr>
                <w:ilvl w:val="0"/>
                <w:numId w:val="2"/>
              </w:numPr>
              <w:spacing w:before="52" w:after="52"/>
            </w:pPr>
            <w:r>
              <w:rPr>
                <w:color w:val="1E293B"/>
              </w:rPr>
              <w:t>Employer group differentiation: self-funded employers — particularly in technology, financial services, and professional services — increasingly weight patient data governance qual</w:t>
            </w:r>
            <w:r>
              <w:rPr>
                <w:color w:val="1E293B"/>
              </w:rPr>
              <w:t>ity in health plan selection for their workforce. A demonstrable Dynamic Consent Ledger is a plan differentiator in competitive employer group procurement.</w:t>
            </w:r>
          </w:p>
          <w:p w:rsidR="008D117E" w:rsidRDefault="008D117E">
            <w:pPr>
              <w:spacing w:before="60"/>
            </w:pPr>
          </w:p>
          <w:p w:rsidR="008D117E" w:rsidRDefault="00D30FE3">
            <w:pPr>
              <w:spacing w:after="50"/>
            </w:pPr>
            <w:r>
              <w:rPr>
                <w:b/>
                <w:bCs/>
                <w:color w:val="9A3412"/>
              </w:rPr>
              <w:t>The Risk of Inaction</w:t>
            </w:r>
          </w:p>
          <w:p w:rsidR="008D117E" w:rsidRDefault="00D30FE3">
            <w:pPr>
              <w:pStyle w:val="ListParagraph"/>
              <w:numPr>
                <w:ilvl w:val="0"/>
                <w:numId w:val="2"/>
              </w:numPr>
              <w:spacing w:before="52" w:after="52"/>
            </w:pPr>
            <w:r>
              <w:rPr>
                <w:color w:val="1E293B"/>
              </w:rPr>
              <w:t>Technology companies — Apple Health Records, Google Health, Amazon Health — ar</w:t>
            </w:r>
            <w:r>
              <w:rPr>
                <w:color w:val="1E293B"/>
              </w:rPr>
              <w:t>e building consumer-facing health data platforms with consent characteristics. Patients whose health systems do not offer FHIR-based consent management are connecting their data to consumer platforms that are not EHR-integrated and not HIPAA-architected. T</w:t>
            </w:r>
            <w:r>
              <w:rPr>
                <w:color w:val="1E293B"/>
              </w:rPr>
              <w:t>he organisation that does not build consent infrastructure cedes control of patient data relationships to consumer technology companies.</w:t>
            </w:r>
          </w:p>
          <w:p w:rsidR="008D117E" w:rsidRDefault="00D30FE3">
            <w:pPr>
              <w:pStyle w:val="ListParagraph"/>
              <w:numPr>
                <w:ilvl w:val="0"/>
                <w:numId w:val="2"/>
              </w:numPr>
              <w:spacing w:before="52" w:after="52"/>
            </w:pPr>
            <w:r>
              <w:rPr>
                <w:color w:val="1E293B"/>
              </w:rPr>
              <w:lastRenderedPageBreak/>
              <w:t>Each quarter of delay is a quarter of operational data, patient familiarity, and regulatory goodwill that competitors a</w:t>
            </w:r>
            <w:r>
              <w:rPr>
                <w:color w:val="1E293B"/>
              </w:rPr>
              <w:t>re accumulating. The consent ledger is not a technology that benefits from waiting — it benefits from being first.</w:t>
            </w:r>
          </w:p>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0"/>
      </w:tblGrid>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9A3412"/>
            <w:tcMar>
              <w:top w:w="80" w:type="dxa"/>
              <w:left w:w="180" w:type="dxa"/>
              <w:bottom w:w="60" w:type="dxa"/>
              <w:right w:w="180" w:type="dxa"/>
            </w:tcMar>
          </w:tcPr>
          <w:p w:rsidR="008D117E" w:rsidRDefault="00D30FE3">
            <w:r>
              <w:rPr>
                <w:b/>
                <w:bCs/>
                <w:color w:val="FFFFFF"/>
                <w:sz w:val="20"/>
                <w:szCs w:val="20"/>
              </w:rPr>
              <w:t>ROI SNAPSHOT — Measurable Outcomes Within 12–24 Months of Deployment</w:t>
            </w:r>
          </w:p>
        </w:tc>
      </w:tr>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AFC"/>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D117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A3412"/>
                      <w:sz w:val="38"/>
                      <w:szCs w:val="38"/>
                    </w:rPr>
                    <w:t>$1M</w:t>
                  </w:r>
                </w:p>
                <w:p w:rsidR="008D117E" w:rsidRDefault="00D30FE3">
                  <w:pPr>
                    <w:jc w:val="center"/>
                  </w:pPr>
                  <w:r>
                    <w:rPr>
                      <w:color w:val="475569"/>
                      <w:sz w:val="17"/>
                      <w:szCs w:val="17"/>
                    </w:rPr>
                    <w:t>Max OIG Penalty Per Information Blocking Violation</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A3412"/>
                      <w:sz w:val="38"/>
                      <w:szCs w:val="38"/>
                    </w:rPr>
                    <w:t>184M</w:t>
                  </w:r>
                </w:p>
                <w:p w:rsidR="008D117E" w:rsidRDefault="00D30FE3">
                  <w:pPr>
                    <w:jc w:val="center"/>
                  </w:pPr>
                  <w:r>
                    <w:rPr>
                      <w:color w:val="475569"/>
                      <w:sz w:val="17"/>
                      <w:szCs w:val="17"/>
                    </w:rPr>
                    <w:t>Records in Change Healthcare Breach — Patient Concern is Real</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A3412"/>
                      <w:sz w:val="38"/>
                      <w:szCs w:val="38"/>
                    </w:rPr>
                    <w:t>12–24mo</w:t>
                  </w:r>
                </w:p>
                <w:p w:rsidR="008D117E" w:rsidRDefault="00D30FE3">
                  <w:pPr>
                    <w:jc w:val="center"/>
                  </w:pPr>
                  <w:r>
                    <w:rPr>
                      <w:color w:val="475569"/>
                      <w:sz w:val="17"/>
                      <w:szCs w:val="17"/>
                    </w:rPr>
                    <w:t>First-Mover Operational Advantage Window</w:t>
                  </w:r>
                </w:p>
              </w:tc>
              <w:tc>
                <w:tcPr>
                  <w:tcW w:w="2340" w:type="dxa"/>
                  <w:tcBorders>
                    <w:top w:val="none" w:sz="0" w:space="0" w:color="FFFFFF"/>
                    <w:left w:val="none" w:sz="0" w:space="0" w:color="FFFFFF"/>
                    <w:bottom w:val="none" w:sz="0" w:space="0" w:color="FFFFFF"/>
                    <w:right w:val="none" w:sz="0" w:space="0" w:color="FFFFFF"/>
                  </w:tcBorders>
                  <w:shd w:val="clear" w:color="auto" w:fill="F8FAFC"/>
                  <w:tcMar>
                    <w:top w:w="100" w:type="dxa"/>
                    <w:left w:w="80" w:type="dxa"/>
                    <w:bottom w:w="100" w:type="dxa"/>
                    <w:right w:w="80" w:type="dxa"/>
                  </w:tcMar>
                </w:tcPr>
                <w:p w:rsidR="008D117E" w:rsidRDefault="00D30FE3">
                  <w:pPr>
                    <w:spacing w:after="30"/>
                    <w:jc w:val="center"/>
                  </w:pPr>
                  <w:r>
                    <w:rPr>
                      <w:b/>
                      <w:bCs/>
                      <w:color w:val="9A3412"/>
                      <w:sz w:val="38"/>
                      <w:szCs w:val="38"/>
                    </w:rPr>
                    <w:t>First</w:t>
                  </w:r>
                </w:p>
                <w:p w:rsidR="008D117E" w:rsidRDefault="00D30FE3">
                  <w:pPr>
                    <w:jc w:val="center"/>
                  </w:pPr>
                  <w:r>
                    <w:rPr>
                      <w:color w:val="475569"/>
                      <w:sz w:val="17"/>
                      <w:szCs w:val="17"/>
                    </w:rPr>
                    <w:t>Consent Infrastructure Compounds Annually</w:t>
                  </w:r>
                </w:p>
              </w:tc>
            </w:tr>
          </w:tbl>
          <w:p w:rsidR="008D117E" w:rsidRDefault="008D117E"/>
        </w:tc>
      </w:tr>
    </w:tbl>
    <w:p w:rsidR="008D117E" w:rsidRDefault="00D30FE3">
      <w:r>
        <w:br w:type="page"/>
      </w:r>
    </w:p>
    <w:p w:rsidR="008D117E" w:rsidRDefault="00D30FE3">
      <w:pPr>
        <w:pStyle w:val="Heading1"/>
        <w:pBdr>
          <w:bottom w:val="single" w:sz="6" w:space="4" w:color="1D4ED8"/>
        </w:pBdr>
      </w:pPr>
      <w:r>
        <w:lastRenderedPageBreak/>
        <w:t>Summary — The Dynamic Consent Ledger Transformation at a Glance</w:t>
      </w:r>
    </w:p>
    <w:p w:rsidR="008D117E" w:rsidRDefault="00D30FE3">
      <w:pPr>
        <w:spacing w:before="60" w:after="60"/>
      </w:pPr>
      <w:r>
        <w:rPr>
          <w:color w:val="1E293B"/>
        </w:rPr>
        <w:t>When the Dynamic Consent Ledger is fully implemented, these are the measurable changes across every dimension of health system and health plan performance:</w:t>
      </w:r>
    </w:p>
    <w:p w:rsidR="008D117E" w:rsidRDefault="008D117E">
      <w:pPr>
        <w:spacing w:before="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8D117E">
        <w:tblPrEx>
          <w:tblCellMar>
            <w:top w:w="0" w:type="dxa"/>
            <w:bottom w:w="0" w:type="dxa"/>
          </w:tblCellMar>
        </w:tblPrEx>
        <w:tc>
          <w:tcPr>
            <w:tcW w:w="2200" w:type="dxa"/>
            <w:tcBorders>
              <w:top w:val="single" w:sz="1" w:space="0" w:color="888888"/>
              <w:left w:val="single" w:sz="1" w:space="0" w:color="888888"/>
              <w:bottom w:val="single" w:sz="1" w:space="0" w:color="888888"/>
              <w:right w:val="single" w:sz="1" w:space="0" w:color="888888"/>
            </w:tcBorders>
            <w:shd w:val="clear" w:color="auto" w:fill="0F2C5E"/>
            <w:tcMar>
              <w:top w:w="90" w:type="dxa"/>
              <w:left w:w="110" w:type="dxa"/>
              <w:bottom w:w="90" w:type="dxa"/>
              <w:right w:w="110" w:type="dxa"/>
            </w:tcMar>
          </w:tcPr>
          <w:p w:rsidR="008D117E" w:rsidRDefault="00D30FE3">
            <w:pPr>
              <w:jc w:val="center"/>
            </w:pPr>
            <w:r>
              <w:rPr>
                <w:b/>
                <w:bCs/>
                <w:color w:val="FFFFFF"/>
                <w:sz w:val="20"/>
                <w:szCs w:val="20"/>
              </w:rPr>
              <w:t>Dimension</w:t>
            </w:r>
          </w:p>
        </w:tc>
        <w:tc>
          <w:tcPr>
            <w:tcW w:w="3580" w:type="dxa"/>
            <w:tcBorders>
              <w:top w:val="single" w:sz="1" w:space="0" w:color="888888"/>
              <w:left w:val="single" w:sz="1" w:space="0" w:color="888888"/>
              <w:bottom w:val="single" w:sz="1" w:space="0" w:color="888888"/>
              <w:right w:val="single" w:sz="1" w:space="0" w:color="888888"/>
            </w:tcBorders>
            <w:shd w:val="clear" w:color="auto" w:fill="0F2C5E"/>
            <w:tcMar>
              <w:top w:w="90" w:type="dxa"/>
              <w:left w:w="110" w:type="dxa"/>
              <w:bottom w:w="90" w:type="dxa"/>
              <w:right w:w="110" w:type="dxa"/>
            </w:tcMar>
          </w:tcPr>
          <w:p w:rsidR="008D117E" w:rsidRDefault="00D30FE3">
            <w:pPr>
              <w:jc w:val="center"/>
            </w:pPr>
            <w:r>
              <w:rPr>
                <w:b/>
                <w:bCs/>
                <w:color w:val="FFFFFF"/>
                <w:sz w:val="20"/>
                <w:szCs w:val="20"/>
              </w:rPr>
              <w:t>Before Dynamic Consent Ledger</w:t>
            </w:r>
          </w:p>
        </w:tc>
        <w:tc>
          <w:tcPr>
            <w:tcW w:w="3580" w:type="dxa"/>
            <w:tcBorders>
              <w:top w:val="single" w:sz="1" w:space="0" w:color="888888"/>
              <w:left w:val="single" w:sz="1" w:space="0" w:color="888888"/>
              <w:bottom w:val="single" w:sz="1" w:space="0" w:color="888888"/>
              <w:right w:val="single" w:sz="1" w:space="0" w:color="888888"/>
            </w:tcBorders>
            <w:shd w:val="clear" w:color="auto" w:fill="0F2C5E"/>
            <w:tcMar>
              <w:top w:w="90" w:type="dxa"/>
              <w:left w:w="110" w:type="dxa"/>
              <w:bottom w:w="90" w:type="dxa"/>
              <w:right w:w="110" w:type="dxa"/>
            </w:tcMar>
          </w:tcPr>
          <w:p w:rsidR="008D117E" w:rsidRDefault="00D30FE3">
            <w:pPr>
              <w:jc w:val="center"/>
            </w:pPr>
            <w:r>
              <w:rPr>
                <w:b/>
                <w:bCs/>
                <w:color w:val="FFFFFF"/>
                <w:sz w:val="20"/>
                <w:szCs w:val="20"/>
              </w:rPr>
              <w:t>After Implementation</w:t>
            </w:r>
          </w:p>
        </w:tc>
      </w:tr>
      <w:tr w:rsidR="008D117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b/>
                <w:bCs/>
                <w:color w:val="0F2C5E"/>
                <w:sz w:val="19"/>
                <w:szCs w:val="19"/>
              </w:rPr>
              <w:t>RCM Impact</w:t>
            </w:r>
          </w:p>
        </w:tc>
        <w:tc>
          <w:tcPr>
            <w:tcW w:w="35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color w:val="1E293B"/>
                <w:sz w:val="19"/>
                <w:szCs w:val="19"/>
              </w:rPr>
              <w:t>Documentation denials 10–18%; ROI dept overloaded; PA cycle 5–14 days</w:t>
            </w:r>
          </w:p>
        </w:tc>
        <w:tc>
          <w:tcPr>
            <w:tcW w:w="35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color w:val="1E293B"/>
                <w:sz w:val="19"/>
                <w:szCs w:val="19"/>
              </w:rPr>
              <w:t>Documentation denials -15–22%; ROI workload -40–60%; PA cycle same-day</w:t>
            </w:r>
          </w:p>
        </w:tc>
      </w:tr>
      <w:tr w:rsidR="008D117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b/>
                <w:bCs/>
                <w:color w:val="0F2C5E"/>
                <w:sz w:val="19"/>
                <w:szCs w:val="19"/>
              </w:rPr>
              <w:t>Financial Outcomes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color w:val="1E293B"/>
                <w:sz w:val="19"/>
                <w:szCs w:val="19"/>
              </w:rPr>
              <w:t>Breach liability unquantified; ROI costs uncaptured; research revenue inaccessible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color w:val="1E293B"/>
                <w:sz w:val="19"/>
                <w:szCs w:val="19"/>
              </w:rPr>
              <w:t>$10.9M breach avoidance; $450–600K ROI savings/yr; $500K–$5M research revenue</w:t>
            </w:r>
          </w:p>
        </w:tc>
      </w:tr>
      <w:tr w:rsidR="008D117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b/>
                <w:bCs/>
                <w:color w:val="0F2C5E"/>
                <w:sz w:val="19"/>
                <w:szCs w:val="19"/>
              </w:rPr>
              <w:t>Operational Shift</w:t>
            </w:r>
          </w:p>
        </w:tc>
        <w:tc>
          <w:tcPr>
            <w:tcW w:w="35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color w:val="1E293B"/>
                <w:sz w:val="19"/>
                <w:szCs w:val="19"/>
              </w:rPr>
              <w:t>3–5 day referral record transfer; 2–4 week OCR audit prep; paper consent at check-in</w:t>
            </w:r>
          </w:p>
        </w:tc>
        <w:tc>
          <w:tcPr>
            <w:tcW w:w="35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color w:val="1E293B"/>
                <w:sz w:val="19"/>
                <w:szCs w:val="19"/>
              </w:rPr>
              <w:t>Same-day consent-enabled transfer; instant OCR audit response; consent pre-checked at scheduling</w:t>
            </w:r>
          </w:p>
        </w:tc>
      </w:tr>
      <w:tr w:rsidR="008D117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b/>
                <w:bCs/>
                <w:color w:val="0F2C5E"/>
                <w:sz w:val="19"/>
                <w:szCs w:val="19"/>
              </w:rPr>
              <w:t>Patient Experience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color w:val="1E293B"/>
                <w:sz w:val="19"/>
                <w:szCs w:val="19"/>
              </w:rPr>
              <w:t>Opaque data access; 35% withhold clinical info; second-opinion friction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color w:val="1E293B"/>
                <w:sz w:val="19"/>
                <w:szCs w:val="19"/>
              </w:rPr>
              <w:t>Transparent consent control; 8–12pt HCAHPS gain; friction-free second opinions</w:t>
            </w:r>
          </w:p>
        </w:tc>
      </w:tr>
      <w:tr w:rsidR="008D117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b/>
                <w:bCs/>
                <w:color w:val="0F2C5E"/>
                <w:sz w:val="19"/>
                <w:szCs w:val="19"/>
              </w:rPr>
              <w:t>Risk &amp; Compliance</w:t>
            </w:r>
          </w:p>
        </w:tc>
        <w:tc>
          <w:tcPr>
            <w:tcW w:w="35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color w:val="1E293B"/>
                <w:sz w:val="19"/>
                <w:szCs w:val="19"/>
              </w:rPr>
              <w:t>Reactive breach response; ONC exposure; CMS-0057-F mandate unmet</w:t>
            </w:r>
          </w:p>
        </w:tc>
        <w:tc>
          <w:tcPr>
            <w:tcW w:w="35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color w:val="1E293B"/>
                <w:sz w:val="19"/>
                <w:szCs w:val="19"/>
              </w:rPr>
              <w:t>Proactive consent control; ONC documented; Jan 2026 CMS deadline met</w:t>
            </w:r>
          </w:p>
        </w:tc>
      </w:tr>
      <w:tr w:rsidR="008D117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b/>
                <w:bCs/>
                <w:color w:val="0F2C5E"/>
                <w:sz w:val="19"/>
                <w:szCs w:val="19"/>
              </w:rPr>
              <w:t>Payer Dynamics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color w:val="1E293B"/>
                <w:sz w:val="19"/>
                <w:szCs w:val="19"/>
              </w:rPr>
              <w:t>PA adversarial; HCC data gaps; shared savings disputed 6–12 months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color w:val="1E293B"/>
                <w:sz w:val="19"/>
                <w:szCs w:val="19"/>
              </w:rPr>
              <w:t>PA evidence-based; HCC complete; shared savings transparent and auditable</w:t>
            </w:r>
          </w:p>
        </w:tc>
      </w:tr>
      <w:tr w:rsidR="008D117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b/>
                <w:bCs/>
                <w:color w:val="0F2C5E"/>
                <w:sz w:val="19"/>
                <w:szCs w:val="19"/>
              </w:rPr>
              <w:t>Staff &amp; Workflow</w:t>
            </w:r>
          </w:p>
        </w:tc>
        <w:tc>
          <w:tcPr>
            <w:tcW w:w="35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color w:val="1E293B"/>
                <w:sz w:val="19"/>
                <w:szCs w:val="19"/>
              </w:rPr>
              <w:t>ROI manual overload; clinical staff coordinate records manually</w:t>
            </w:r>
          </w:p>
        </w:tc>
        <w:tc>
          <w:tcPr>
            <w:tcW w:w="35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color w:val="1E293B"/>
                <w:sz w:val="19"/>
                <w:szCs w:val="19"/>
              </w:rPr>
              <w:t>ROI workload -40–60%; clinical staff freed from coordination; IT standardised</w:t>
            </w:r>
          </w:p>
        </w:tc>
      </w:tr>
      <w:tr w:rsidR="008D117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b/>
                <w:bCs/>
                <w:color w:val="0F2C5E"/>
                <w:sz w:val="19"/>
                <w:szCs w:val="19"/>
              </w:rPr>
              <w:t>Innovation Unlocked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color w:val="1E293B"/>
                <w:sz w:val="19"/>
                <w:szCs w:val="19"/>
              </w:rPr>
              <w:t>31 other FHIR ideas without legal foundation; research recruitment 18–24 months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color w:val="1E293B"/>
                <w:sz w:val="19"/>
                <w:szCs w:val="19"/>
              </w:rPr>
              <w:t>All 31 ideas enabled; research recruitment in weeks; synthetic data generation</w:t>
            </w:r>
          </w:p>
        </w:tc>
      </w:tr>
      <w:tr w:rsidR="008D117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b/>
                <w:bCs/>
                <w:color w:val="0F2C5E"/>
                <w:sz w:val="19"/>
                <w:szCs w:val="19"/>
              </w:rPr>
              <w:t>Data &amp; Analytics</w:t>
            </w:r>
          </w:p>
        </w:tc>
        <w:tc>
          <w:tcPr>
            <w:tcW w:w="35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color w:val="1E293B"/>
                <w:sz w:val="19"/>
                <w:szCs w:val="19"/>
              </w:rPr>
              <w:t>Access history reconstruction takes weeks; consent behaviour unmeasured</w:t>
            </w:r>
          </w:p>
        </w:tc>
        <w:tc>
          <w:tcPr>
            <w:tcW w:w="35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10" w:type="dxa"/>
              <w:bottom w:w="80" w:type="dxa"/>
              <w:right w:w="110" w:type="dxa"/>
            </w:tcMar>
          </w:tcPr>
          <w:p w:rsidR="008D117E" w:rsidRDefault="00D30FE3">
            <w:r>
              <w:rPr>
                <w:color w:val="1E293B"/>
                <w:sz w:val="19"/>
                <w:szCs w:val="19"/>
              </w:rPr>
              <w:t>Instant audit query; consent revocation = clinical early warning signal</w:t>
            </w:r>
          </w:p>
        </w:tc>
      </w:tr>
      <w:tr w:rsidR="008D117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b/>
                <w:bCs/>
                <w:color w:val="0F2C5E"/>
                <w:sz w:val="19"/>
                <w:szCs w:val="19"/>
              </w:rPr>
              <w:t>Market Position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color w:val="1E293B"/>
                <w:sz w:val="19"/>
                <w:szCs w:val="19"/>
              </w:rPr>
              <w:t>CMS enforcement exposure; consumer tech claiming patient data relationships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rsidR="008D117E" w:rsidRDefault="00D30FE3">
            <w:r>
              <w:rPr>
                <w:color w:val="1E293B"/>
                <w:sz w:val="19"/>
                <w:szCs w:val="19"/>
              </w:rPr>
              <w:t>Regulatory leadership; $500K–$5M research revenue; consumer tech displaced</w:t>
            </w:r>
          </w:p>
        </w:tc>
      </w:tr>
    </w:tbl>
    <w:p w:rsidR="008D117E" w:rsidRDefault="008D1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17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C5E"/>
            <w:tcMar>
              <w:top w:w="200" w:type="dxa"/>
              <w:left w:w="280" w:type="dxa"/>
              <w:bottom w:w="200" w:type="dxa"/>
              <w:right w:w="280" w:type="dxa"/>
            </w:tcMar>
          </w:tcPr>
          <w:p w:rsidR="008D117E" w:rsidRDefault="00D30FE3">
            <w:pPr>
              <w:spacing w:after="80"/>
              <w:jc w:val="center"/>
            </w:pPr>
            <w:r>
              <w:rPr>
                <w:b/>
                <w:bCs/>
                <w:color w:val="BFDBFE"/>
                <w:sz w:val="24"/>
                <w:szCs w:val="24"/>
              </w:rPr>
              <w:t>The Dynamic Consent Ledger is not an EHR feature.</w:t>
            </w:r>
          </w:p>
          <w:p w:rsidR="008D117E" w:rsidRDefault="00D30FE3">
            <w:pPr>
              <w:jc w:val="center"/>
            </w:pPr>
            <w:r>
              <w:rPr>
                <w:color w:val="93C5FD"/>
                <w:sz w:val="20"/>
                <w:szCs w:val="20"/>
              </w:rPr>
              <w:t>It is the legal and technical foundation that makes every patient-facing digital health initiative defensible, every payer relationship trustworthy, and every research partnership possible. It is Idea #1 for a reason.</w:t>
            </w:r>
          </w:p>
        </w:tc>
      </w:tr>
    </w:tbl>
    <w:p w:rsidR="00D30FE3" w:rsidRDefault="00D30FE3"/>
    <w:sectPr w:rsidR="00D30FE3">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0FE3" w:rsidRDefault="00D30FE3">
      <w:r>
        <w:separator/>
      </w:r>
    </w:p>
  </w:endnote>
  <w:endnote w:type="continuationSeparator" w:id="0">
    <w:p w:rsidR="00D30FE3" w:rsidRDefault="00D30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117E" w:rsidRDefault="00D30FE3">
    <w:pPr>
      <w:pBdr>
        <w:top w:val="single" w:sz="4" w:space="4" w:color="1D4ED8"/>
      </w:pBdr>
    </w:pPr>
    <w:r>
      <w:rPr>
        <w:color w:val="94A3B8"/>
        <w:sz w:val="14"/>
        <w:szCs w:val="14"/>
      </w:rPr>
      <w:t>EHR Innovation Series  ·  32 FHIR Ideas  ·  For Health System Leaders &amp; Innovation Teams  ·  Confidential</w:t>
    </w:r>
    <w:r>
      <w:rPr>
        <w:color w:val="94A3B8"/>
        <w:sz w:val="15"/>
        <w:szCs w:val="15"/>
      </w:rPr>
      <w:t xml:space="preserve">    Page </w:t>
    </w:r>
    <w:r>
      <w:rPr>
        <w:color w:val="94A3B8"/>
        <w:sz w:val="15"/>
        <w:szCs w:val="15"/>
      </w:rPr>
      <w:fldChar w:fldCharType="begin"/>
    </w:r>
    <w:r>
      <w:rPr>
        <w:color w:val="94A3B8"/>
        <w:sz w:val="15"/>
        <w:szCs w:val="15"/>
      </w:rPr>
      <w:instrText>PAGE</w:instrText>
    </w:r>
    <w:r w:rsidR="00993BE8">
      <w:rPr>
        <w:color w:val="94A3B8"/>
        <w:sz w:val="15"/>
        <w:szCs w:val="15"/>
      </w:rPr>
      <w:fldChar w:fldCharType="separate"/>
    </w:r>
    <w:r w:rsidR="00993BE8">
      <w:rPr>
        <w:noProof/>
        <w:color w:val="94A3B8"/>
        <w:sz w:val="15"/>
        <w:szCs w:val="15"/>
      </w:rPr>
      <w:t>1</w:t>
    </w:r>
    <w:r>
      <w:rPr>
        <w:color w:val="94A3B8"/>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0FE3" w:rsidRDefault="00D30FE3">
      <w:r>
        <w:separator/>
      </w:r>
    </w:p>
  </w:footnote>
  <w:footnote w:type="continuationSeparator" w:id="0">
    <w:p w:rsidR="00D30FE3" w:rsidRDefault="00D30F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117E" w:rsidRDefault="00D30FE3">
    <w:pPr>
      <w:pBdr>
        <w:bottom w:val="single" w:sz="4" w:space="4" w:color="1D4ED8"/>
      </w:pBdr>
    </w:pPr>
    <w:r>
      <w:rPr>
        <w:b/>
        <w:bCs/>
        <w:color w:val="0F2C5E"/>
        <w:sz w:val="17"/>
        <w:szCs w:val="17"/>
      </w:rPr>
      <w:t>Dynamic Consent Ledger — 10-Dimension Analysis  ·  Patient Access API  ·  Idea #01</w:t>
    </w:r>
    <w:r>
      <w:rPr>
        <w:color w:val="94A3B8"/>
        <w:sz w:val="17"/>
        <w:szCs w:val="17"/>
      </w:rPr>
      <w:t xml:space="preserve">    |    March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B6612"/>
    <w:multiLevelType w:val="hybridMultilevel"/>
    <w:tmpl w:val="079087D0"/>
    <w:lvl w:ilvl="0" w:tplc="D352A60E">
      <w:start w:val="1"/>
      <w:numFmt w:val="bullet"/>
      <w:lvlText w:val="●"/>
      <w:lvlJc w:val="left"/>
      <w:pPr>
        <w:ind w:left="720" w:hanging="360"/>
      </w:pPr>
    </w:lvl>
    <w:lvl w:ilvl="1" w:tplc="140099E2">
      <w:start w:val="1"/>
      <w:numFmt w:val="bullet"/>
      <w:lvlText w:val="○"/>
      <w:lvlJc w:val="left"/>
      <w:pPr>
        <w:ind w:left="1440" w:hanging="360"/>
      </w:pPr>
    </w:lvl>
    <w:lvl w:ilvl="2" w:tplc="FC8407D8">
      <w:start w:val="1"/>
      <w:numFmt w:val="bullet"/>
      <w:lvlText w:val="■"/>
      <w:lvlJc w:val="left"/>
      <w:pPr>
        <w:ind w:left="2160" w:hanging="360"/>
      </w:pPr>
    </w:lvl>
    <w:lvl w:ilvl="3" w:tplc="50FA1CE6">
      <w:start w:val="1"/>
      <w:numFmt w:val="bullet"/>
      <w:lvlText w:val="●"/>
      <w:lvlJc w:val="left"/>
      <w:pPr>
        <w:ind w:left="2880" w:hanging="360"/>
      </w:pPr>
    </w:lvl>
    <w:lvl w:ilvl="4" w:tplc="13EA5A34">
      <w:start w:val="1"/>
      <w:numFmt w:val="bullet"/>
      <w:lvlText w:val="○"/>
      <w:lvlJc w:val="left"/>
      <w:pPr>
        <w:ind w:left="3600" w:hanging="360"/>
      </w:pPr>
    </w:lvl>
    <w:lvl w:ilvl="5" w:tplc="09349512">
      <w:start w:val="1"/>
      <w:numFmt w:val="bullet"/>
      <w:lvlText w:val="■"/>
      <w:lvlJc w:val="left"/>
      <w:pPr>
        <w:ind w:left="4320" w:hanging="360"/>
      </w:pPr>
    </w:lvl>
    <w:lvl w:ilvl="6" w:tplc="7AD6F35A">
      <w:start w:val="1"/>
      <w:numFmt w:val="bullet"/>
      <w:lvlText w:val="●"/>
      <w:lvlJc w:val="left"/>
      <w:pPr>
        <w:ind w:left="5040" w:hanging="360"/>
      </w:pPr>
    </w:lvl>
    <w:lvl w:ilvl="7" w:tplc="6570F012">
      <w:start w:val="1"/>
      <w:numFmt w:val="bullet"/>
      <w:lvlText w:val="●"/>
      <w:lvlJc w:val="left"/>
      <w:pPr>
        <w:ind w:left="5760" w:hanging="360"/>
      </w:pPr>
    </w:lvl>
    <w:lvl w:ilvl="8" w:tplc="AAACFEE4">
      <w:start w:val="1"/>
      <w:numFmt w:val="bullet"/>
      <w:lvlText w:val="●"/>
      <w:lvlJc w:val="left"/>
      <w:pPr>
        <w:ind w:left="6480" w:hanging="360"/>
      </w:pPr>
    </w:lvl>
  </w:abstractNum>
  <w:abstractNum w:abstractNumId="1" w15:restartNumberingAfterBreak="0">
    <w:nsid w:val="0C8460B4"/>
    <w:multiLevelType w:val="hybridMultilevel"/>
    <w:tmpl w:val="3A400EFA"/>
    <w:lvl w:ilvl="0" w:tplc="09E846F2">
      <w:start w:val="1"/>
      <w:numFmt w:val="bullet"/>
      <w:lvlText w:val="•"/>
      <w:lvlJc w:val="left"/>
      <w:pPr>
        <w:ind w:left="560" w:hanging="280"/>
      </w:pPr>
    </w:lvl>
    <w:lvl w:ilvl="1" w:tplc="0890E1C2">
      <w:numFmt w:val="decimal"/>
      <w:lvlText w:val=""/>
      <w:lvlJc w:val="left"/>
    </w:lvl>
    <w:lvl w:ilvl="2" w:tplc="5FD0487E">
      <w:numFmt w:val="decimal"/>
      <w:lvlText w:val=""/>
      <w:lvlJc w:val="left"/>
    </w:lvl>
    <w:lvl w:ilvl="3" w:tplc="8C4CCC0C">
      <w:numFmt w:val="decimal"/>
      <w:lvlText w:val=""/>
      <w:lvlJc w:val="left"/>
    </w:lvl>
    <w:lvl w:ilvl="4" w:tplc="99EEA470">
      <w:numFmt w:val="decimal"/>
      <w:lvlText w:val=""/>
      <w:lvlJc w:val="left"/>
    </w:lvl>
    <w:lvl w:ilvl="5" w:tplc="F6C48470">
      <w:numFmt w:val="decimal"/>
      <w:lvlText w:val=""/>
      <w:lvlJc w:val="left"/>
    </w:lvl>
    <w:lvl w:ilvl="6" w:tplc="38AC791C">
      <w:numFmt w:val="decimal"/>
      <w:lvlText w:val=""/>
      <w:lvlJc w:val="left"/>
    </w:lvl>
    <w:lvl w:ilvl="7" w:tplc="84A2C35C">
      <w:numFmt w:val="decimal"/>
      <w:lvlText w:val=""/>
      <w:lvlJc w:val="left"/>
    </w:lvl>
    <w:lvl w:ilvl="8" w:tplc="588690A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17E"/>
    <w:rsid w:val="008D117E"/>
    <w:rsid w:val="00993BE8"/>
    <w:rsid w:val="00D30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E040C-768B-4A76-8349-E160E503E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outlineLvl w:val="0"/>
    </w:pPr>
    <w:rPr>
      <w:b/>
      <w:bCs/>
      <w:color w:val="0F2C5E"/>
      <w:sz w:val="32"/>
      <w:szCs w:val="32"/>
    </w:rPr>
  </w:style>
  <w:style w:type="paragraph" w:styleId="Heading2">
    <w:name w:val="heading 2"/>
    <w:qFormat/>
    <w:pPr>
      <w:spacing w:before="280" w:after="100"/>
      <w:outlineLvl w:val="1"/>
    </w:pPr>
    <w:rPr>
      <w:b/>
      <w:bCs/>
      <w:color w:val="1D4ED8"/>
      <w:sz w:val="26"/>
      <w:szCs w:val="26"/>
    </w:rPr>
  </w:style>
  <w:style w:type="paragraph" w:styleId="Heading3">
    <w:name w:val="heading 3"/>
    <w:qFormat/>
    <w:pPr>
      <w:spacing w:before="200" w:after="80"/>
      <w:outlineLvl w:val="2"/>
    </w:pPr>
    <w:rPr>
      <w:b/>
      <w:bCs/>
      <w:color w:val="0F766E"/>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6587</Words>
  <Characters>37550</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cp:lastModifiedBy>
  <cp:revision>2</cp:revision>
  <dcterms:created xsi:type="dcterms:W3CDTF">2026-03-18T21:22:00Z</dcterms:created>
  <dcterms:modified xsi:type="dcterms:W3CDTF">2026-03-18T21:22:00Z</dcterms:modified>
</cp:coreProperties>
</file>