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02C57"/>
        </w:rPr>
        <w:t>Corporate Code of Conduct and Workplace Ethics Handbook</w:t>
      </w:r>
    </w:p>
    <w:p>
      <w:pPr>
        <w:pStyle w:val="Heading1"/>
      </w:pPr>
      <w:r>
        <w:t>1.0 Workplace Mutual Respect and Anti-Harassment</w:t>
      </w:r>
    </w:p>
    <w:p>
      <w:r>
        <w:t>Every staff member is entitled to a professional work environment. Our anti-harassment policy is detailed in the Global Ethics Charter. Anonymous reporting is handled by the Integrity Line.</w:t>
      </w:r>
    </w:p>
    <w:p>
      <w:r>
        <w:rPr>
          <w:b/>
        </w:rPr>
        <w:t xml:space="preserve">External Resource: </w:t>
      </w:r>
      <w:hyperlink r:id="rId9">
        <w:r>
          <w:rPr>
            <w:color w:val="004B91"/>
            <w:u w:val="single"/>
          </w:rPr>
          <w:t>Global Ethics Charter</w:t>
        </w:r>
      </w:hyperlink>
    </w:p>
    <w:p>
      <w:r>
        <w:rPr>
          <w:b/>
        </w:rPr>
        <w:t xml:space="preserve">External Resource: </w:t>
      </w:r>
      <w:hyperlink r:id="rId10">
        <w:r>
          <w:rPr>
            <w:color w:val="004B91"/>
            <w:u w:val="single"/>
          </w:rPr>
          <w:t>Integrity Line</w:t>
        </w:r>
      </w:hyperlink>
    </w:p>
    <w:p>
      <w:r>
        <w:rPr>
          <w:b/>
        </w:rPr>
        <w:t xml:space="preserve">External Resource: </w:t>
      </w:r>
      <w:hyperlink r:id="rId11">
        <w:r>
          <w:rPr>
            <w:color w:val="004B91"/>
            <w:u w:val="single"/>
          </w:rPr>
          <w:t>Equal Opportunity Employment Guidelines</w:t>
        </w:r>
      </w:hyperlink>
    </w:p>
    <w:p>
      <w:pPr>
        <w:pStyle w:val="Heading1"/>
      </w:pPr>
      <w:r>
        <w:t>2.0 Conflict of Interest and External Engagements</w:t>
      </w:r>
    </w:p>
    <w:p>
      <w:r>
        <w:t>Employees must disclose outside business activities using the Conflict Disclosure Form. Gifts exceeding $100 must be declared in the corporate gifts register.</w:t>
      </w:r>
    </w:p>
    <w:p>
      <w:r>
        <w:rPr>
          <w:b/>
        </w:rPr>
        <w:t xml:space="preserve">External Resource: </w:t>
      </w:r>
      <w:hyperlink r:id="rId12">
        <w:r>
          <w:rPr>
            <w:color w:val="004B91"/>
            <w:u w:val="single"/>
          </w:rPr>
          <w:t>Conflict Disclosure Form</w:t>
        </w:r>
      </w:hyperlink>
    </w:p>
    <w:p>
      <w:r>
        <w:rPr>
          <w:b/>
        </w:rPr>
        <w:t xml:space="preserve">External Resource: </w:t>
      </w:r>
      <w:hyperlink r:id="rId13">
        <w:r>
          <w:rPr>
            <w:color w:val="004B91"/>
            <w:u w:val="single"/>
          </w:rPr>
          <w:t>corporate gifts register</w:t>
        </w:r>
      </w:hyperlink>
    </w:p>
    <w:p>
      <w:r>
        <w:rPr>
          <w:b/>
        </w:rPr>
        <w:t xml:space="preserve">External Resource: </w:t>
      </w:r>
      <w:hyperlink r:id="rId14">
        <w:r>
          <w:rPr>
            <w:color w:val="004B91"/>
            <w:u w:val="single"/>
          </w:rPr>
          <w:t>Board Approval Portal</w:t>
        </w:r>
      </w:hyperlink>
    </w:p>
    <w:p>
      <w:pPr>
        <w:pStyle w:val="Heading1"/>
      </w:pPr>
      <w:r>
        <w:t>3.0 Whistleblower Protection and Reporting Protocol</w:t>
      </w:r>
    </w:p>
    <w:p>
      <w:r>
        <w:t>Retaliation is strictly prohibited under federal standards. See the Ombudsperson Contact Directory or review the National Whistleblower Defense guidelines.</w:t>
      </w:r>
    </w:p>
    <w:p>
      <w:r>
        <w:rPr>
          <w:b/>
        </w:rPr>
        <w:t xml:space="preserve">External Resource: </w:t>
      </w:r>
      <w:hyperlink r:id="rId15">
        <w:r>
          <w:rPr>
            <w:color w:val="004B91"/>
            <w:u w:val="single"/>
          </w:rPr>
          <w:t>Ombudsperson Contact Directory</w:t>
        </w:r>
      </w:hyperlink>
    </w:p>
    <w:p>
      <w:r>
        <w:rPr>
          <w:b/>
        </w:rPr>
        <w:t xml:space="preserve">External Resource: </w:t>
      </w:r>
      <w:hyperlink r:id="rId16">
        <w:r>
          <w:rPr>
            <w:color w:val="004B91"/>
            <w:u w:val="single"/>
          </w:rPr>
          <w:t>National Whistleblower Defense guidelines</w:t>
        </w:r>
      </w:hyperlink>
    </w:p>
    <w:p>
      <w:r>
        <w:rPr>
          <w:b/>
        </w:rPr>
        <w:t xml:space="preserve">External Resource: </w:t>
      </w:r>
      <w:hyperlink r:id="rId17">
        <w:r>
          <w:rPr>
            <w:color w:val="004B91"/>
            <w:u w:val="single"/>
          </w:rPr>
          <w:t>Ethics Advisory Committee</w:t>
        </w:r>
      </w:hyperlink>
    </w:p>
    <w:p>
      <w:r>
        <w:rPr>
          <w:b/>
        </w:rPr>
        <w:t xml:space="preserve">External Resource: </w:t>
      </w:r>
      <w:hyperlink r:id="rId18">
        <w:r>
          <w:rPr>
            <w:color w:val="004B91"/>
            <w:u w:val="single"/>
          </w:rPr>
          <w:t>Staff Grievance Form</w:t>
        </w:r>
      </w:hyperlink>
    </w:p>
    <w:p>
      <w:r>
        <w:rPr>
          <w:b/>
        </w:rPr>
        <w:t xml:space="preserve">External Resource: </w:t>
      </w:r>
      <w:hyperlink r:id="rId19">
        <w:r>
          <w:rPr>
            <w:color w:val="004B91"/>
            <w:u w:val="single"/>
          </w:rPr>
          <w:t>Corporate Conduct Standards Reference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ttpbin.org/status/200" TargetMode="External"/><Relationship Id="rId10" Type="http://schemas.openxmlformats.org/officeDocument/2006/relationships/hyperlink" Target="https://example.com/ethics/whistleblower-v2019.aspx" TargetMode="External"/><Relationship Id="rId11" Type="http://schemas.openxmlformats.org/officeDocument/2006/relationships/hyperlink" Target="http://httpbin.org/status/302" TargetMode="External"/><Relationship Id="rId12" Type="http://schemas.openxmlformats.org/officeDocument/2006/relationships/hyperlink" Target="https://httpbin.org/status/404" TargetMode="External"/><Relationship Id="rId13" Type="http://schemas.openxmlformats.org/officeDocument/2006/relationships/hyperlink" Target="https://www.w3.org/Protocols/rfc2616/rfc2616.html" TargetMode="External"/><Relationship Id="rId14" Type="http://schemas.openxmlformats.org/officeDocument/2006/relationships/hyperlink" Target="https://invalid-non-existent-subdomain-4092.corp.local/board" TargetMode="External"/><Relationship Id="rId15" Type="http://schemas.openxmlformats.org/officeDocument/2006/relationships/hyperlink" Target="https://httpbin.org/status/500" TargetMode="External"/><Relationship Id="rId16" Type="http://schemas.openxmlformats.org/officeDocument/2006/relationships/hyperlink" Target="https://www.python.org" TargetMode="External"/><Relationship Id="rId17" Type="http://schemas.openxmlformats.org/officeDocument/2006/relationships/hyperlink" Target="http://httpbin.org/redirect/1" TargetMode="External"/><Relationship Id="rId18" Type="http://schemas.openxmlformats.org/officeDocument/2006/relationships/hyperlink" Target="https://example.com/forms/internal/grievance-2021.doc" TargetMode="External"/><Relationship Id="rId19" Type="http://schemas.openxmlformats.org/officeDocument/2006/relationships/hyperlink" Target="https://en.wikipedia.org/wiki/Code_of_condu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Code of Conduct and Workplace Ethics Handbook</dc:title>
  <dc:subject/>
  <dc:creator>Enterprise Document Repository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