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02C57"/>
        </w:rPr>
        <w:t>Corporate Travel, Entertainment, and Expense Reimbursement Procedure</w:t>
      </w:r>
    </w:p>
    <w:p>
      <w:pPr>
        <w:pStyle w:val="Heading1"/>
      </w:pPr>
      <w:r>
        <w:t>1.0 Per Diem Rates and Lodging Thresholds</w:t>
      </w:r>
    </w:p>
    <w:p>
      <w:r>
        <w:t>Domestic travel adheres to federal per diem limits. Consult the GSA Per Diem Table. Hotel bookings must be executed through Concur Travel.</w:t>
      </w:r>
    </w:p>
    <w:p>
      <w:r>
        <w:rPr>
          <w:b/>
        </w:rPr>
        <w:t xml:space="preserve">External Resource: </w:t>
      </w:r>
      <w:hyperlink r:id="rId9">
        <w:r>
          <w:rPr>
            <w:color w:val="004B91"/>
            <w:u w:val="single"/>
          </w:rPr>
          <w:t>GSA Per Diem Table</w:t>
        </w:r>
      </w:hyperlink>
    </w:p>
    <w:p>
      <w:r>
        <w:rPr>
          <w:b/>
        </w:rPr>
        <w:t xml:space="preserve">External Resource: </w:t>
      </w:r>
      <w:hyperlink r:id="rId10">
        <w:r>
          <w:rPr>
            <w:color w:val="004B91"/>
            <w:u w:val="single"/>
          </w:rPr>
          <w:t>Concur Travel</w:t>
        </w:r>
      </w:hyperlink>
    </w:p>
    <w:p>
      <w:r>
        <w:rPr>
          <w:b/>
        </w:rPr>
        <w:t xml:space="preserve">External Resource: </w:t>
      </w:r>
      <w:hyperlink r:id="rId11">
        <w:r>
          <w:rPr>
            <w:color w:val="004B91"/>
            <w:u w:val="single"/>
          </w:rPr>
          <w:t>Legacy Travel Request Voucher</w:t>
        </w:r>
      </w:hyperlink>
    </w:p>
    <w:p>
      <w:pPr>
        <w:pStyle w:val="Heading1"/>
      </w:pPr>
      <w:r>
        <w:t>2.0 Corporate Credit Card Utilization</w:t>
      </w:r>
    </w:p>
    <w:p>
      <w:r>
        <w:t>Corporate Amex statements must be reconciled monthly via the Card Reconciliation Gateway. Personal expenditures on corporate cards will trigger an audit flag.</w:t>
      </w:r>
    </w:p>
    <w:p>
      <w:r>
        <w:rPr>
          <w:b/>
        </w:rPr>
        <w:t xml:space="preserve">External Resource: </w:t>
      </w:r>
      <w:hyperlink r:id="rId12">
        <w:r>
          <w:rPr>
            <w:color w:val="004B91"/>
            <w:u w:val="single"/>
          </w:rPr>
          <w:t>Card Reconciliation Gateway</w:t>
        </w:r>
      </w:hyperlink>
    </w:p>
    <w:p>
      <w:r>
        <w:rPr>
          <w:b/>
        </w:rPr>
        <w:t xml:space="preserve">External Resource: </w:t>
      </w:r>
      <w:hyperlink r:id="rId13">
        <w:r>
          <w:rPr>
            <w:color w:val="004B91"/>
            <w:u w:val="single"/>
          </w:rPr>
          <w:t>Corporate Card Application Form</w:t>
        </w:r>
      </w:hyperlink>
    </w:p>
    <w:p>
      <w:r>
        <w:rPr>
          <w:b/>
        </w:rPr>
        <w:t xml:space="preserve">External Resource: </w:t>
      </w:r>
      <w:hyperlink r:id="rId14">
        <w:r>
          <w:rPr>
            <w:color w:val="004B91"/>
            <w:u w:val="single"/>
          </w:rPr>
          <w:t>Currency Conversion Calculator</w:t>
        </w:r>
      </w:hyperlink>
    </w:p>
    <w:p>
      <w:pPr>
        <w:pStyle w:val="Heading1"/>
      </w:pPr>
      <w:r>
        <w:t>3.0 Meal and Entertainment Receipts</w:t>
      </w:r>
    </w:p>
    <w:p>
      <w:r>
        <w:t>Itemized receipts are required for all meals above $25. Review the IRS Business Expense Guide and submit digital scans to the Finance Dropzone.</w:t>
      </w:r>
    </w:p>
    <w:p>
      <w:r>
        <w:rPr>
          <w:b/>
        </w:rPr>
        <w:t xml:space="preserve">External Resource: </w:t>
      </w:r>
      <w:hyperlink r:id="rId15">
        <w:r>
          <w:rPr>
            <w:color w:val="004B91"/>
            <w:u w:val="single"/>
          </w:rPr>
          <w:t>IRS Business Expense Guide</w:t>
        </w:r>
      </w:hyperlink>
    </w:p>
    <w:p>
      <w:r>
        <w:rPr>
          <w:b/>
        </w:rPr>
        <w:t xml:space="preserve">External Resource: </w:t>
      </w:r>
      <w:hyperlink r:id="rId16">
        <w:r>
          <w:rPr>
            <w:color w:val="004B91"/>
            <w:u w:val="single"/>
          </w:rPr>
          <w:t>Finance Dropzone</w:t>
        </w:r>
      </w:hyperlink>
    </w:p>
    <w:p>
      <w:r>
        <w:rPr>
          <w:b/>
        </w:rPr>
        <w:t xml:space="preserve">External Resource: </w:t>
      </w:r>
      <w:hyperlink r:id="rId17">
        <w:r>
          <w:rPr>
            <w:color w:val="004B91"/>
            <w:u w:val="single"/>
          </w:rPr>
          <w:t>Internal Accounting System</w:t>
        </w:r>
      </w:hyperlink>
    </w:p>
    <w:p>
      <w:r>
        <w:rPr>
          <w:b/>
        </w:rPr>
        <w:t xml:space="preserve">External Resource: </w:t>
      </w:r>
      <w:hyperlink r:id="rId18">
        <w:r>
          <w:rPr>
            <w:color w:val="004B91"/>
            <w:u w:val="single"/>
          </w:rPr>
          <w:t>Travel Safety Advisory Board</w:t>
        </w:r>
      </w:hyperlink>
    </w:p>
    <w:p>
      <w:r>
        <w:rPr>
          <w:b/>
        </w:rPr>
        <w:t xml:space="preserve">External Resource: </w:t>
      </w:r>
      <w:hyperlink r:id="rId19">
        <w:r>
          <w:rPr>
            <w:color w:val="004B91"/>
            <w:u w:val="single"/>
          </w:rPr>
          <w:t>Auditor Escalation Channel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gsa.gov/travel/plan-book/per-diem-rates" TargetMode="External"/><Relationship Id="rId10" Type="http://schemas.openxmlformats.org/officeDocument/2006/relationships/hyperlink" Target="http://httpbin.org/redirect-to?url=https://httpbin.org/get" TargetMode="External"/><Relationship Id="rId11" Type="http://schemas.openxmlformats.org/officeDocument/2006/relationships/hyperlink" Target="https://example.com/finance/travel/voucher-template-2017.xls" TargetMode="External"/><Relationship Id="rId12" Type="http://schemas.openxmlformats.org/officeDocument/2006/relationships/hyperlink" Target="https://httpbin.org/status/200" TargetMode="External"/><Relationship Id="rId13" Type="http://schemas.openxmlformats.org/officeDocument/2006/relationships/hyperlink" Target="https://example.com/finance/cards/amex-application-v3.pdf" TargetMode="External"/><Relationship Id="rId14" Type="http://schemas.openxmlformats.org/officeDocument/2006/relationships/hyperlink" Target="https://www.xe.com" TargetMode="External"/><Relationship Id="rId15" Type="http://schemas.openxmlformats.org/officeDocument/2006/relationships/hyperlink" Target="https://httpbin.org/status/301" TargetMode="External"/><Relationship Id="rId16" Type="http://schemas.openxmlformats.org/officeDocument/2006/relationships/hyperlink" Target="https://example.com/finance/dropzone/receipts" TargetMode="External"/><Relationship Id="rId17" Type="http://schemas.openxmlformats.org/officeDocument/2006/relationships/hyperlink" Target="https://invalid-finance-host-8841.internal.corp/sap" TargetMode="External"/><Relationship Id="rId18" Type="http://schemas.openxmlformats.org/officeDocument/2006/relationships/hyperlink" Target="https://travel.state.gov" TargetMode="External"/><Relationship Id="rId19" Type="http://schemas.openxmlformats.org/officeDocument/2006/relationships/hyperlink" Target="https://httpbin.org/status/5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Corporate Travel, Entertainment, and Expense Reimbursement Procedure</dc:title>
  <dc:subject/>
  <dc:creator>Enterprise Document Repository Service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