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02C57"/>
        </w:rPr>
        <w:t>Cybersecurity Incident Response and Critical Operations Continuity Playbook</w:t>
      </w:r>
    </w:p>
    <w:p>
      <w:pPr>
        <w:pStyle w:val="Heading1"/>
      </w:pPr>
      <w:r>
        <w:t>1.0 Incident Severity Classification (SEV 1 - SEV 4)</w:t>
      </w:r>
    </w:p>
    <w:p>
      <w:r>
        <w:t>SEV-1 security events involve active data exfiltration. Consult the CISA Cyber Incident Response Guide. The War Room Bridge is hosted on the Secure Zoom Facility.</w:t>
      </w:r>
    </w:p>
    <w:p>
      <w:r>
        <w:rPr>
          <w:b/>
        </w:rPr>
        <w:t xml:space="preserve">External Resource: </w:t>
      </w:r>
      <w:hyperlink r:id="rId9">
        <w:r>
          <w:rPr>
            <w:color w:val="004B91"/>
            <w:u w:val="single"/>
          </w:rPr>
          <w:t>CISA Cyber Incident Response Guide</w:t>
        </w:r>
      </w:hyperlink>
    </w:p>
    <w:p>
      <w:r>
        <w:rPr>
          <w:b/>
        </w:rPr>
        <w:t xml:space="preserve">External Resource: </w:t>
      </w:r>
      <w:hyperlink r:id="rId10">
        <w:r>
          <w:rPr>
            <w:color w:val="004B91"/>
            <w:u w:val="single"/>
          </w:rPr>
          <w:t>Secure Zoom Facility</w:t>
        </w:r>
      </w:hyperlink>
    </w:p>
    <w:p>
      <w:r>
        <w:rPr>
          <w:b/>
        </w:rPr>
        <w:t xml:space="preserve">External Resource: </w:t>
      </w:r>
      <w:hyperlink r:id="rId11">
        <w:r>
          <w:rPr>
            <w:color w:val="004B91"/>
            <w:u w:val="single"/>
          </w:rPr>
          <w:t>Legacy Incident Log Template</w:t>
        </w:r>
      </w:hyperlink>
    </w:p>
    <w:p>
      <w:pPr>
        <w:pStyle w:val="Heading1"/>
      </w:pPr>
      <w:r>
        <w:t>2.0 Containment, Eradication, and Forensics</w:t>
      </w:r>
    </w:p>
    <w:p>
      <w:r>
        <w:t>Isolate compromised VM instances immediately. Refer to the SANS Incident Handler's Handbook. Evidence disk images must be uploaded to the Forensic Vault.</w:t>
      </w:r>
    </w:p>
    <w:p>
      <w:r>
        <w:rPr>
          <w:b/>
        </w:rPr>
        <w:t xml:space="preserve">External Resource: </w:t>
      </w:r>
      <w:hyperlink r:id="rId12">
        <w:r>
          <w:rPr>
            <w:color w:val="004B91"/>
            <w:u w:val="single"/>
          </w:rPr>
          <w:t>SANS Incident Handler's Handbook</w:t>
        </w:r>
      </w:hyperlink>
    </w:p>
    <w:p>
      <w:r>
        <w:rPr>
          <w:b/>
        </w:rPr>
        <w:t xml:space="preserve">External Resource: </w:t>
      </w:r>
      <w:hyperlink r:id="rId13">
        <w:r>
          <w:rPr>
            <w:color w:val="004B91"/>
            <w:u w:val="single"/>
          </w:rPr>
          <w:t>Forensic Vault</w:t>
        </w:r>
      </w:hyperlink>
    </w:p>
    <w:p>
      <w:r>
        <w:rPr>
          <w:b/>
        </w:rPr>
        <w:t xml:space="preserve">External Resource: </w:t>
      </w:r>
      <w:hyperlink r:id="rId14">
        <w:r>
          <w:rPr>
            <w:color w:val="004B91"/>
            <w:u w:val="single"/>
          </w:rPr>
          <w:t>Memory Forensics Volatility Framework</w:t>
        </w:r>
      </w:hyperlink>
    </w:p>
    <w:p>
      <w:pPr>
        <w:pStyle w:val="Heading1"/>
      </w:pPr>
      <w:r>
        <w:t>3.0 Post-Incident Retrospective and Regulatory Notification</w:t>
      </w:r>
    </w:p>
    <w:p>
      <w:r>
        <w:t>Post-mortems are published within 72 hours. Check the Blameless Post-Mortem Guidelines. Statutory breach notices must be routed through External Legal Counsel.</w:t>
      </w:r>
    </w:p>
    <w:p>
      <w:r>
        <w:rPr>
          <w:b/>
        </w:rPr>
        <w:t xml:space="preserve">External Resource: </w:t>
      </w:r>
      <w:hyperlink r:id="rId15">
        <w:r>
          <w:rPr>
            <w:color w:val="004B91"/>
            <w:u w:val="single"/>
          </w:rPr>
          <w:t>Blameless Post-Mortem Guidelines</w:t>
        </w:r>
      </w:hyperlink>
    </w:p>
    <w:p>
      <w:r>
        <w:rPr>
          <w:b/>
        </w:rPr>
        <w:t xml:space="preserve">External Resource: </w:t>
      </w:r>
      <w:hyperlink r:id="rId16">
        <w:r>
          <w:rPr>
            <w:color w:val="004B91"/>
            <w:u w:val="single"/>
          </w:rPr>
          <w:t>External Legal Counsel</w:t>
        </w:r>
      </w:hyperlink>
    </w:p>
    <w:p>
      <w:r>
        <w:rPr>
          <w:b/>
        </w:rPr>
        <w:t xml:space="preserve">External Resource: </w:t>
      </w:r>
      <w:hyperlink r:id="rId17">
        <w:r>
          <w:rPr>
            <w:color w:val="004B91"/>
            <w:u w:val="single"/>
          </w:rPr>
          <w:t>Cyber Insurance Carrier Notice Form</w:t>
        </w:r>
      </w:hyperlink>
    </w:p>
    <w:p>
      <w:r>
        <w:rPr>
          <w:b/>
        </w:rPr>
        <w:t xml:space="preserve">External Resource: </w:t>
      </w:r>
      <w:hyperlink r:id="rId18">
        <w:r>
          <w:rPr>
            <w:color w:val="004B91"/>
            <w:u w:val="single"/>
          </w:rPr>
          <w:t>Threat Intelligence Feed (MISP)</w:t>
        </w:r>
      </w:hyperlink>
    </w:p>
    <w:p>
      <w:r>
        <w:rPr>
          <w:b/>
        </w:rPr>
        <w:t xml:space="preserve">External Resource: </w:t>
      </w:r>
      <w:hyperlink r:id="rId19">
        <w:r>
          <w:rPr>
            <w:color w:val="004B91"/>
            <w:u w:val="single"/>
          </w:rPr>
          <w:t>Crisis Public Relations Playbook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isa.gov/cyber-incident-response" TargetMode="External"/><Relationship Id="rId10" Type="http://schemas.openxmlformats.org/officeDocument/2006/relationships/hyperlink" Target="http://httpbin.org/status/302" TargetMode="External"/><Relationship Id="rId11" Type="http://schemas.openxmlformats.org/officeDocument/2006/relationships/hyperlink" Target="https://example.com/soc/incident-log-2019.xlsx" TargetMode="External"/><Relationship Id="rId12" Type="http://schemas.openxmlformats.org/officeDocument/2006/relationships/hyperlink" Target="https://www.sans.org/white-papers/33901/" TargetMode="External"/><Relationship Id="rId13" Type="http://schemas.openxmlformats.org/officeDocument/2006/relationships/hyperlink" Target="https://httpbin.org/status/404" TargetMode="External"/><Relationship Id="rId14" Type="http://schemas.openxmlformats.org/officeDocument/2006/relationships/hyperlink" Target="https://volatilityfoundation.org/" TargetMode="External"/><Relationship Id="rId15" Type="http://schemas.openxmlformats.org/officeDocument/2006/relationships/hyperlink" Target="https://sre.google/sre-book/postmortem-culture/" TargetMode="External"/><Relationship Id="rId16" Type="http://schemas.openxmlformats.org/officeDocument/2006/relationships/hyperlink" Target="https://example.com/legal/breach-counsel-directory.pdf" TargetMode="External"/><Relationship Id="rId17" Type="http://schemas.openxmlformats.org/officeDocument/2006/relationships/hyperlink" Target="http://httpbin.org/redirect/1" TargetMode="External"/><Relationship Id="rId18" Type="http://schemas.openxmlformats.org/officeDocument/2006/relationships/hyperlink" Target="https://www.misp-project.org/" TargetMode="External"/><Relationship Id="rId19" Type="http://schemas.openxmlformats.org/officeDocument/2006/relationships/hyperlink" Target="https://httpbin.org/status/5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Incident Response and Critical Operations Continuity Playbook</dc:title>
  <dc:subject/>
  <dc:creator>Enterprise Document Repository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