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2C57"/>
        </w:rPr>
        <w:t>Corporate Procurement, Vendor Evaluation, and Contract Sourcing Guidelines</w:t>
      </w:r>
    </w:p>
    <w:p>
      <w:pPr>
        <w:pStyle w:val="Heading1"/>
      </w:pPr>
      <w:r>
        <w:t>1.0 Supplier Onboarding and Risk Assessment</w:t>
      </w:r>
    </w:p>
    <w:p>
      <w:r>
        <w:t>Suppliers exceeding $50k annual spend must complete the SOC2 Compliance Review. Vendors must register via the Coupa Supplier Portal.</w:t>
      </w:r>
    </w:p>
    <w:p>
      <w:r>
        <w:rPr>
          <w:b/>
        </w:rPr>
        <w:t xml:space="preserve">External Resource: </w:t>
      </w:r>
      <w:hyperlink r:id="rId9">
        <w:r>
          <w:rPr>
            <w:color w:val="004B91"/>
            <w:u w:val="single"/>
          </w:rPr>
          <w:t>SOC2 Compliance Review</w:t>
        </w:r>
      </w:hyperlink>
    </w:p>
    <w:p>
      <w:r>
        <w:rPr>
          <w:b/>
        </w:rPr>
        <w:t xml:space="preserve">External Resource: </w:t>
      </w:r>
      <w:hyperlink r:id="rId10">
        <w:r>
          <w:rPr>
            <w:color w:val="004B91"/>
            <w:u w:val="single"/>
          </w:rPr>
          <w:t>Coupa Supplier Portal</w:t>
        </w:r>
      </w:hyperlink>
    </w:p>
    <w:p>
      <w:r>
        <w:rPr>
          <w:b/>
        </w:rPr>
        <w:t xml:space="preserve">External Resource: </w:t>
      </w:r>
      <w:hyperlink r:id="rId11">
        <w:r>
          <w:rPr>
            <w:color w:val="004B91"/>
            <w:u w:val="single"/>
          </w:rPr>
          <w:t>Vendor Security Questionnaire V1</w:t>
        </w:r>
      </w:hyperlink>
    </w:p>
    <w:p>
      <w:pPr>
        <w:pStyle w:val="Heading1"/>
      </w:pPr>
      <w:r>
        <w:t>2.0 Purchase Orders and Authorization Matrix</w:t>
      </w:r>
    </w:p>
    <w:p>
      <w:r>
        <w:t>PO thresholds require managerial sign-off. Refer to the Procurement Delegation of Authority chart. Submit invoice discrepancies directly to Accounts Payable.</w:t>
      </w:r>
    </w:p>
    <w:p>
      <w:r>
        <w:rPr>
          <w:b/>
        </w:rPr>
        <w:t xml:space="preserve">External Resource: </w:t>
      </w:r>
      <w:hyperlink r:id="rId12">
        <w:r>
          <w:rPr>
            <w:color w:val="004B91"/>
            <w:u w:val="single"/>
          </w:rPr>
          <w:t>Procurement Delegation of Authority</w:t>
        </w:r>
      </w:hyperlink>
    </w:p>
    <w:p>
      <w:r>
        <w:rPr>
          <w:b/>
        </w:rPr>
        <w:t xml:space="preserve">External Resource: </w:t>
      </w:r>
      <w:hyperlink r:id="rId13">
        <w:r>
          <w:rPr>
            <w:color w:val="004B91"/>
            <w:u w:val="single"/>
          </w:rPr>
          <w:t>Accounts Payable Portal</w:t>
        </w:r>
      </w:hyperlink>
    </w:p>
    <w:p>
      <w:r>
        <w:rPr>
          <w:b/>
        </w:rPr>
        <w:t xml:space="preserve">External Resource: </w:t>
      </w:r>
      <w:hyperlink r:id="rId14">
        <w:r>
          <w:rPr>
            <w:color w:val="004B91"/>
            <w:u w:val="single"/>
          </w:rPr>
          <w:t>Uniform Commercial Code Guidelines</w:t>
        </w:r>
      </w:hyperlink>
    </w:p>
    <w:p>
      <w:pPr>
        <w:pStyle w:val="Heading1"/>
      </w:pPr>
      <w:r>
        <w:t>3.0 Master Services Agreement (MSA) Negotiations</w:t>
      </w:r>
    </w:p>
    <w:p>
      <w:r>
        <w:t>Legal must approve liability caps under Section 8. The standard MSA Template is available on the Legal Knowledge Base. Non-disclosure agreements must be executed on DocuSign.</w:t>
      </w:r>
    </w:p>
    <w:p>
      <w:r>
        <w:rPr>
          <w:b/>
        </w:rPr>
        <w:t xml:space="preserve">External Resource: </w:t>
      </w:r>
      <w:hyperlink r:id="rId15">
        <w:r>
          <w:rPr>
            <w:color w:val="004B91"/>
            <w:u w:val="single"/>
          </w:rPr>
          <w:t>MSA Template</w:t>
        </w:r>
      </w:hyperlink>
    </w:p>
    <w:p>
      <w:r>
        <w:rPr>
          <w:b/>
        </w:rPr>
        <w:t xml:space="preserve">External Resource: </w:t>
      </w:r>
      <w:hyperlink r:id="rId16">
        <w:r>
          <w:rPr>
            <w:color w:val="004B91"/>
            <w:u w:val="single"/>
          </w:rPr>
          <w:t>Legal Knowledge Base</w:t>
        </w:r>
      </w:hyperlink>
    </w:p>
    <w:p>
      <w:r>
        <w:rPr>
          <w:b/>
        </w:rPr>
        <w:t xml:space="preserve">External Resource: </w:t>
      </w:r>
      <w:hyperlink r:id="rId17">
        <w:r>
          <w:rPr>
            <w:color w:val="004B91"/>
            <w:u w:val="single"/>
          </w:rPr>
          <w:t>DocuSign Electronic Signature Portal</w:t>
        </w:r>
      </w:hyperlink>
    </w:p>
    <w:p>
      <w:r>
        <w:rPr>
          <w:b/>
        </w:rPr>
        <w:t xml:space="preserve">External Resource: </w:t>
      </w:r>
      <w:hyperlink r:id="rId18">
        <w:r>
          <w:rPr>
            <w:color w:val="004B91"/>
            <w:u w:val="single"/>
          </w:rPr>
          <w:t>Vendor Contract Expiration Radar</w:t>
        </w:r>
      </w:hyperlink>
    </w:p>
    <w:p>
      <w:r>
        <w:rPr>
          <w:b/>
        </w:rPr>
        <w:t xml:space="preserve">External Resource: </w:t>
      </w:r>
      <w:hyperlink r:id="rId19">
        <w:r>
          <w:rPr>
            <w:color w:val="004B91"/>
            <w:u w:val="single"/>
          </w:rPr>
          <w:t>Procurement Dispute Resolution Protocol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icpa-cima.com/resources/landing/system-and-organization-controls-soc-suite-of-services" TargetMode="External"/><Relationship Id="rId10" Type="http://schemas.openxmlformats.org/officeDocument/2006/relationships/hyperlink" Target="https://httpbin.org/status/200" TargetMode="External"/><Relationship Id="rId11" Type="http://schemas.openxmlformats.org/officeDocument/2006/relationships/hyperlink" Target="https://example.com/procurement/vendor-questionnaire-2019.docx" TargetMode="External"/><Relationship Id="rId12" Type="http://schemas.openxmlformats.org/officeDocument/2006/relationships/hyperlink" Target="http://httpbin.org/status/301" TargetMode="External"/><Relationship Id="rId13" Type="http://schemas.openxmlformats.org/officeDocument/2006/relationships/hyperlink" Target="https://httpbin.org/status/404" TargetMode="External"/><Relationship Id="rId14" Type="http://schemas.openxmlformats.org/officeDocument/2006/relationships/hyperlink" Target="https://www.law.cornell.edu/ucc" TargetMode="External"/><Relationship Id="rId15" Type="http://schemas.openxmlformats.org/officeDocument/2006/relationships/hyperlink" Target="https://example.com/legal/templates/standard-msa-2021.doc" TargetMode="External"/><Relationship Id="rId16" Type="http://schemas.openxmlformats.org/officeDocument/2006/relationships/hyperlink" Target="https://httpbin.org/status/403" TargetMode="External"/><Relationship Id="rId17" Type="http://schemas.openxmlformats.org/officeDocument/2006/relationships/hyperlink" Target="https://www.docusign.com" TargetMode="External"/><Relationship Id="rId18" Type="http://schemas.openxmlformats.org/officeDocument/2006/relationships/hyperlink" Target="http://httpbin.org/redirect/1" TargetMode="External"/><Relationship Id="rId19" Type="http://schemas.openxmlformats.org/officeDocument/2006/relationships/hyperlink" Target="https://www.ad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Procurement, Vendor Evaluation, and Contract Sourcing Guidelines</dc:title>
  <dc:subject/>
  <dc:creator>Enterprise Document Repository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