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" w:cs="Times" w:eastAsia="Times" w:hAnsi="Times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vertAlign w:val="baseline"/>
          <w:rtl w:val="0"/>
        </w:rPr>
        <w:t xml:space="preserve">Practical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" w:cs="Times" w:eastAsia="Times" w:hAnsi="Times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vertAlign w:val="baselin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Find the propensity of alpha helices using the following sequence and secondary structure assignments.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Sequence: LGASGIAAFAFGSTAILIILFNMAAEVHFDPLQFFRQFFWLGLYPPKAQY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Sec. str: XHHHHHHHHHHHHHHHHHHHHHHHHHXXXXXXXXXXXXXXXXXXXXXXXX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Sequence: GMGIPPLHDGGWWLMAGLFMTLSLGSWWIRVYSRARALGLGTHIAWNFAA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Sec. str: XXXXXXXXXXHHHHHHHHHHHHHHHHHHHHHHHHHHHHHHXXHHHHHHHH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Sequence: AIFFVLCIGCIHPTLVGSWSEGVPFGIWPHIDWLTAFSIRYGNFYYCPWH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Sec. str: HHHHHHHHHXXXXXXXXXXXXXXXXXXXXXXXXXXXXXXXXXXXXXXHHH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Sequence: GFSIGFAYGCGLLFAAHGATILAVARFGGDREIEQITDRGTAVERAALFW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Sec. str: HHHHHHHHHHHHHHHHHHHHHHHXXXXXXXXXXXXXXXXXXXXXXXXXXX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Find the propensity of alpha helices manually for the sequence in question 1.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Using the rules for helices and strands, identify the helical and strand segments in the following sequence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KVFGRCELAAAMKRHGLDNYRGYSLGNWVCAAKFESNFNTQATNRNTDGSTDYGILQINSRWWCNDGRTPGSRNLCNIPCSALLSSDITASVNCAKKIVSDGNGMNAWVAWRNRCKGTDVQAWIRGCRL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3329940</wp:posOffset>
            </wp:positionH>
            <wp:positionV relativeFrom="paragraph">
              <wp:posOffset>121285</wp:posOffset>
            </wp:positionV>
            <wp:extent cx="2548890" cy="288861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72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888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Assign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for 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α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α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0.5 for 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α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0 for 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α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-1 for 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α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α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identify 6-residue segments with score more than or equal to 4; extend it until the actual value (Table 5.2) for last four residues is less than 4. Continue the search.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for 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0.5 for 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0 for 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-1 for 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identify 5-residue segments with score more than or equal to 3; extend it until the actual value for the last three residues is less than 3.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conflicting situation: compare the values and assign the secondary structure based on the highest value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Verify one of the helical and strand segments,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Deadline: 10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894" w:orient="portrait"/>
      <w:pgMar w:bottom="1699" w:top="1987" w:left="1152" w:right="1296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