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MSSP Platform Master Blueprint &amp; Product Operations Manual</w:t>
      </w:r>
    </w:p>
    <w:p>
      <w:r>
        <w:t>Document title: The MSSP Bible Product: Kestrel Cyber MSSP Control Plane Repository path: /opt/mssp-control Control plane host: VM 100 — mssp-control (192.168.0.201) Document version: 1.0 As-of date: 2026-07-30 Classification: Internal engineering &amp; operations — production reference</w:t>
      </w:r>
    </w:p>
    <w:p>
      <w:r>
        <w:t>Source-of-truth hierarchy: live git commits/tags → validation-script PASS lines → inspected source files → this blueprint → older Knowledge Base prose.</w:t>
      </w:r>
    </w:p>
    <w:p>
      <w:r>
        <w:t>————————————————————————————————————————</w:t>
      </w:r>
    </w:p>
    <w:p>
      <w:pPr>
        <w:pStyle w:val="Heading1"/>
      </w:pPr>
      <w:r>
        <w:t>Document control</w:t>
      </w:r>
    </w:p>
    <w:tbl>
      <w:tblPr>
        <w:tblStyle w:val="TableGrid"/>
        <w:tblW w:type="auto" w:w="0"/>
        <w:tblLook w:firstColumn="1" w:firstRow="1" w:lastColumn="0" w:lastRow="0" w:noHBand="0" w:noVBand="1" w:val="04A0"/>
      </w:tblPr>
      <w:tblGrid>
        <w:gridCol w:w="4824"/>
        <w:gridCol w:w="4824"/>
      </w:tblGrid>
      <w:tr>
        <w:tc>
          <w:tcPr>
            <w:tcW w:type="dxa" w:w="4824"/>
          </w:tcPr>
          <w:p>
            <w:r>
              <w:t>Item</w:t>
            </w:r>
          </w:p>
        </w:tc>
        <w:tc>
          <w:tcPr>
            <w:tcW w:type="dxa" w:w="4824"/>
          </w:tcPr>
          <w:p>
            <w:r>
              <w:t>Value</w:t>
            </w:r>
          </w:p>
        </w:tc>
      </w:tr>
      <w:tr>
        <w:tc>
          <w:tcPr>
            <w:tcW w:type="dxa" w:w="4824"/>
          </w:tcPr>
          <w:p>
            <w:r>
              <w:t>Canonical Markdown</w:t>
            </w:r>
          </w:p>
        </w:tc>
        <w:tc>
          <w:tcPr>
            <w:tcW w:type="dxa" w:w="4824"/>
          </w:tcPr>
          <w:p>
            <w:r>
              <w:t>/opt/mssp-control/docs/MSSP_PLATFORM_MASTER_BLUEPRINT.md</w:t>
            </w:r>
          </w:p>
        </w:tc>
      </w:tr>
      <w:tr>
        <w:tc>
          <w:tcPr>
            <w:tcW w:type="dxa" w:w="4824"/>
          </w:tcPr>
          <w:p>
            <w:r>
              <w:t>PDF export</w:t>
            </w:r>
          </w:p>
        </w:tc>
        <w:tc>
          <w:tcPr>
            <w:tcW w:type="dxa" w:w="4824"/>
          </w:tcPr>
          <w:p>
            <w:r>
              <w:t>/opt/mssp-control/DOCS/MSSP_PLATFORM_MASTER_BLUEPRINT.pdf</w:t>
            </w:r>
          </w:p>
        </w:tc>
      </w:tr>
      <w:tr>
        <w:tc>
          <w:tcPr>
            <w:tcW w:type="dxa" w:w="4824"/>
          </w:tcPr>
          <w:p>
            <w:r>
              <w:t>DOCX export</w:t>
            </w:r>
          </w:p>
        </w:tc>
        <w:tc>
          <w:tcPr>
            <w:tcW w:type="dxa" w:w="4824"/>
          </w:tcPr>
          <w:p>
            <w:r>
              <w:t>/opt/mssp-control/DOCS/MSSP_PLATFORM_MASTER_BLUEPRINT.docx</w:t>
            </w:r>
          </w:p>
        </w:tc>
      </w:tr>
      <w:tr>
        <w:tc>
          <w:tcPr>
            <w:tcW w:type="dxa" w:w="4824"/>
          </w:tcPr>
          <w:p>
            <w:r>
              <w:t>Companion rulebooks</w:t>
            </w:r>
          </w:p>
        </w:tc>
        <w:tc>
          <w:tcPr>
            <w:tcW w:type="dxa" w:w="4824"/>
          </w:tcPr>
          <w:p>
            <w:r>
              <w:t>AGENTS.md, CLAUDE.md, CONTEXT.md, .cursor/rules/mssp-control-plane.mdc</w:t>
            </w:r>
          </w:p>
        </w:tc>
      </w:tr>
      <w:tr>
        <w:tc>
          <w:tcPr>
            <w:tcW w:type="dxa" w:w="4824"/>
          </w:tcPr>
          <w:p>
            <w:r>
              <w:t>Architecture roadmap</w:t>
            </w:r>
          </w:p>
        </w:tc>
        <w:tc>
          <w:tcPr>
            <w:tcW w:type="dxa" w:w="4824"/>
          </w:tcPr>
          <w:p>
            <w:r>
              <w:t>docs/KB036_MSSP_PLATFORM_ARCHITECTURE_ROADMAP.md</w:t>
            </w:r>
          </w:p>
        </w:tc>
      </w:tr>
      <w:tr>
        <w:tc>
          <w:tcPr>
            <w:tcW w:type="dxa" w:w="4824"/>
          </w:tcPr>
          <w:p>
            <w:r>
              <w:t>Containment honesty register</w:t>
            </w:r>
          </w:p>
        </w:tc>
        <w:tc>
          <w:tcPr>
            <w:tcW w:type="dxa" w:w="4824"/>
          </w:tcPr>
          <w:p>
            <w:r>
              <w:t>docs/KB091_ENTERPRISE_CONTAINMENT_HONESTY_GAPS.md</w:t>
            </w:r>
          </w:p>
        </w:tc>
      </w:tr>
    </w:tbl>
    <w:p/>
    <w:p>
      <w:r>
        <w:t>This document synthesizes Day-1 foundation through current operational state: multi-tenancy, co-managed RBAC, dual portals, Wazuh/Suricata/TheHive/Shuffle/Nuclei+Vuls adapters, EDR active response, connection pooling, and forensics streaming. Trivial typos, failed terminal noise, and superseded lab shortcuts are omitted. Architectural breakthroughs and root-cause fixes are retained in full.</w:t>
      </w:r>
    </w:p>
    <w:p>
      <w:r>
        <w:t>————————————————————————————————————————</w:t>
      </w:r>
    </w:p>
    <w:p>
      <w:pPr>
        <w:pStyle w:val="Title"/>
      </w:pPr>
      <w:r>
        <w:t>1. Executive Summary &amp; Business Architecture</w:t>
      </w:r>
    </w:p>
    <w:p>
      <w:pPr>
        <w:pStyle w:val="Heading1"/>
      </w:pPr>
      <w:r>
        <w:t>1.1 Platform purpose</w:t>
      </w:r>
    </w:p>
    <w:p>
      <w:r>
        <w:t>The MSSP Control Plane is a branded, multi-tenant Managed Security Service Provider / SOC / MDR / XDR product. It is not a re-skinned Wazuh dashboard, not a Streamlit prototype, and not a single-tenant tool.</w:t>
      </w:r>
    </w:p>
    <w:p>
      <w:r>
        <w:t>The FastAPI backend on VM 100 is the system of record. Detection, scanning, case, and orchestration engines (Wazuh, Suricata, TheHive, Shuffle, Nuclei, Vuls, Greenbone CE) are backend adapters only. Customers and SOC staff interact with our Admin portal (:3000) and Customer portal (:3001). Third-party engine UIs are never the customer-facing product.</w:t>
      </w:r>
    </w:p>
    <w:p>
      <w:r>
        <w:t>Production posture: On-prem local servers are the current production path for a complete end-to-end MSSP. The same architecture is intended to migrate to cloud when customer volume justifies it. Runtime defaults and dashboard copy must not use lab/demo wording. Tenant alert mapping is fail-closed (Wazuh group/binding required; no DEMO default). Shared TheHive org default: THEHIVE_DEFAULT_ORG=MSSP.</w:t>
      </w:r>
    </w:p>
    <w:p>
      <w:pPr>
        <w:pStyle w:val="Heading1"/>
      </w:pPr>
      <w:r>
        <w:t>1.2 Tenantry &amp; user model (co-managed governance)</w:t>
      </w:r>
    </w:p>
    <w:p>
      <w:r>
        <w:t>Every customer organization is a row in tenants (id UUID, unique short_code). Tenant-scoped data always carries tenant_id.</w:t>
      </w:r>
    </w:p>
    <w:p>
      <w:pPr>
        <w:pStyle w:val="Heading2"/>
      </w:pPr>
      <w:r>
        <w:t>Platform (MSSP) staff — Admin portal :3000</w:t>
      </w:r>
    </w:p>
    <w:tbl>
      <w:tblPr>
        <w:tblStyle w:val="TableGrid"/>
        <w:tblW w:type="auto" w:w="0"/>
        <w:tblLook w:firstColumn="1" w:firstRow="1" w:lastColumn="0" w:lastRow="0" w:noHBand="0" w:noVBand="1" w:val="04A0"/>
      </w:tblPr>
      <w:tblGrid>
        <w:gridCol w:w="4824"/>
        <w:gridCol w:w="4824"/>
      </w:tblGrid>
      <w:tr>
        <w:tc>
          <w:tcPr>
            <w:tcW w:type="dxa" w:w="4824"/>
          </w:tcPr>
          <w:p>
            <w:r>
              <w:t>Role</w:t>
            </w:r>
          </w:p>
        </w:tc>
        <w:tc>
          <w:tcPr>
            <w:tcW w:type="dxa" w:w="4824"/>
          </w:tcPr>
          <w:p>
            <w:r>
              <w:t>Typical duties</w:t>
            </w:r>
          </w:p>
        </w:tc>
      </w:tr>
      <w:tr>
        <w:tc>
          <w:tcPr>
            <w:tcW w:type="dxa" w:w="4824"/>
          </w:tcPr>
          <w:p>
            <w:r>
              <w:t>platform_admin</w:t>
            </w:r>
          </w:p>
        </w:tc>
        <w:tc>
          <w:tcPr>
            <w:tcW w:type="dxa" w:w="4824"/>
          </w:tcPr>
          <w:p>
            <w:r>
              <w:t>Full platform administration, cross-tenant</w:t>
            </w:r>
          </w:p>
        </w:tc>
      </w:tr>
      <w:tr>
        <w:tc>
          <w:tcPr>
            <w:tcW w:type="dxa" w:w="4824"/>
          </w:tcPr>
          <w:p>
            <w:r>
              <w:t>soc_manager</w:t>
            </w:r>
          </w:p>
        </w:tc>
        <w:tc>
          <w:tcPr>
            <w:tcW w:type="dxa" w:w="4824"/>
          </w:tcPr>
          <w:p>
            <w:r>
              <w:t>Cross-tenant SOC operations, triage ownership</w:t>
            </w:r>
          </w:p>
        </w:tc>
      </w:tr>
      <w:tr>
        <w:tc>
          <w:tcPr>
            <w:tcW w:type="dxa" w:w="4824"/>
          </w:tcPr>
          <w:p>
            <w:r>
              <w:t>soc_analyst</w:t>
            </w:r>
          </w:p>
        </w:tc>
        <w:tc>
          <w:tcPr>
            <w:tcW w:type="dxa" w:w="4824"/>
          </w:tcPr>
          <w:p>
            <w:r>
              <w:t>Cross-tenant triage; EDR write actions allowed (SOC_WRITE_ROLES)</w:t>
            </w:r>
          </w:p>
        </w:tc>
      </w:tr>
    </w:tbl>
    <w:p/>
    <w:p>
      <w:pPr>
        <w:pStyle w:val="Heading2"/>
      </w:pPr>
      <w:r>
        <w:t>Customer users — Customer portal :3001</w:t>
      </w:r>
    </w:p>
    <w:tbl>
      <w:tblPr>
        <w:tblStyle w:val="TableGrid"/>
        <w:tblW w:type="auto" w:w="0"/>
        <w:tblLook w:firstColumn="1" w:firstRow="1" w:lastColumn="0" w:lastRow="0" w:noHBand="0" w:noVBand="1" w:val="04A0"/>
      </w:tblPr>
      <w:tblGrid>
        <w:gridCol w:w="4824"/>
        <w:gridCol w:w="4824"/>
      </w:tblGrid>
      <w:tr>
        <w:tc>
          <w:tcPr>
            <w:tcW w:type="dxa" w:w="4824"/>
          </w:tcPr>
          <w:p>
            <w:r>
              <w:t>Role</w:t>
            </w:r>
          </w:p>
        </w:tc>
        <w:tc>
          <w:tcPr>
            <w:tcW w:type="dxa" w:w="4824"/>
          </w:tcPr>
          <w:p>
            <w:r>
              <w:t>Typical duties</w:t>
            </w:r>
          </w:p>
        </w:tc>
      </w:tr>
      <w:tr>
        <w:tc>
          <w:tcPr>
            <w:tcW w:type="dxa" w:w="4824"/>
          </w:tcPr>
          <w:p>
            <w:r>
              <w:t>customer_admin</w:t>
            </w:r>
          </w:p>
        </w:tc>
        <w:tc>
          <w:tcPr>
            <w:tcW w:type="dxa" w:w="4824"/>
          </w:tcPr>
          <w:p>
            <w:r>
              <w:t>Tenant-scoped admin; may execute co-managed EDR actions (CUSTOMER_ACTION_ROLES)</w:t>
            </w:r>
          </w:p>
        </w:tc>
      </w:tr>
      <w:tr>
        <w:tc>
          <w:tcPr>
            <w:tcW w:type="dxa" w:w="4824"/>
          </w:tcPr>
          <w:p>
            <w:r>
              <w:t>customer_viewer</w:t>
            </w:r>
          </w:p>
        </w:tc>
        <w:tc>
          <w:tcPr>
            <w:tcW w:type="dxa" w:w="4824"/>
          </w:tcPr>
          <w:p>
            <w:r>
              <w:t>Read-only tenant views</w:t>
            </w:r>
          </w:p>
        </w:tc>
      </w:tr>
    </w:tbl>
    <w:p/>
    <w:p>
      <w:r>
        <w:t>Canonical roles are enforced by CHECK constraint on platform_users.role (postgres/init/002_kb010_auth_rbac.sql) and by FastAPI dependencies in backend-api/app/api/dependencies.py:</w:t>
      </w:r>
    </w:p>
    <w:p>
      <w:pPr>
        <w:pStyle w:val="ListBullet"/>
      </w:pPr>
      <w:r>
        <w:t>get_current_user() — JWT (HS256, JWT_SECRET)</w:t>
      </w:r>
    </w:p>
    <w:p>
      <w:pPr>
        <w:pStyle w:val="ListBullet"/>
      </w:pPr>
      <w:r>
        <w:t>require_roles(*allowed_roles)</w:t>
      </w:r>
    </w:p>
    <w:p>
      <w:pPr>
        <w:pStyle w:val="ListBullet"/>
      </w:pPr>
      <w:r>
        <w:t>require_tenant_match() — customer wrong-tenant → HTTP 404 (not 403); MSSP roles exempt for cross-tenant work</w:t>
      </w:r>
    </w:p>
    <w:p>
      <w:r>
        <w:t>Login is portal-separated: Admin accepts staff roles only; Customer accepts customer roles only (portal field on login). Customer UI never calls /admin APIs.</w:t>
      </w:r>
    </w:p>
    <w:p>
      <w:pPr>
        <w:pStyle w:val="Heading1"/>
      </w:pPr>
      <w:r>
        <w:t>1.3 Target value proposition</w:t>
      </w:r>
    </w:p>
    <w:tbl>
      <w:tblPr>
        <w:tblStyle w:val="TableGrid"/>
        <w:tblW w:type="auto" w:w="0"/>
        <w:tblLook w:firstColumn="1" w:firstRow="1" w:lastColumn="0" w:lastRow="0" w:noHBand="0" w:noVBand="1" w:val="04A0"/>
      </w:tblPr>
      <w:tblGrid>
        <w:gridCol w:w="3216"/>
        <w:gridCol w:w="3216"/>
        <w:gridCol w:w="3216"/>
      </w:tblGrid>
      <w:tr>
        <w:tc>
          <w:tcPr>
            <w:tcW w:type="dxa" w:w="3216"/>
          </w:tcPr>
          <w:p>
            <w:r>
              <w:t>Capability</w:t>
            </w:r>
          </w:p>
        </w:tc>
        <w:tc>
          <w:tcPr>
            <w:tcW w:type="dxa" w:w="3216"/>
          </w:tcPr>
          <w:p>
            <w:r>
              <w:t>Engine(s)</w:t>
            </w:r>
          </w:p>
        </w:tc>
        <w:tc>
          <w:tcPr>
            <w:tcW w:type="dxa" w:w="3216"/>
          </w:tcPr>
          <w:p>
            <w:r>
              <w:t>Control-plane outcome</w:t>
            </w:r>
          </w:p>
        </w:tc>
      </w:tr>
      <w:tr>
        <w:tc>
          <w:tcPr>
            <w:tcW w:type="dxa" w:w="3216"/>
          </w:tcPr>
          <w:p>
            <w:r>
              <w:t>SIEM / endpoint telemetry</w:t>
            </w:r>
          </w:p>
        </w:tc>
        <w:tc>
          <w:tcPr>
            <w:tcW w:type="dxa" w:w="3216"/>
          </w:tcPr>
          <w:p>
            <w:r>
              <w:t>Wazuh Manager + agents (VM 101)</w:t>
            </w:r>
          </w:p>
        </w:tc>
        <w:tc>
          <w:tcPr>
            <w:tcW w:type="dxa" w:w="3216"/>
          </w:tcPr>
          <w:p>
            <w:r>
              <w:t>Normalized security_alerts, process events, agent health</w:t>
            </w:r>
          </w:p>
        </w:tc>
      </w:tr>
      <w:tr>
        <w:tc>
          <w:tcPr>
            <w:tcW w:type="dxa" w:w="3216"/>
          </w:tcPr>
          <w:p>
            <w:r>
              <w:t>Network IDS</w:t>
            </w:r>
          </w:p>
        </w:tc>
        <w:tc>
          <w:tcPr>
            <w:tcW w:type="dxa" w:w="3216"/>
          </w:tcPr>
          <w:p>
            <w:r>
              <w:t>Suricata (VM 106) → Wazuh</w:t>
            </w:r>
          </w:p>
        </w:tc>
        <w:tc>
          <w:tcPr>
            <w:tcW w:type="dxa" w:w="3216"/>
          </w:tcPr>
          <w:p>
            <w:r>
              <w:t>Network alerts into same alert pipeline</w:t>
            </w:r>
          </w:p>
        </w:tc>
      </w:tr>
      <w:tr>
        <w:tc>
          <w:tcPr>
            <w:tcW w:type="dxa" w:w="3216"/>
          </w:tcPr>
          <w:p>
            <w:r>
              <w:t>Case / IR</w:t>
            </w:r>
          </w:p>
        </w:tc>
        <w:tc>
          <w:tcPr>
            <w:tcW w:type="dxa" w:w="3216"/>
          </w:tcPr>
          <w:p>
            <w:r>
              <w:t>TheHive (VM 102)</w:t>
            </w:r>
          </w:p>
        </w:tc>
        <w:tc>
          <w:tcPr>
            <w:tcW w:type="dxa" w:w="3216"/>
          </w:tcPr>
          <w:p>
            <w:r>
              <w:t>Cases synced; org/tag bound per tenant (KB-072)</w:t>
            </w:r>
          </w:p>
        </w:tc>
      </w:tr>
      <w:tr>
        <w:tc>
          <w:tcPr>
            <w:tcW w:type="dxa" w:w="3216"/>
          </w:tcPr>
          <w:p>
            <w:r>
              <w:t>SOAR</w:t>
            </w:r>
          </w:p>
        </w:tc>
        <w:tc>
          <w:tcPr>
            <w:tcW w:type="dxa" w:w="3216"/>
          </w:tcPr>
          <w:p>
            <w:r>
              <w:t>Shuffle (VM 102)</w:t>
            </w:r>
          </w:p>
        </w:tc>
        <w:tc>
          <w:tcPr>
            <w:tcW w:type="dxa" w:w="3216"/>
          </w:tcPr>
          <w:p>
            <w:r>
              <w:t>Playbooks, EDR workflow hop, forensics triggers</w:t>
            </w:r>
          </w:p>
        </w:tc>
      </w:tr>
      <w:tr>
        <w:tc>
          <w:tcPr>
            <w:tcW w:type="dxa" w:w="3216"/>
          </w:tcPr>
          <w:p>
            <w:r>
              <w:t>Vulnerability assessment</w:t>
            </w:r>
          </w:p>
        </w:tc>
        <w:tc>
          <w:tcPr>
            <w:tcW w:type="dxa" w:w="3216"/>
          </w:tcPr>
          <w:p>
            <w:r>
              <w:t>Nuclei + Vuls primary; Greenbone CE backup (VM 109)</w:t>
            </w:r>
          </w:p>
        </w:tc>
        <w:tc>
          <w:tcPr>
            <w:tcW w:type="dxa" w:w="3216"/>
          </w:tcPr>
          <w:p>
            <w:r>
              <w:t>vulnerabilities → Admin triage → customer-safe recommendations</w:t>
            </w:r>
          </w:p>
        </w:tc>
      </w:tr>
      <w:tr>
        <w:tc>
          <w:tcPr>
            <w:tcW w:type="dxa" w:w="3216"/>
          </w:tcPr>
          <w:p>
            <w:r>
              <w:t>Endpoint response (EDR/MXDR)</w:t>
            </w:r>
          </w:p>
        </w:tc>
        <w:tc>
          <w:tcPr>
            <w:tcW w:type="dxa" w:w="3216"/>
          </w:tcPr>
          <w:p>
            <w:r>
              <w:t>Wazuh Active Response + control-plane APIs</w:t>
            </w:r>
          </w:p>
        </w:tc>
        <w:tc>
          <w:tcPr>
            <w:tcW w:type="dxa" w:w="3216"/>
          </w:tcPr>
          <w:p>
            <w:r>
              <w:t>Isolate / unisolate / kill / block-hash / forensics with audit</w:t>
            </w:r>
          </w:p>
        </w:tc>
      </w:tr>
    </w:tbl>
    <w:p/>
    <w:p>
      <w:r>
        <w:t>Customer-facing copy never names third-party engines. Mapping lives in backend-api/app/services/customer_safe_labels.py (example: wazuh → “Endpoint monitoring”, nuclei/vuls/greenbone → “Vulnerability assessment”).</w:t>
      </w:r>
    </w:p>
    <w:p>
      <w:pPr>
        <w:pStyle w:val="Heading1"/>
      </w:pPr>
      <w:r>
        <w:t>1.4 Evolution timeline (Day 1 → present)</w:t>
      </w:r>
    </w:p>
    <w:tbl>
      <w:tblPr>
        <w:tblStyle w:val="TableGrid"/>
        <w:tblW w:type="auto" w:w="0"/>
        <w:tblLook w:firstColumn="1" w:firstRow="1" w:lastColumn="0" w:lastRow="0" w:noHBand="0" w:noVBand="1" w:val="04A0"/>
      </w:tblPr>
      <w:tblGrid>
        <w:gridCol w:w="3216"/>
        <w:gridCol w:w="3216"/>
        <w:gridCol w:w="3216"/>
      </w:tblGrid>
      <w:tr>
        <w:tc>
          <w:tcPr>
            <w:tcW w:type="dxa" w:w="3216"/>
          </w:tcPr>
          <w:p>
            <w:r>
              <w:t>Phase</w:t>
            </w:r>
          </w:p>
        </w:tc>
        <w:tc>
          <w:tcPr>
            <w:tcW w:type="dxa" w:w="3216"/>
          </w:tcPr>
          <w:p>
            <w:r>
              <w:t>KB / commit markers</w:t>
            </w:r>
          </w:p>
        </w:tc>
        <w:tc>
          <w:tcPr>
            <w:tcW w:type="dxa" w:w="3216"/>
          </w:tcPr>
          <w:p>
            <w:r>
              <w:t>Deliverable</w:t>
            </w:r>
          </w:p>
        </w:tc>
      </w:tr>
      <w:tr>
        <w:tc>
          <w:tcPr>
            <w:tcW w:type="dxa" w:w="3216"/>
          </w:tcPr>
          <w:p>
            <w:r>
              <w:t>Foundation</w:t>
            </w:r>
          </w:p>
        </w:tc>
        <w:tc>
          <w:tcPr>
            <w:tcW w:type="dxa" w:w="3216"/>
          </w:tcPr>
          <w:p>
            <w:r>
              <w:t>KB-001–KB-009A, tag kb008-validated-foundation</w:t>
            </w:r>
          </w:p>
        </w:tc>
        <w:tc>
          <w:tcPr>
            <w:tcW w:type="dxa" w:w="3216"/>
          </w:tcPr>
          <w:p>
            <w:r>
              <w:t>Compose stack, core schema, AI agent rules</w:t>
            </w:r>
          </w:p>
        </w:tc>
      </w:tr>
      <w:tr>
        <w:tc>
          <w:tcPr>
            <w:tcW w:type="dxa" w:w="3216"/>
          </w:tcPr>
          <w:p>
            <w:r>
              <w:t>Auth &amp; APIs</w:t>
            </w:r>
          </w:p>
        </w:tc>
        <w:tc>
          <w:tcPr>
            <w:tcW w:type="dxa" w:w="3216"/>
          </w:tcPr>
          <w:p>
            <w:r>
              <w:t>KB-010–KB-017, tags kb010-auth-rbac-phase1-validated, kb011-protected-apis-validated</w:t>
            </w:r>
          </w:p>
        </w:tc>
        <w:tc>
          <w:tcPr>
            <w:tcW w:type="dxa" w:w="3216"/>
          </w:tcPr>
          <w:p>
            <w:r>
              <w:t>RBAC, protected APIs, tenants/users/appliances</w:t>
            </w:r>
          </w:p>
        </w:tc>
      </w:tr>
      <w:tr>
        <w:tc>
          <w:tcPr>
            <w:tcW w:type="dxa" w:w="3216"/>
          </w:tcPr>
          <w:p>
            <w:r>
              <w:t>Admin UI</w:t>
            </w:r>
          </w:p>
        </w:tc>
        <w:tc>
          <w:tcPr>
            <w:tcW w:type="dxa" w:w="3216"/>
          </w:tcPr>
          <w:p>
            <w:r>
              <w:t>KB-018–KB-020</w:t>
            </w:r>
          </w:p>
        </w:tc>
        <w:tc>
          <w:tcPr>
            <w:tcW w:type="dxa" w:w="3216"/>
          </w:tcPr>
          <w:p>
            <w:r>
              <w:t>Admin nginx portal foundation, activation tokens, prod/demo separation</w:t>
            </w:r>
          </w:p>
        </w:tc>
      </w:tr>
      <w:tr>
        <w:tc>
          <w:tcPr>
            <w:tcW w:type="dxa" w:w="3216"/>
          </w:tcPr>
          <w:p>
            <w:r>
              <w:t>Customer UI</w:t>
            </w:r>
          </w:p>
        </w:tc>
        <w:tc>
          <w:tcPr>
            <w:tcW w:type="dxa" w:w="3216"/>
          </w:tcPr>
          <w:p>
            <w:r>
              <w:t>KB-021–KB-035, tag kb035-customer-appliance-detail-validated (1ac1df3)</w:t>
            </w:r>
          </w:p>
        </w:tc>
        <w:tc>
          <w:tcPr>
            <w:tcW w:type="dxa" w:w="3216"/>
          </w:tcPr>
          <w:p>
            <w:r>
              <w:t>Full customer list/detail surface</w:t>
            </w:r>
          </w:p>
        </w:tc>
      </w:tr>
      <w:tr>
        <w:tc>
          <w:tcPr>
            <w:tcW w:type="dxa" w:w="3216"/>
          </w:tcPr>
          <w:p>
            <w:r>
              <w:t>Architecture docs</w:t>
            </w:r>
          </w:p>
        </w:tc>
        <w:tc>
          <w:tcPr>
            <w:tcW w:type="dxa" w:w="3216"/>
          </w:tcPr>
          <w:p>
            <w:r>
              <w:t>KB-036–KB-060</w:t>
            </w:r>
          </w:p>
        </w:tc>
        <w:tc>
          <w:tcPr>
            <w:tcW w:type="dxa" w:w="3216"/>
          </w:tcPr>
          <w:p>
            <w:r>
              <w:t>Enterprise roadmap, VM plan, ops runbooks</w:t>
            </w:r>
          </w:p>
        </w:tc>
      </w:tr>
      <w:tr>
        <w:tc>
          <w:tcPr>
            <w:tcW w:type="dxa" w:w="3216"/>
          </w:tcPr>
          <w:p>
            <w:r>
              <w:t>Live engines</w:t>
            </w:r>
          </w:p>
        </w:tc>
        <w:tc>
          <w:tcPr>
            <w:tcW w:type="dxa" w:w="3216"/>
          </w:tcPr>
          <w:p>
            <w:r>
              <w:t>KB-041–KB-049, KB-061–KB-063</w:t>
            </w:r>
          </w:p>
        </w:tc>
        <w:tc>
          <w:tcPr>
            <w:tcW w:type="dxa" w:w="3216"/>
          </w:tcPr>
          <w:p>
            <w:r>
              <w:t>Wazuh 4.14.6, Suricata, TheHive+Shuffle, ingress</w:t>
            </w:r>
          </w:p>
        </w:tc>
      </w:tr>
      <w:tr>
        <w:tc>
          <w:tcPr>
            <w:tcW w:type="dxa" w:w="3216"/>
          </w:tcPr>
          <w:p>
            <w:r>
              <w:t>Vuln &amp; entitlements</w:t>
            </w:r>
          </w:p>
        </w:tc>
        <w:tc>
          <w:tcPr>
            <w:tcW w:type="dxa" w:w="3216"/>
          </w:tcPr>
          <w:p>
            <w:r>
              <w:t>KB-068–KB-079</w:t>
            </w:r>
          </w:p>
        </w:tc>
        <w:tc>
          <w:tcPr>
            <w:tcW w:type="dxa" w:w="3216"/>
          </w:tcPr>
          <w:p>
            <w:r>
              <w:t>Greenbone CE, Nuclei+Vuls, entitlements, contract onboard</w:t>
            </w:r>
          </w:p>
        </w:tc>
      </w:tr>
      <w:tr>
        <w:tc>
          <w:tcPr>
            <w:tcW w:type="dxa" w:w="3216"/>
          </w:tcPr>
          <w:p>
            <w:r>
              <w:t>EDR / MXDR</w:t>
            </w:r>
          </w:p>
        </w:tc>
        <w:tc>
          <w:tcPr>
            <w:tcW w:type="dxa" w:w="3216"/>
          </w:tcPr>
          <w:p>
            <w:r>
              <w:t>KB-083–KB-084 (af6175f … 73376d6)</w:t>
            </w:r>
          </w:p>
        </w:tc>
        <w:tc>
          <w:tcPr>
            <w:tcW w:type="dxa" w:w="3216"/>
          </w:tcPr>
          <w:p>
            <w:r>
              <w:t>Actions, lifecycle, forensics stream, process trees</w:t>
            </w:r>
          </w:p>
        </w:tc>
      </w:tr>
      <w:tr>
        <w:tc>
          <w:tcPr>
            <w:tcW w:type="dxa" w:w="3216"/>
          </w:tcPr>
          <w:p>
            <w:r>
              <w:t>Portal &amp; Windows</w:t>
            </w:r>
          </w:p>
        </w:tc>
        <w:tc>
          <w:tcPr>
            <w:tcW w:type="dxa" w:w="3216"/>
          </w:tcPr>
          <w:p>
            <w:r>
              <w:t>KB-088 (e13fc51)</w:t>
            </w:r>
          </w:p>
        </w:tc>
        <w:tc>
          <w:tcPr>
            <w:tcW w:type="dxa" w:w="3216"/>
          </w:tcPr>
          <w:p>
            <w:r>
              <w:t>User mgmt, portal auth, SPA fixes, Windows telemetry bar</w:t>
            </w:r>
          </w:p>
        </w:tc>
      </w:tr>
      <w:tr>
        <w:tc>
          <w:tcPr>
            <w:tcW w:type="dxa" w:w="3216"/>
          </w:tcPr>
          <w:p>
            <w:r>
              <w:t>Containment honesty</w:t>
            </w:r>
          </w:p>
        </w:tc>
        <w:tc>
          <w:tcPr>
            <w:tcW w:type="dxa" w:w="3216"/>
          </w:tcPr>
          <w:p>
            <w:r>
              <w:t>KB-091</w:t>
            </w:r>
          </w:p>
        </w:tc>
        <w:tc>
          <w:tcPr>
            <w:tcW w:type="dxa" w:w="3216"/>
          </w:tcPr>
          <w:p>
            <w:r>
              <w:t>Fail-closed OS resolve, Dispatched vs Verified, quarantine AR</w:t>
            </w:r>
          </w:p>
        </w:tc>
      </w:tr>
    </w:tbl>
    <w:p/>
    <w:p>
      <w:r>
        <w:t>————————————————————————————————————————</w:t>
      </w:r>
    </w:p>
    <w:p>
      <w:pPr>
        <w:pStyle w:val="Title"/>
      </w:pPr>
      <w:r>
        <w:t>2. High-Level Architecture &amp; Infrastructure Topology</w:t>
      </w:r>
    </w:p>
    <w:p>
      <w:pPr>
        <w:pStyle w:val="Heading1"/>
      </w:pPr>
      <w:r>
        <w:t>2.1 Network &amp; control-plane topography</w:t>
      </w:r>
    </w:p>
    <w:p>
      <w:pPr>
        <w:pStyle w:val="Heading2"/>
      </w:pPr>
      <w:r>
        <w:t>Live VMs (authoritative: CONTEXT.md)</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t>VM</w:t>
            </w:r>
          </w:p>
        </w:tc>
        <w:tc>
          <w:tcPr>
            <w:tcW w:type="dxa" w:w="1930"/>
          </w:tcPr>
          <w:p>
            <w:r>
              <w:t>Hostname</w:t>
            </w:r>
          </w:p>
        </w:tc>
        <w:tc>
          <w:tcPr>
            <w:tcW w:type="dxa" w:w="1930"/>
          </w:tcPr>
          <w:p>
            <w:r>
              <w:t>IP</w:t>
            </w:r>
          </w:p>
        </w:tc>
        <w:tc>
          <w:tcPr>
            <w:tcW w:type="dxa" w:w="1930"/>
          </w:tcPr>
          <w:p>
            <w:r>
              <w:t>Role</w:t>
            </w:r>
          </w:p>
        </w:tc>
        <w:tc>
          <w:tcPr>
            <w:tcW w:type="dxa" w:w="1930"/>
          </w:tcPr>
          <w:p>
            <w:r>
              <w:t>State</w:t>
            </w:r>
          </w:p>
        </w:tc>
      </w:tr>
      <w:tr>
        <w:tc>
          <w:tcPr>
            <w:tcW w:type="dxa" w:w="1930"/>
          </w:tcPr>
          <w:p>
            <w:r>
              <w:t>100</w:t>
            </w:r>
          </w:p>
        </w:tc>
        <w:tc>
          <w:tcPr>
            <w:tcW w:type="dxa" w:w="1930"/>
          </w:tcPr>
          <w:p>
            <w:r>
              <w:t>mssp-control</w:t>
            </w:r>
          </w:p>
        </w:tc>
        <w:tc>
          <w:tcPr>
            <w:tcW w:type="dxa" w:w="1930"/>
          </w:tcPr>
          <w:p>
            <w:r>
              <w:t>192.168.0.201</w:t>
            </w:r>
          </w:p>
        </w:tc>
        <w:tc>
          <w:tcPr>
            <w:tcW w:type="dxa" w:w="1930"/>
          </w:tcPr>
          <w:p>
            <w:r>
              <w:t>Control plane (this repository)</w:t>
            </w:r>
          </w:p>
        </w:tc>
        <w:tc>
          <w:tcPr>
            <w:tcW w:type="dxa" w:w="1930"/>
          </w:tcPr>
          <w:p>
            <w:r>
              <w:t>Production</w:t>
            </w:r>
          </w:p>
        </w:tc>
      </w:tr>
      <w:tr>
        <w:tc>
          <w:tcPr>
            <w:tcW w:type="dxa" w:w="1930"/>
          </w:tcPr>
          <w:p>
            <w:r>
              <w:t>101</w:t>
            </w:r>
          </w:p>
        </w:tc>
        <w:tc>
          <w:tcPr>
            <w:tcW w:type="dxa" w:w="1930"/>
          </w:tcPr>
          <w:p>
            <w:r>
              <w:t>wazuh-stack</w:t>
            </w:r>
          </w:p>
        </w:tc>
        <w:tc>
          <w:tcPr>
            <w:tcW w:type="dxa" w:w="1930"/>
          </w:tcPr>
          <w:p>
            <w:r>
              <w:t>192.168.0.211</w:t>
            </w:r>
          </w:p>
        </w:tc>
        <w:tc>
          <w:tcPr>
            <w:tcW w:type="dxa" w:w="1930"/>
          </w:tcPr>
          <w:p>
            <w:r>
              <w:t>Wazuh Manager / Indexer / Dashboard 4.14.6</w:t>
            </w:r>
          </w:p>
        </w:tc>
        <w:tc>
          <w:tcPr>
            <w:tcW w:type="dxa" w:w="1930"/>
          </w:tcPr>
          <w:p>
            <w:r>
              <w:t>Live</w:t>
            </w:r>
          </w:p>
        </w:tc>
      </w:tr>
      <w:tr>
        <w:tc>
          <w:tcPr>
            <w:tcW w:type="dxa" w:w="1930"/>
          </w:tcPr>
          <w:p>
            <w:r>
              <w:t>102</w:t>
            </w:r>
          </w:p>
        </w:tc>
        <w:tc>
          <w:tcPr>
            <w:tcW w:type="dxa" w:w="1930"/>
          </w:tcPr>
          <w:p>
            <w:r>
              <w:t>thehive_shuffle</w:t>
            </w:r>
          </w:p>
        </w:tc>
        <w:tc>
          <w:tcPr>
            <w:tcW w:type="dxa" w:w="1930"/>
          </w:tcPr>
          <w:p>
            <w:r>
              <w:t>192.168.0.212</w:t>
            </w:r>
          </w:p>
        </w:tc>
        <w:tc>
          <w:tcPr>
            <w:tcW w:type="dxa" w:w="1930"/>
          </w:tcPr>
          <w:p>
            <w:r>
              <w:t>TheHive + Shuffle</w:t>
            </w:r>
          </w:p>
        </w:tc>
        <w:tc>
          <w:tcPr>
            <w:tcW w:type="dxa" w:w="1930"/>
          </w:tcPr>
          <w:p>
            <w:r>
              <w:t>Live</w:t>
            </w:r>
          </w:p>
        </w:tc>
      </w:tr>
      <w:tr>
        <w:tc>
          <w:tcPr>
            <w:tcW w:type="dxa" w:w="1930"/>
          </w:tcPr>
          <w:p>
            <w:r>
              <w:t>106</w:t>
            </w:r>
          </w:p>
        </w:tc>
        <w:tc>
          <w:tcPr>
            <w:tcW w:type="dxa" w:w="1930"/>
          </w:tcPr>
          <w:p>
            <w:r>
              <w:t>suricata-sensor</w:t>
            </w:r>
          </w:p>
        </w:tc>
        <w:tc>
          <w:tcPr>
            <w:tcW w:type="dxa" w:w="1930"/>
          </w:tcPr>
          <w:p>
            <w:r>
              <w:t>192.168.0.216</w:t>
            </w:r>
          </w:p>
        </w:tc>
        <w:tc>
          <w:tcPr>
            <w:tcW w:type="dxa" w:w="1930"/>
          </w:tcPr>
          <w:p>
            <w:r>
              <w:t>Suricata IDS + Wazuh agent</w:t>
            </w:r>
          </w:p>
        </w:tc>
        <w:tc>
          <w:tcPr>
            <w:tcW w:type="dxa" w:w="1930"/>
          </w:tcPr>
          <w:p>
            <w:r>
              <w:t>Live</w:t>
            </w:r>
          </w:p>
        </w:tc>
      </w:tr>
      <w:tr>
        <w:tc>
          <w:tcPr>
            <w:tcW w:type="dxa" w:w="1930"/>
          </w:tcPr>
          <w:p>
            <w:r>
              <w:t>109</w:t>
            </w:r>
          </w:p>
        </w:tc>
        <w:tc>
          <w:tcPr>
            <w:tcW w:type="dxa" w:w="1930"/>
          </w:tcPr>
          <w:p>
            <w:r>
              <w:t>greenbone</w:t>
            </w:r>
          </w:p>
        </w:tc>
        <w:tc>
          <w:tcPr>
            <w:tcW w:type="dxa" w:w="1930"/>
          </w:tcPr>
          <w:p>
            <w:r>
              <w:t>192.168.0.219</w:t>
            </w:r>
          </w:p>
        </w:tc>
        <w:tc>
          <w:tcPr>
            <w:tcW w:type="dxa" w:w="1930"/>
          </w:tcPr>
          <w:p>
            <w:r>
              <w:t>Greenbone CE + Nuclei + Vuls (/opt/mssp-vuln-free)</w:t>
            </w:r>
          </w:p>
        </w:tc>
        <w:tc>
          <w:tcPr>
            <w:tcW w:type="dxa" w:w="1930"/>
          </w:tcPr>
          <w:p>
            <w:r>
              <w:t>Live</w:t>
            </w:r>
          </w:p>
        </w:tc>
      </w:tr>
      <w:tr>
        <w:tc>
          <w:tcPr>
            <w:tcW w:type="dxa" w:w="1930"/>
          </w:tcPr>
          <w:p>
            <w:r>
              <w:t>112</w:t>
            </w:r>
          </w:p>
        </w:tc>
        <w:tc>
          <w:tcPr>
            <w:tcW w:type="dxa" w:w="1930"/>
          </w:tcPr>
          <w:p>
            <w:r>
              <w:t>automation</w:t>
            </w:r>
          </w:p>
        </w:tc>
        <w:tc>
          <w:tcPr>
            <w:tcW w:type="dxa" w:w="1930"/>
          </w:tcPr>
          <w:p>
            <w:r>
              <w:t>192.168.0.222</w:t>
            </w:r>
          </w:p>
        </w:tc>
        <w:tc>
          <w:tcPr>
            <w:tcW w:type="dxa" w:w="1930"/>
          </w:tcPr>
          <w:p>
            <w:r>
              <w:t>Ansible controller</w:t>
            </w:r>
          </w:p>
        </w:tc>
        <w:tc>
          <w:tcPr>
            <w:tcW w:type="dxa" w:w="1930"/>
          </w:tcPr>
          <w:p>
            <w:r>
              <w:t>Ready</w:t>
            </w:r>
          </w:p>
        </w:tc>
      </w:tr>
      <w:tr>
        <w:tc>
          <w:tcPr>
            <w:tcW w:type="dxa" w:w="1930"/>
          </w:tcPr>
          <w:p>
            <w:r>
              <w:t>105</w:t>
            </w:r>
          </w:p>
        </w:tc>
        <w:tc>
          <w:tcPr>
            <w:tcW w:type="dxa" w:w="1930"/>
          </w:tcPr>
          <w:p>
            <w:r>
              <w:t>(former Linux lab)</w:t>
            </w:r>
          </w:p>
        </w:tc>
        <w:tc>
          <w:tcPr>
            <w:tcW w:type="dxa" w:w="1930"/>
          </w:tcPr>
          <w:p>
            <w:r>
              <w:t>—</w:t>
            </w:r>
          </w:p>
        </w:tc>
        <w:tc>
          <w:tcPr>
            <w:tcW w:type="dxa" w:w="1930"/>
          </w:tcPr>
          <w:p>
            <w:r>
              <w:t>Decommissioned 2026-07-29</w:t>
            </w:r>
          </w:p>
        </w:tc>
        <w:tc>
          <w:tcPr>
            <w:tcW w:type="dxa" w:w="1930"/>
          </w:tcPr>
          <w:p>
            <w:r>
              <w:t>Destroyed</w:t>
            </w:r>
          </w:p>
        </w:tc>
      </w:tr>
    </w:tbl>
    <w:p/>
    <w:p>
      <w:r>
        <w:t>Roadmap placeholders still documented in KB-036 (Zeek VM 107, MISP 108, Velociraptor 110, monitoring 111) remain future until an explicit KB installs them.</w:t>
      </w:r>
    </w:p>
    <w:p>
      <w:pPr>
        <w:pStyle w:val="Heading2"/>
      </w:pPr>
      <w:r>
        <w:t>Exposed / referenced ports</w:t>
      </w:r>
    </w:p>
    <w:tbl>
      <w:tblPr>
        <w:tblStyle w:val="TableGrid"/>
        <w:tblW w:type="auto" w:w="0"/>
        <w:tblLook w:firstColumn="1" w:firstRow="1" w:lastColumn="0" w:lastRow="0" w:noHBand="0" w:noVBand="1" w:val="04A0"/>
      </w:tblPr>
      <w:tblGrid>
        <w:gridCol w:w="3216"/>
        <w:gridCol w:w="3216"/>
        <w:gridCol w:w="3216"/>
      </w:tblGrid>
      <w:tr>
        <w:tc>
          <w:tcPr>
            <w:tcW w:type="dxa" w:w="3216"/>
          </w:tcPr>
          <w:p>
            <w:r>
              <w:t>Service</w:t>
            </w:r>
          </w:p>
        </w:tc>
        <w:tc>
          <w:tcPr>
            <w:tcW w:type="dxa" w:w="3216"/>
          </w:tcPr>
          <w:p>
            <w:r>
              <w:t>Address / port</w:t>
            </w:r>
          </w:p>
        </w:tc>
        <w:tc>
          <w:tcPr>
            <w:tcW w:type="dxa" w:w="3216"/>
          </w:tcPr>
          <w:p>
            <w:r>
              <w:t>Notes</w:t>
            </w:r>
          </w:p>
        </w:tc>
      </w:tr>
      <w:tr>
        <w:tc>
          <w:tcPr>
            <w:tcW w:type="dxa" w:w="3216"/>
          </w:tcPr>
          <w:p>
            <w:r>
              <w:t>Admin portal</w:t>
            </w:r>
          </w:p>
        </w:tc>
        <w:tc>
          <w:tcPr>
            <w:tcW w:type="dxa" w:w="3216"/>
          </w:tcPr>
          <w:p>
            <w:r>
              <w:t>192.168.0.201:3000</w:t>
            </w:r>
          </w:p>
        </w:tc>
        <w:tc>
          <w:tcPr>
            <w:tcW w:type="dxa" w:w="3216"/>
          </w:tcPr>
          <w:p>
            <w:r>
              <w:t>nginx → static SPA; /api/ → backend</w:t>
            </w:r>
          </w:p>
        </w:tc>
      </w:tr>
      <w:tr>
        <w:tc>
          <w:tcPr>
            <w:tcW w:type="dxa" w:w="3216"/>
          </w:tcPr>
          <w:p>
            <w:r>
              <w:t>Customer portal</w:t>
            </w:r>
          </w:p>
        </w:tc>
        <w:tc>
          <w:tcPr>
            <w:tcW w:type="dxa" w:w="3216"/>
          </w:tcPr>
          <w:p>
            <w:r>
              <w:t>192.168.0.201:3001</w:t>
            </w:r>
          </w:p>
        </w:tc>
        <w:tc>
          <w:tcPr>
            <w:tcW w:type="dxa" w:w="3216"/>
          </w:tcPr>
          <w:p>
            <w:r>
              <w:t>nginx → static SPA; /api/ → backend</w:t>
            </w:r>
          </w:p>
        </w:tc>
      </w:tr>
      <w:tr>
        <w:tc>
          <w:tcPr>
            <w:tcW w:type="dxa" w:w="3216"/>
          </w:tcPr>
          <w:p>
            <w:r>
              <w:t>Control-plane API</w:t>
            </w:r>
          </w:p>
        </w:tc>
        <w:tc>
          <w:tcPr>
            <w:tcW w:type="dxa" w:w="3216"/>
          </w:tcPr>
          <w:p>
            <w:r>
              <w:t>container :8000 (host ${API_PORT})</w:t>
            </w:r>
          </w:p>
        </w:tc>
        <w:tc>
          <w:tcPr>
            <w:tcW w:type="dxa" w:w="3216"/>
          </w:tcPr>
          <w:p>
            <w:r>
              <w:t>FastAPI</w:t>
            </w:r>
          </w:p>
        </w:tc>
      </w:tr>
      <w:tr>
        <w:tc>
          <w:tcPr>
            <w:tcW w:type="dxa" w:w="3216"/>
          </w:tcPr>
          <w:p>
            <w:r>
              <w:t>Wazuh API</w:t>
            </w:r>
          </w:p>
        </w:tc>
        <w:tc>
          <w:tcPr>
            <w:tcW w:type="dxa" w:w="3216"/>
          </w:tcPr>
          <w:p>
            <w:r>
              <w:t>https://192.168.0.211:55000</w:t>
            </w:r>
          </w:p>
        </w:tc>
        <w:tc>
          <w:tcPr>
            <w:tcW w:type="dxa" w:w="3216"/>
          </w:tcPr>
          <w:p>
            <w:r>
              <w:t>Active Response, agent queries</w:t>
            </w:r>
          </w:p>
        </w:tc>
      </w:tr>
      <w:tr>
        <w:tc>
          <w:tcPr>
            <w:tcW w:type="dxa" w:w="3216"/>
          </w:tcPr>
          <w:p>
            <w:r>
              <w:t>TheHive</w:t>
            </w:r>
          </w:p>
        </w:tc>
        <w:tc>
          <w:tcPr>
            <w:tcW w:type="dxa" w:w="3216"/>
          </w:tcPr>
          <w:p>
            <w:r>
              <w:t>http://192.168.0.212:9000</w:t>
            </w:r>
          </w:p>
        </w:tc>
        <w:tc>
          <w:tcPr>
            <w:tcW w:type="dxa" w:w="3216"/>
          </w:tcPr>
          <w:p>
            <w:r>
              <w:t>Case management</w:t>
            </w:r>
          </w:p>
        </w:tc>
      </w:tr>
      <w:tr>
        <w:tc>
          <w:tcPr>
            <w:tcW w:type="dxa" w:w="3216"/>
          </w:tcPr>
          <w:p>
            <w:r>
              <w:t>PostgreSQL / Redis</w:t>
            </w:r>
          </w:p>
        </w:tc>
        <w:tc>
          <w:tcPr>
            <w:tcW w:type="dxa" w:w="3216"/>
          </w:tcPr>
          <w:p>
            <w:r>
              <w:t>internal Docker network mssp-backend only</w:t>
            </w:r>
          </w:p>
        </w:tc>
        <w:tc>
          <w:tcPr>
            <w:tcW w:type="dxa" w:w="3216"/>
          </w:tcPr>
          <w:p>
            <w:r>
              <w:t>Not published to LAN by default</w:t>
            </w:r>
          </w:p>
        </w:tc>
      </w:tr>
    </w:tbl>
    <w:p/>
    <w:p>
      <w:pPr>
        <w:pStyle w:val="Heading2"/>
      </w:pPr>
      <w:r>
        <w:t>Docker Compose layout (/opt/mssp-control/docker-compose.yml)</w:t>
      </w:r>
    </w:p>
    <w:tbl>
      <w:tblPr>
        <w:tblStyle w:val="TableGrid"/>
        <w:tblW w:type="auto" w:w="0"/>
        <w:tblLook w:firstColumn="1" w:firstRow="1" w:lastColumn="0" w:lastRow="0" w:noHBand="0" w:noVBand="1" w:val="04A0"/>
      </w:tblPr>
      <w:tblGrid>
        <w:gridCol w:w="3216"/>
        <w:gridCol w:w="3216"/>
        <w:gridCol w:w="3216"/>
      </w:tblGrid>
      <w:tr>
        <w:tc>
          <w:tcPr>
            <w:tcW w:type="dxa" w:w="3216"/>
          </w:tcPr>
          <w:p>
            <w:r>
              <w:t>Container</w:t>
            </w:r>
          </w:p>
        </w:tc>
        <w:tc>
          <w:tcPr>
            <w:tcW w:type="dxa" w:w="3216"/>
          </w:tcPr>
          <w:p>
            <w:r>
              <w:t>Image / build</w:t>
            </w:r>
          </w:p>
        </w:tc>
        <w:tc>
          <w:tcPr>
            <w:tcW w:type="dxa" w:w="3216"/>
          </w:tcPr>
          <w:p>
            <w:r>
              <w:t>Published</w:t>
            </w:r>
          </w:p>
        </w:tc>
      </w:tr>
      <w:tr>
        <w:tc>
          <w:tcPr>
            <w:tcW w:type="dxa" w:w="3216"/>
          </w:tcPr>
          <w:p>
            <w:r>
              <w:t>mssp-postgres</w:t>
            </w:r>
          </w:p>
        </w:tc>
        <w:tc>
          <w:tcPr>
            <w:tcW w:type="dxa" w:w="3216"/>
          </w:tcPr>
          <w:p>
            <w:r>
              <w:t>postgres:16-alpine</w:t>
            </w:r>
          </w:p>
        </w:tc>
        <w:tc>
          <w:tcPr>
            <w:tcW w:type="dxa" w:w="3216"/>
          </w:tcPr>
          <w:p>
            <w:r>
              <w:t>internal</w:t>
            </w:r>
          </w:p>
        </w:tc>
      </w:tr>
      <w:tr>
        <w:tc>
          <w:tcPr>
            <w:tcW w:type="dxa" w:w="3216"/>
          </w:tcPr>
          <w:p>
            <w:r>
              <w:t>mssp-redis</w:t>
            </w:r>
          </w:p>
        </w:tc>
        <w:tc>
          <w:tcPr>
            <w:tcW w:type="dxa" w:w="3216"/>
          </w:tcPr>
          <w:p>
            <w:r>
              <w:t>redis:7-alpine</w:t>
            </w:r>
          </w:p>
        </w:tc>
        <w:tc>
          <w:tcPr>
            <w:tcW w:type="dxa" w:w="3216"/>
          </w:tcPr>
          <w:p>
            <w:r>
              <w:t>internal (--requirepass)</w:t>
            </w:r>
          </w:p>
        </w:tc>
      </w:tr>
      <w:tr>
        <w:tc>
          <w:tcPr>
            <w:tcW w:type="dxa" w:w="3216"/>
          </w:tcPr>
          <w:p>
            <w:r>
              <w:t>mssp-backend-api</w:t>
            </w:r>
          </w:p>
        </w:tc>
        <w:tc>
          <w:tcPr>
            <w:tcW w:type="dxa" w:w="3216"/>
          </w:tcPr>
          <w:p>
            <w:r>
              <w:t>./backend-api</w:t>
            </w:r>
          </w:p>
        </w:tc>
        <w:tc>
          <w:tcPr>
            <w:tcW w:type="dxa" w:w="3216"/>
          </w:tcPr>
          <w:p>
            <w:r>
              <w:t>${API_PORT}:8000</w:t>
            </w:r>
          </w:p>
        </w:tc>
      </w:tr>
      <w:tr>
        <w:tc>
          <w:tcPr>
            <w:tcW w:type="dxa" w:w="3216"/>
          </w:tcPr>
          <w:p>
            <w:r>
              <w:t>mssp-frontend-admin</w:t>
            </w:r>
          </w:p>
        </w:tc>
        <w:tc>
          <w:tcPr>
            <w:tcW w:type="dxa" w:w="3216"/>
          </w:tcPr>
          <w:p>
            <w:r>
              <w:t>./frontend-admin</w:t>
            </w:r>
          </w:p>
        </w:tc>
        <w:tc>
          <w:tcPr>
            <w:tcW w:type="dxa" w:w="3216"/>
          </w:tcPr>
          <w:p>
            <w:r>
              <w:t>3000:80</w:t>
            </w:r>
          </w:p>
        </w:tc>
      </w:tr>
      <w:tr>
        <w:tc>
          <w:tcPr>
            <w:tcW w:type="dxa" w:w="3216"/>
          </w:tcPr>
          <w:p>
            <w:r>
              <w:t>mssp-frontend-customer</w:t>
            </w:r>
          </w:p>
        </w:tc>
        <w:tc>
          <w:tcPr>
            <w:tcW w:type="dxa" w:w="3216"/>
          </w:tcPr>
          <w:p>
            <w:r>
              <w:t>./frontend-customer</w:t>
            </w:r>
          </w:p>
        </w:tc>
        <w:tc>
          <w:tcPr>
            <w:tcW w:type="dxa" w:w="3216"/>
          </w:tcPr>
          <w:p>
            <w:r>
              <w:t>3001:80</w:t>
            </w:r>
          </w:p>
        </w:tc>
      </w:tr>
    </w:tbl>
    <w:p/>
    <w:p>
      <w:r>
        <w:t>Network: bridge mssp-backend. Volumes: postgres_data, redis_data. Secrets mounted under /run/secrets/ (Wazuh API user/password, ingress tokens, Shuffle webhook, TheHive password, vuln sync key). Nginx configs use resolver 127.0.0.11 so upstream backend-api re-resolves after recreate (avoids customer login HTTP 502 from stale Docker DNS).</w:t>
      </w:r>
    </w:p>
    <w:p>
      <w:pPr>
        <w:pStyle w:val="Heading1"/>
      </w:pPr>
      <w:r>
        <w:t>2.2 Core stack components &amp; roles</w:t>
      </w:r>
    </w:p>
    <w:p>
      <w:r>
        <w:t>1. Control plane API — backend-api/ (FastAPI, Python 3.12). App wiring: backend-api/app/main.py. Routes under backend-api/app/api/routes/. Business logic under backend-api/app/services/. Config/security: app/core/. DB pool: app/db/session.py. 2. SIEM / telemetry — Wazuh Manager on VM 101; Linux/Windows agents; Suricata events forwarded via Wazuh agent on VM 106. 3. Orchestration — Shuffle on VM 102; control-plane EDR also calls wazuh_client.run_active_response() and shuffle_edr_client.post_edr_workflow(). 4. Incident / case — TheHive on VM 102; control-plane incidents table remains SoR for portals; TheHive sync via KB-061 patterns. 5. Network &amp; vulnerability — Suricata (106); Nuclei+Vuls primary and Greenbone CE backup (109). No scanners on VM 100. Greenbone Enterprise deferred (docs/KB077_GREENBONE_ENTERPRISE_READINESS_PLAN.md).</w:t>
      </w:r>
    </w:p>
    <w:p>
      <w:pPr>
        <w:pStyle w:val="Heading1"/>
      </w:pPr>
      <w:r>
        <w:t>2.3 Data pipeline (endpoint → UI)</w:t>
      </w:r>
    </w:p>
    <w:p>
      <w:r>
        <w:rPr>
          <w:rFonts w:ascii="Consolas" w:hAnsi="Consolas"/>
          <w:sz w:val="16"/>
        </w:rPr>
        <w:t>Endpoint event</w:t>
        <w:br/>
        <w:t xml:space="preserve">  → Wazuh Agent (Sysmon 1/3, Security 4688, Auditd, Suricata eve.json, …)</w:t>
        <w:br/>
        <w:t xml:space="preserve">  → Wazuh Manager parse / rules (VM 101)</w:t>
        <w:br/>
        <w:t xml:space="preserve">  → Ingress / Sync paths into control plane</w:t>
        <w:br/>
        <w:t xml:space="preserve">       • Instant Wazuh ingress (KB-063) / SOC sync</w:t>
        <w:br/>
        <w:t xml:space="preserve">       • Shuffle hop → optional TheHive case</w:t>
        <w:br/>
        <w:t xml:space="preserve">       • Vuln pullers (Nuclei/Vuls/Greenbone → vuln_sync)</w:t>
        <w:br/>
        <w:t xml:space="preserve">  → PostgreSQL normalize</w:t>
        <w:br/>
        <w:t xml:space="preserve">       security_alerts | incidents | edr_process_events | vulnerabilities | …</w:t>
        <w:br/>
        <w:t xml:space="preserve">  → Dual APIs</w:t>
        <w:br/>
        <w:t xml:space="preserve">       /admin/* (SOC)  |  /customer/* (tenant-safe, labels stripped)</w:t>
        <w:br/>
        <w:t xml:space="preserve">  → Portals</w:t>
        <w:br/>
        <w:t xml:space="preserve">       Admin :3000 process tree / triage / EDR actions</w:t>
        <w:br/>
        <w:t xml:space="preserve">       Customer :3001 plain-English summaries, co-managed actions where entitled</w:t>
      </w:r>
    </w:p>
    <w:p>
      <w:r>
        <w:t>Normalization record shape (conceptual): tenant, source_platform, asset, alert, incident/case, recommendation, vulnerability, report, visibility_status, sync_health_status.</w:t>
      </w:r>
    </w:p>
    <w:p>
      <w:r>
        <w:t>————————————————————————————————————————</w:t>
      </w:r>
    </w:p>
    <w:p>
      <w:pPr>
        <w:pStyle w:val="Title"/>
      </w:pPr>
      <w:r>
        <w:t>3. Core Database, API &amp; RBAC Engineering</w:t>
      </w:r>
    </w:p>
    <w:p>
      <w:pPr>
        <w:pStyle w:val="Heading1"/>
      </w:pPr>
      <w:r>
        <w:t>3.1 Schema overview</w:t>
      </w:r>
    </w:p>
    <w:p>
      <w:r>
        <w:t>Base schema: postgres/init/001_mssp_core_schema.sql. Additive migrations 002–020 under postgres/init/.</w:t>
      </w:r>
    </w:p>
    <w:p>
      <w:pPr>
        <w:pStyle w:val="Heading2"/>
      </w:pPr>
      <w:r>
        <w:t>Core tables</w:t>
      </w:r>
    </w:p>
    <w:tbl>
      <w:tblPr>
        <w:tblStyle w:val="TableGrid"/>
        <w:tblW w:type="auto" w:w="0"/>
        <w:tblLook w:firstColumn="1" w:firstRow="1" w:lastColumn="0" w:lastRow="0" w:noHBand="0" w:noVBand="1" w:val="04A0"/>
      </w:tblPr>
      <w:tblGrid>
        <w:gridCol w:w="4824"/>
        <w:gridCol w:w="4824"/>
      </w:tblGrid>
      <w:tr>
        <w:tc>
          <w:tcPr>
            <w:tcW w:type="dxa" w:w="4824"/>
          </w:tcPr>
          <w:p>
            <w:r>
              <w:t>Table</w:t>
            </w:r>
          </w:p>
        </w:tc>
        <w:tc>
          <w:tcPr>
            <w:tcW w:type="dxa" w:w="4824"/>
          </w:tcPr>
          <w:p>
            <w:r>
              <w:t>Purpose</w:t>
            </w:r>
          </w:p>
        </w:tc>
      </w:tr>
      <w:tr>
        <w:tc>
          <w:tcPr>
            <w:tcW w:type="dxa" w:w="4824"/>
          </w:tcPr>
          <w:p>
            <w:r>
              <w:t>tenants</w:t>
            </w:r>
          </w:p>
        </w:tc>
        <w:tc>
          <w:tcPr>
            <w:tcW w:type="dxa" w:w="4824"/>
          </w:tcPr>
          <w:p>
            <w:r>
              <w:t>Customer orgs (short_code, status, SLA, criticality, timezone)</w:t>
            </w:r>
          </w:p>
        </w:tc>
      </w:tr>
      <w:tr>
        <w:tc>
          <w:tcPr>
            <w:tcW w:type="dxa" w:w="4824"/>
          </w:tcPr>
          <w:p>
            <w:r>
              <w:t>platform_users</w:t>
            </w:r>
          </w:p>
        </w:tc>
        <w:tc>
          <w:tcPr>
            <w:tcW w:type="dxa" w:w="4824"/>
          </w:tcPr>
          <w:p>
            <w:r>
              <w:t>All portal users (user_type, role, tenant_id, email unique)</w:t>
            </w:r>
          </w:p>
        </w:tc>
      </w:tr>
      <w:tr>
        <w:tc>
          <w:tcPr>
            <w:tcW w:type="dxa" w:w="4824"/>
          </w:tcPr>
          <w:p>
            <w:r>
              <w:t>tenant_contacts</w:t>
            </w:r>
          </w:p>
        </w:tc>
        <w:tc>
          <w:tcPr>
            <w:tcW w:type="dxa" w:w="4824"/>
          </w:tcPr>
          <w:p>
            <w:r>
              <w:t>Contact records</w:t>
            </w:r>
          </w:p>
        </w:tc>
      </w:tr>
      <w:tr>
        <w:tc>
          <w:tcPr>
            <w:tcW w:type="dxa" w:w="4824"/>
          </w:tcPr>
          <w:p>
            <w:r>
              <w:t>appliance_activation_tokens</w:t>
            </w:r>
          </w:p>
        </w:tc>
        <w:tc>
          <w:tcPr>
            <w:tcW w:type="dxa" w:w="4824"/>
          </w:tcPr>
          <w:p>
            <w:r>
              <w:t>One-time appliance activation</w:t>
            </w:r>
          </w:p>
        </w:tc>
      </w:tr>
      <w:tr>
        <w:tc>
          <w:tcPr>
            <w:tcW w:type="dxa" w:w="4824"/>
          </w:tcPr>
          <w:p>
            <w:r>
              <w:t>appliances</w:t>
            </w:r>
          </w:p>
        </w:tc>
        <w:tc>
          <w:tcPr>
            <w:tcW w:type="dxa" w:w="4824"/>
          </w:tcPr>
          <w:p>
            <w:r>
              <w:t>Collectors / appliances (appliance_uuid, health JSONB — customer-forbidden)</w:t>
            </w:r>
          </w:p>
        </w:tc>
      </w:tr>
      <w:tr>
        <w:tc>
          <w:tcPr>
            <w:tcW w:type="dxa" w:w="4824"/>
          </w:tcPr>
          <w:p>
            <w:r>
              <w:t>protected_assets</w:t>
            </w:r>
          </w:p>
        </w:tc>
        <w:tc>
          <w:tcPr>
            <w:tcW w:type="dxa" w:w="4824"/>
          </w:tcPr>
          <w:p>
            <w:r>
              <w:t>Monitored assets</w:t>
            </w:r>
          </w:p>
        </w:tc>
      </w:tr>
      <w:tr>
        <w:tc>
          <w:tcPr>
            <w:tcW w:type="dxa" w:w="4824"/>
          </w:tcPr>
          <w:p>
            <w:r>
              <w:t>appliance_heartbeats</w:t>
            </w:r>
          </w:p>
        </w:tc>
        <w:tc>
          <w:tcPr>
            <w:tcW w:type="dxa" w:w="4824"/>
          </w:tcPr>
          <w:p>
            <w:r>
              <w:t>Heartbeat history</w:t>
            </w:r>
          </w:p>
        </w:tc>
      </w:tr>
      <w:tr>
        <w:tc>
          <w:tcPr>
            <w:tcW w:type="dxa" w:w="4824"/>
          </w:tcPr>
          <w:p>
            <w:r>
              <w:t>security_alerts</w:t>
            </w:r>
          </w:p>
        </w:tc>
        <w:tc>
          <w:tcPr>
            <w:tcW w:type="dxa" w:w="4824"/>
          </w:tcPr>
          <w:p>
            <w:r>
              <w:t>Normalized alerts (raw_event JSONB — customer-forbidden; AI summary fields; customer_visible)</w:t>
            </w:r>
          </w:p>
        </w:tc>
      </w:tr>
      <w:tr>
        <w:tc>
          <w:tcPr>
            <w:tcW w:type="dxa" w:w="4824"/>
          </w:tcPr>
          <w:p>
            <w:r>
              <w:t>incidents</w:t>
            </w:r>
          </w:p>
        </w:tc>
        <w:tc>
          <w:tcPr>
            <w:tcW w:type="dxa" w:w="4824"/>
          </w:tcPr>
          <w:p>
            <w:r>
              <w:t>Cases (incident_number, internal_notes forbidden to customers)</w:t>
            </w:r>
          </w:p>
        </w:tc>
      </w:tr>
      <w:tr>
        <w:tc>
          <w:tcPr>
            <w:tcW w:type="dxa" w:w="4824"/>
          </w:tcPr>
          <w:p>
            <w:r>
              <w:t>incident_alerts, incident_timeline, incident_comments</w:t>
            </w:r>
          </w:p>
        </w:tc>
        <w:tc>
          <w:tcPr>
            <w:tcW w:type="dxa" w:w="4824"/>
          </w:tcPr>
          <w:p>
            <w:r>
              <w:t>Incident graph</w:t>
            </w:r>
          </w:p>
        </w:tc>
      </w:tr>
      <w:tr>
        <w:tc>
          <w:tcPr>
            <w:tcW w:type="dxa" w:w="4824"/>
          </w:tcPr>
          <w:p>
            <w:r>
              <w:t>notification_events</w:t>
            </w:r>
          </w:p>
        </w:tc>
        <w:tc>
          <w:tcPr>
            <w:tcW w:type="dxa" w:w="4824"/>
          </w:tcPr>
          <w:p>
            <w:r>
              <w:t>Notification history</w:t>
            </w:r>
          </w:p>
        </w:tc>
      </w:tr>
      <w:tr>
        <w:tc>
          <w:tcPr>
            <w:tcW w:type="dxa" w:w="4824"/>
          </w:tcPr>
          <w:p>
            <w:r>
              <w:t>customer_recommendations</w:t>
            </w:r>
          </w:p>
        </w:tc>
        <w:tc>
          <w:tcPr>
            <w:tcW w:type="dxa" w:w="4824"/>
          </w:tcPr>
          <w:p>
            <w:r>
              <w:t>Customer action items</w:t>
            </w:r>
          </w:p>
        </w:tc>
      </w:tr>
      <w:tr>
        <w:tc>
          <w:tcPr>
            <w:tcW w:type="dxa" w:w="4824"/>
          </w:tcPr>
          <w:p>
            <w:r>
              <w:t>monthly_reports</w:t>
            </w:r>
          </w:p>
        </w:tc>
        <w:tc>
          <w:tcPr>
            <w:tcW w:type="dxa" w:w="4824"/>
          </w:tcPr>
          <w:p>
            <w:r>
              <w:t>Published reports</w:t>
            </w:r>
          </w:p>
        </w:tc>
      </w:tr>
      <w:tr>
        <w:tc>
          <w:tcPr>
            <w:tcW w:type="dxa" w:w="4824"/>
          </w:tcPr>
          <w:p>
            <w:r>
              <w:t>audit_logs</w:t>
            </w:r>
          </w:p>
        </w:tc>
        <w:tc>
          <w:tcPr>
            <w:tcW w:type="dxa" w:w="4824"/>
          </w:tcPr>
          <w:p>
            <w:r>
              <w:t>Who/what/when (actor_user_id, actor_role from KB-085/016, source_ip, details JSONB)</w:t>
            </w:r>
          </w:p>
        </w:tc>
      </w:tr>
      <w:tr>
        <w:tc>
          <w:tcPr>
            <w:tcW w:type="dxa" w:w="4824"/>
          </w:tcPr>
          <w:p>
            <w:r>
              <w:t>vulnerabilities</w:t>
            </w:r>
          </w:p>
        </w:tc>
        <w:tc>
          <w:tcPr>
            <w:tcW w:type="dxa" w:w="4824"/>
          </w:tcPr>
          <w:p>
            <w:r>
              <w:t>KB-069+</w:t>
            </w:r>
          </w:p>
        </w:tc>
      </w:tr>
      <w:tr>
        <w:tc>
          <w:tcPr>
            <w:tcW w:type="dxa" w:w="4824"/>
          </w:tcPr>
          <w:p>
            <w:r>
              <w:t>tenant_entitlements</w:t>
            </w:r>
          </w:p>
        </w:tc>
        <w:tc>
          <w:tcPr>
            <w:tcW w:type="dxa" w:w="4824"/>
          </w:tcPr>
          <w:p>
            <w:r>
              <w:t>KB-071+</w:t>
            </w:r>
          </w:p>
        </w:tc>
      </w:tr>
      <w:tr>
        <w:tc>
          <w:tcPr>
            <w:tcW w:type="dxa" w:w="4824"/>
          </w:tcPr>
          <w:p>
            <w:r>
              <w:t>tenant_engine_bindings</w:t>
            </w:r>
          </w:p>
        </w:tc>
        <w:tc>
          <w:tcPr>
            <w:tcW w:type="dxa" w:w="4824"/>
          </w:tcPr>
          <w:p>
            <w:r>
              <w:t>KB-072 Wazuh group / TheHive org bindings</w:t>
            </w:r>
          </w:p>
        </w:tc>
      </w:tr>
      <w:tr>
        <w:tc>
          <w:tcPr>
            <w:tcW w:type="dxa" w:w="4824"/>
          </w:tcPr>
          <w:p>
            <w:r>
              <w:t>service_upgrade_requests</w:t>
            </w:r>
          </w:p>
        </w:tc>
        <w:tc>
          <w:tcPr>
            <w:tcW w:type="dxa" w:w="4824"/>
          </w:tcPr>
          <w:p>
            <w:r>
              <w:t>KB-076</w:t>
            </w:r>
          </w:p>
        </w:tc>
      </w:tr>
      <w:tr>
        <w:tc>
          <w:tcPr>
            <w:tcW w:type="dxa" w:w="4824"/>
          </w:tcPr>
          <w:p>
            <w:r>
              <w:t>edr_action_executions</w:t>
            </w:r>
          </w:p>
        </w:tc>
        <w:tc>
          <w:tcPr>
            <w:tcW w:type="dxa" w:w="4824"/>
          </w:tcPr>
          <w:p>
            <w:r>
              <w:t>KB-083/084 action ledger</w:t>
            </w:r>
          </w:p>
        </w:tc>
      </w:tr>
      <w:tr>
        <w:tc>
          <w:tcPr>
            <w:tcW w:type="dxa" w:w="4824"/>
          </w:tcPr>
          <w:p>
            <w:r>
              <w:t>edr_endpoint_isolation</w:t>
            </w:r>
          </w:p>
        </w:tc>
        <w:tc>
          <w:tcPr>
            <w:tcW w:type="dxa" w:w="4824"/>
          </w:tcPr>
          <w:p>
            <w:r>
              <w:t>Per (tenant_id, agent_id) isolation state</w:t>
            </w:r>
          </w:p>
        </w:tc>
      </w:tr>
      <w:tr>
        <w:tc>
          <w:tcPr>
            <w:tcW w:type="dxa" w:w="4824"/>
          </w:tcPr>
          <w:p>
            <w:r>
              <w:t>edr_telemetry_stats</w:t>
            </w:r>
          </w:p>
        </w:tc>
        <w:tc>
          <w:tcPr>
            <w:tcW w:type="dxa" w:w="4824"/>
          </w:tcPr>
          <w:p>
            <w:r>
              <w:t>Aggregate EDR counters</w:t>
            </w:r>
          </w:p>
        </w:tc>
      </w:tr>
      <w:tr>
        <w:tc>
          <w:tcPr>
            <w:tcW w:type="dxa" w:w="4824"/>
          </w:tcPr>
          <w:p>
            <w:r>
              <w:t>edr_forensic_artifacts</w:t>
            </w:r>
          </w:p>
        </w:tc>
        <w:tc>
          <w:tcPr>
            <w:tcW w:type="dxa" w:w="4824"/>
          </w:tcPr>
          <w:p>
            <w:r>
              <w:t>Upload metadata / object keys</w:t>
            </w:r>
          </w:p>
        </w:tc>
      </w:tr>
      <w:tr>
        <w:tc>
          <w:tcPr>
            <w:tcW w:type="dxa" w:w="4824"/>
          </w:tcPr>
          <w:p>
            <w:r>
              <w:t>edr_process_events</w:t>
            </w:r>
          </w:p>
        </w:tc>
        <w:tc>
          <w:tcPr>
            <w:tcW w:type="dxa" w:w="4824"/>
          </w:tcPr>
          <w:p>
            <w:r>
              <w:t>Process tree rows</w:t>
            </w:r>
          </w:p>
        </w:tc>
      </w:tr>
      <w:tr>
        <w:tc>
          <w:tcPr>
            <w:tcW w:type="dxa" w:w="4824"/>
          </w:tcPr>
          <w:p>
            <w:r>
              <w:t>tenant_asset_service_coverage</w:t>
            </w:r>
          </w:p>
        </w:tc>
        <w:tc>
          <w:tcPr>
            <w:tcW w:type="dxa" w:w="4824"/>
          </w:tcPr>
          <w:p>
            <w:r>
              <w:t>KB-086</w:t>
            </w:r>
          </w:p>
        </w:tc>
      </w:tr>
      <w:tr>
        <w:tc>
          <w:tcPr>
            <w:tcW w:type="dxa" w:w="4824"/>
          </w:tcPr>
          <w:p>
            <w:r>
              <w:t>tenant_agent_install_tokens</w:t>
            </w:r>
          </w:p>
        </w:tc>
        <w:tc>
          <w:tcPr>
            <w:tcW w:type="dxa" w:w="4824"/>
          </w:tcPr>
          <w:p>
            <w:r>
              <w:t>KB-086</w:t>
            </w:r>
          </w:p>
        </w:tc>
      </w:tr>
    </w:tbl>
    <w:p/>
    <w:p>
      <w:pPr>
        <w:pStyle w:val="Heading2"/>
      </w:pPr>
      <w:r>
        <w:t>EDR action model (edr_action_executions)</w:t>
      </w:r>
    </w:p>
    <w:p>
      <w:pPr>
        <w:pStyle w:val="ListBullet"/>
      </w:pPr>
      <w:r>
        <w:t>action_type: ISOLATE_HOST | UNISOLATE_HOST | KILL_PROCESS | COLLECT_FORENSICS | BLOCK_HASH</w:t>
      </w:r>
    </w:p>
    <w:p>
      <w:pPr>
        <w:pStyle w:val="ListBullet"/>
      </w:pPr>
      <w:r>
        <w:t>status: pending | executing | success | failed | verified | timeout (legacy executed normalized to success in API responses)</w:t>
      </w:r>
    </w:p>
    <w:p>
      <w:pPr>
        <w:pStyle w:val="ListBullet"/>
      </w:pPr>
      <w:r>
        <w:t>Links: tenant_id, incident_id, alert_id, requested_by_user_id, target_agent_id, callback_payload, verified_at, external_ref</w:t>
      </w:r>
    </w:p>
    <w:p>
      <w:r>
        <w:t>There is no table named users or devices in the production schema; use platform_users and protected_assets / agent IDs respectively.</w:t>
      </w:r>
    </w:p>
    <w:p>
      <w:pPr>
        <w:pStyle w:val="Heading1"/>
      </w:pPr>
      <w:r>
        <w:t>3.2 Tenant isolation &amp; API security</w:t>
      </w:r>
    </w:p>
    <w:p>
      <w:r>
        <w:t>Rules (non-negotiable):</w:t>
      </w:r>
    </w:p>
    <w:p>
      <w:r>
        <w:t>1. Every tenant-data query filters WHERE tenant_id = … derived from the JWT, never from an unchecked client parameter. 2. Customer mismatch → 404. 3. Customer responses omit: password hashes, tokens, API keys, raw_event / raw_json / details / metrics / health_snapshot / report_file_path, IPs (source_ip, destination_ip, local_ip, …), internal_notes, mitre_mapping (unless explicitly approved), stack traces. 4. Never commit or print .env. Secrets via Compose secrets / env only. 5. After backend-api recreate, recreate both frontends (nginx upstream DNS).</w:t>
      </w:r>
    </w:p>
    <w:p>
      <w:pPr>
        <w:pStyle w:val="Heading2"/>
      </w:pPr>
      <w:r>
        <w:t>Major API surface mounts (backend-api/app/main.py)</w:t>
      </w:r>
    </w:p>
    <w:p>
      <w:r>
        <w:t>Auth, health, admin, customer, tenant/user/appliance management, SOC sync, vuln sync, entitlements, EDR (/v1/edr), audit (admin + customer + v1), onboarding configs, agent packages, public agent install, delegated user management.</w:t>
      </w:r>
    </w:p>
    <w:p>
      <w:pPr>
        <w:pStyle w:val="Heading2"/>
      </w:pPr>
      <w:r>
        <w:t>EDR HTTP API (backend-api/app/api/routes/edr.py, prefix /v1/edr)</w:t>
      </w:r>
    </w:p>
    <w:tbl>
      <w:tblPr>
        <w:tblStyle w:val="TableGrid"/>
        <w:tblW w:type="auto" w:w="0"/>
        <w:tblLook w:firstColumn="1" w:firstRow="1" w:lastColumn="0" w:lastRow="0" w:noHBand="0" w:noVBand="1" w:val="04A0"/>
      </w:tblPr>
      <w:tblGrid>
        <w:gridCol w:w="3216"/>
        <w:gridCol w:w="3216"/>
        <w:gridCol w:w="3216"/>
      </w:tblGrid>
      <w:tr>
        <w:tc>
          <w:tcPr>
            <w:tcW w:type="dxa" w:w="3216"/>
          </w:tcPr>
          <w:p>
            <w:r>
              <w:t>Method</w:t>
            </w:r>
          </w:p>
        </w:tc>
        <w:tc>
          <w:tcPr>
            <w:tcW w:type="dxa" w:w="3216"/>
          </w:tcPr>
          <w:p>
            <w:r>
              <w:t>Path</w:t>
            </w:r>
          </w:p>
        </w:tc>
        <w:tc>
          <w:tcPr>
            <w:tcW w:type="dxa" w:w="3216"/>
          </w:tcPr>
          <w:p>
            <w:r>
              <w:t>Role</w:t>
            </w:r>
          </w:p>
        </w:tc>
      </w:tr>
      <w:tr>
        <w:tc>
          <w:tcPr>
            <w:tcW w:type="dxa" w:w="3216"/>
          </w:tcPr>
          <w:p>
            <w:r>
              <w:t>GET</w:t>
            </w:r>
          </w:p>
        </w:tc>
        <w:tc>
          <w:tcPr>
            <w:tcW w:type="dxa" w:w="3216"/>
          </w:tcPr>
          <w:p>
            <w:r>
              <w:t>/telemetry/process-tree</w:t>
            </w:r>
          </w:p>
        </w:tc>
        <w:tc>
          <w:tcPr>
            <w:tcW w:type="dxa" w:w="3216"/>
          </w:tcPr>
          <w:p>
            <w:r>
              <w:t>Authenticated, tenant-scoped</w:t>
            </w:r>
          </w:p>
        </w:tc>
      </w:tr>
      <w:tr>
        <w:tc>
          <w:tcPr>
            <w:tcW w:type="dxa" w:w="3216"/>
          </w:tcPr>
          <w:p>
            <w:r>
              <w:t>POST</w:t>
            </w:r>
          </w:p>
        </w:tc>
        <w:tc>
          <w:tcPr>
            <w:tcW w:type="dxa" w:w="3216"/>
          </w:tcPr>
          <w:p>
            <w:r>
              <w:t>/actions/execute</w:t>
            </w:r>
          </w:p>
        </w:tc>
        <w:tc>
          <w:tcPr>
            <w:tcW w:type="dxa" w:w="3216"/>
          </w:tcPr>
          <w:p>
            <w:r>
              <w:t>SOC write or customer_admin</w:t>
            </w:r>
          </w:p>
        </w:tc>
      </w:tr>
      <w:tr>
        <w:tc>
          <w:tcPr>
            <w:tcW w:type="dxa" w:w="3216"/>
          </w:tcPr>
          <w:p>
            <w:r>
              <w:t>POST</w:t>
            </w:r>
          </w:p>
        </w:tc>
        <w:tc>
          <w:tcPr>
            <w:tcW w:type="dxa" w:w="3216"/>
          </w:tcPr>
          <w:p>
            <w:r>
              <w:t>/actions/callback</w:t>
            </w:r>
          </w:p>
        </w:tc>
        <w:tc>
          <w:tcPr>
            <w:tcW w:type="dxa" w:w="3216"/>
          </w:tcPr>
          <w:p>
            <w:r>
              <w:t>X-EDR-Callback-Key / SOC sync key</w:t>
            </w:r>
          </w:p>
        </w:tc>
      </w:tr>
      <w:tr>
        <w:tc>
          <w:tcPr>
            <w:tcW w:type="dxa" w:w="3216"/>
          </w:tcPr>
          <w:p>
            <w:r>
              <w:t>GET</w:t>
            </w:r>
          </w:p>
        </w:tc>
        <w:tc>
          <w:tcPr>
            <w:tcW w:type="dxa" w:w="3216"/>
          </w:tcPr>
          <w:p>
            <w:r>
              <w:t>/actions/{execution_id}</w:t>
            </w:r>
          </w:p>
        </w:tc>
        <w:tc>
          <w:tcPr>
            <w:tcW w:type="dxa" w:w="3216"/>
          </w:tcPr>
          <w:p>
            <w:r>
              <w:t>Authenticated</w:t>
            </w:r>
          </w:p>
        </w:tc>
      </w:tr>
      <w:tr>
        <w:tc>
          <w:tcPr>
            <w:tcW w:type="dxa" w:w="3216"/>
          </w:tcPr>
          <w:p>
            <w:r>
              <w:t>PUT</w:t>
            </w:r>
          </w:p>
        </w:tc>
        <w:tc>
          <w:tcPr>
            <w:tcW w:type="dxa" w:w="3216"/>
          </w:tcPr>
          <w:p>
            <w:r>
              <w:t>/forensics/upload/{artifact_id}</w:t>
            </w:r>
          </w:p>
        </w:tc>
        <w:tc>
          <w:tcPr>
            <w:tcW w:type="dxa" w:w="3216"/>
          </w:tcPr>
          <w:p>
            <w:r>
              <w:t>HMAC token; streaming body</w:t>
            </w:r>
          </w:p>
        </w:tc>
      </w:tr>
      <w:tr>
        <w:tc>
          <w:tcPr>
            <w:tcW w:type="dxa" w:w="3216"/>
          </w:tcPr>
          <w:p>
            <w:r>
              <w:t>GET</w:t>
            </w:r>
          </w:p>
        </w:tc>
        <w:tc>
          <w:tcPr>
            <w:tcW w:type="dxa" w:w="3216"/>
          </w:tcPr>
          <w:p>
            <w:r>
              <w:t>/forensics/download/{artifact_id}</w:t>
            </w:r>
          </w:p>
        </w:tc>
        <w:tc>
          <w:tcPr>
            <w:tcW w:type="dxa" w:w="3216"/>
          </w:tcPr>
          <w:p>
            <w:r>
              <w:t>HMAC token</w:t>
            </w:r>
          </w:p>
        </w:tc>
      </w:tr>
      <w:tr>
        <w:tc>
          <w:tcPr>
            <w:tcW w:type="dxa" w:w="3216"/>
          </w:tcPr>
          <w:p>
            <w:r>
              <w:t>POST</w:t>
            </w:r>
          </w:p>
        </w:tc>
        <w:tc>
          <w:tcPr>
            <w:tcW w:type="dxa" w:w="3216"/>
          </w:tcPr>
          <w:p>
            <w:r>
              <w:t>/forensics/complete</w:t>
            </w:r>
          </w:p>
        </w:tc>
        <w:tc>
          <w:tcPr>
            <w:tcW w:type="dxa" w:w="3216"/>
          </w:tcPr>
          <w:p>
            <w:r>
              <w:t>Callback key</w:t>
            </w:r>
          </w:p>
        </w:tc>
      </w:tr>
      <w:tr>
        <w:tc>
          <w:tcPr>
            <w:tcW w:type="dxa" w:w="3216"/>
          </w:tcPr>
          <w:p>
            <w:r>
              <w:t>GET</w:t>
            </w:r>
          </w:p>
        </w:tc>
        <w:tc>
          <w:tcPr>
            <w:tcW w:type="dxa" w:w="3216"/>
          </w:tcPr>
          <w:p>
            <w:r>
              <w:t>/incidents/deep-dive</w:t>
            </w:r>
          </w:p>
        </w:tc>
        <w:tc>
          <w:tcPr>
            <w:tcW w:type="dxa" w:w="3216"/>
          </w:tcPr>
          <w:p>
            <w:r>
              <w:t>Authenticated</w:t>
            </w:r>
          </w:p>
        </w:tc>
      </w:tr>
      <w:tr>
        <w:tc>
          <w:tcPr>
            <w:tcW w:type="dxa" w:w="3216"/>
          </w:tcPr>
          <w:p>
            <w:r>
              <w:t>GET</w:t>
            </w:r>
          </w:p>
        </w:tc>
        <w:tc>
          <w:tcPr>
            <w:tcW w:type="dxa" w:w="3216"/>
          </w:tcPr>
          <w:p>
            <w:r>
              <w:t>/metrics/summary</w:t>
            </w:r>
          </w:p>
        </w:tc>
        <w:tc>
          <w:tcPr>
            <w:tcW w:type="dxa" w:w="3216"/>
          </w:tcPr>
          <w:p>
            <w:r>
              <w:t>Authenticated</w:t>
            </w:r>
          </w:p>
        </w:tc>
      </w:tr>
    </w:tbl>
    <w:p/>
    <w:p>
      <w:pPr>
        <w:pStyle w:val="Heading1"/>
      </w:pPr>
      <w:r>
        <w:t>3.3 Frontend applications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t>Portal</w:t>
            </w:r>
          </w:p>
        </w:tc>
        <w:tc>
          <w:tcPr>
            <w:tcW w:type="dxa" w:w="2412"/>
          </w:tcPr>
          <w:p>
            <w:r>
              <w:t>Path</w:t>
            </w:r>
          </w:p>
        </w:tc>
        <w:tc>
          <w:tcPr>
            <w:tcW w:type="dxa" w:w="2412"/>
          </w:tcPr>
          <w:p>
            <w:r>
              <w:t>Port</w:t>
            </w:r>
          </w:p>
        </w:tc>
        <w:tc>
          <w:tcPr>
            <w:tcW w:type="dxa" w:w="2412"/>
          </w:tcPr>
          <w:p>
            <w:r>
              <w:t>Router</w:t>
            </w:r>
          </w:p>
        </w:tc>
      </w:tr>
      <w:tr>
        <w:tc>
          <w:tcPr>
            <w:tcW w:type="dxa" w:w="2412"/>
          </w:tcPr>
          <w:p>
            <w:r>
              <w:t>Admin / SOC</w:t>
            </w:r>
          </w:p>
        </w:tc>
        <w:tc>
          <w:tcPr>
            <w:tcW w:type="dxa" w:w="2412"/>
          </w:tcPr>
          <w:p>
            <w:r>
              <w:t>frontend-admin/</w:t>
            </w:r>
          </w:p>
        </w:tc>
        <w:tc>
          <w:tcPr>
            <w:tcW w:type="dxa" w:w="2412"/>
          </w:tcPr>
          <w:p>
            <w:r>
              <w:t>3000</w:t>
            </w:r>
          </w:p>
        </w:tc>
        <w:tc>
          <w:tcPr>
            <w:tcW w:type="dxa" w:w="2412"/>
          </w:tcPr>
          <w:p>
            <w:r>
              <w:t>frontend-admin/src/App.tsx</w:t>
            </w:r>
          </w:p>
        </w:tc>
      </w:tr>
      <w:tr>
        <w:tc>
          <w:tcPr>
            <w:tcW w:type="dxa" w:w="2412"/>
          </w:tcPr>
          <w:p>
            <w:r>
              <w:t>Customer</w:t>
            </w:r>
          </w:p>
        </w:tc>
        <w:tc>
          <w:tcPr>
            <w:tcW w:type="dxa" w:w="2412"/>
          </w:tcPr>
          <w:p>
            <w:r>
              <w:t>frontend-customer/</w:t>
            </w:r>
          </w:p>
        </w:tc>
        <w:tc>
          <w:tcPr>
            <w:tcW w:type="dxa" w:w="2412"/>
          </w:tcPr>
          <w:p>
            <w:r>
              <w:t>3001</w:t>
            </w:r>
          </w:p>
        </w:tc>
        <w:tc>
          <w:tcPr>
            <w:tcW w:type="dxa" w:w="2412"/>
          </w:tcPr>
          <w:p>
            <w:r>
              <w:t>frontend-customer/src/App.tsx</w:t>
            </w:r>
          </w:p>
        </w:tc>
      </w:tr>
    </w:tbl>
    <w:p/>
    <w:p>
      <w:r>
        <w:t>Admin routes include dashboard, tenants, users, appliances, alerts, incidents, vulnerabilities, recommendations, notifications, reports, assets, audit (+ detail).</w:t>
      </w:r>
    </w:p>
    <w:p>
      <w:r>
        <w:t>Customer routes include dashboard, alerts, incidents, assets, appliances detail, reports, recommendations, services, vulnerabilities, notifications, users, audit, account — no /admin.</w:t>
      </w:r>
    </w:p>
    <w:p>
      <w:r>
        <w:t>Dashboard KPI tiles must link to destinations that match their labels (Events → /alerts, Collector health → /appliances, Open recommendations → /recommendations). The EDR / MXDR service metrics strip is a summary panel (MTTC, telemetry count, isolated endpoints), not a separate console; containment actions live on incident detail.</w:t>
      </w:r>
    </w:p>
    <w:p>
      <w:pPr>
        <w:pStyle w:val="Heading1"/>
      </w:pPr>
      <w:r>
        <w:t>3.4 Database connection pooling</w:t>
      </w:r>
    </w:p>
    <w:p>
      <w:r>
        <w:t>File: backend-api/app/db/session.py.</w:t>
      </w:r>
    </w:p>
    <w:p>
      <w:pPr>
        <w:pStyle w:val="ListBullet"/>
      </w:pPr>
      <w:r>
        <w:t>Library: psycopg_pool.ConnectionPool (module singleton).</w:t>
      </w:r>
    </w:p>
    <w:p>
      <w:pPr>
        <w:pStyle w:val="ListBullet"/>
      </w:pPr>
      <w:r>
        <w:t>Env: DB_POOL_MIN_SIZE (default 5), DB_POOL_MAX_SIZE (20), DB_POOL_TIMEOUT (30s), max_idle=300.</w:t>
      </w:r>
    </w:p>
    <w:p>
      <w:pPr>
        <w:pStyle w:val="ListBullet"/>
      </w:pPr>
      <w:r>
        <w:t>Helpers preserved: fetch_all, fetch_one, execute, fetch_one_write, db_transaction.</w:t>
      </w:r>
    </w:p>
    <w:p>
      <w:pPr>
        <w:pStyle w:val="ListBullet"/>
      </w:pPr>
      <w:r>
        <w:t>Row factory: psycopg.rows.dict_row.</w:t>
      </w:r>
    </w:p>
    <w:p>
      <w:pPr>
        <w:pStyle w:val="ListBullet"/>
      </w:pPr>
      <w:r>
        <w:t>Redis helper colocated (REDIS_HOST / REDIS_PORT / REDIS_PASSWORD).</w:t>
      </w:r>
    </w:p>
    <w:p>
      <w:r>
        <w:t>This replaced prior single-connection open/close patterns that exhausted connections under concurrent portal + sync + EDR load.</w:t>
      </w:r>
    </w:p>
    <w:p>
      <w:r>
        <w:t>————————————————————————————————————————</w:t>
      </w:r>
    </w:p>
    <w:p>
      <w:pPr>
        <w:pStyle w:val="Title"/>
      </w:pPr>
      <w:r>
        <w:t>4. EDR Active Response &amp; Endpoint Telemetry Engineering</w:t>
      </w:r>
    </w:p>
    <w:p>
      <w:pPr>
        <w:pStyle w:val="Heading1"/>
      </w:pPr>
      <w:r>
        <w:t>4.1 OS-aware containment engine</w:t>
      </w:r>
    </w:p>
    <w:p>
      <w:r>
        <w:t>Control plane service: backend-api/app/services/edr_actions.py.</w:t>
      </w:r>
    </w:p>
    <w:p>
      <w:r>
        <w:t>Command resolution — _resolve_ar_command(base_command, win_command, agent_id):</w:t>
      </w:r>
    </w:p>
    <w:p>
      <w:r>
        <w:t>1. Query agent OS via wazuh_client.get_agent_os(agent_id). 2. Unknown OS → fail closed (do not default to Linux). Historical bug: defaulting to Linux dispatched wrong AR binary on Windows. 3. Select Linux base command or Windows .cmd variant.</w:t>
      </w:r>
    </w:p>
    <w:tbl>
      <w:tblPr>
        <w:tblStyle w:val="TableGrid"/>
        <w:tblW w:type="auto" w:w="0"/>
        <w:tblLook w:firstColumn="1" w:firstRow="1" w:lastColumn="0" w:lastRow="0" w:noHBand="0" w:noVBand="1" w:val="04A0"/>
      </w:tblPr>
      <w:tblGrid>
        <w:gridCol w:w="4824"/>
        <w:gridCol w:w="4824"/>
      </w:tblGrid>
      <w:tr>
        <w:tc>
          <w:tcPr>
            <w:tcW w:type="dxa" w:w="4824"/>
          </w:tcPr>
          <w:p>
            <w:r>
              <w:t>Env var</w:t>
            </w:r>
          </w:p>
        </w:tc>
        <w:tc>
          <w:tcPr>
            <w:tcW w:type="dxa" w:w="4824"/>
          </w:tcPr>
          <w:p>
            <w:r>
              <w:t>Default</w:t>
            </w:r>
          </w:p>
        </w:tc>
      </w:tr>
      <w:tr>
        <w:tc>
          <w:tcPr>
            <w:tcW w:type="dxa" w:w="4824"/>
          </w:tcPr>
          <w:p>
            <w:r>
              <w:t>EDR_WAZUH_ISOLATE_COMMAND</w:t>
            </w:r>
          </w:p>
        </w:tc>
        <w:tc>
          <w:tcPr>
            <w:tcW w:type="dxa" w:w="4824"/>
          </w:tcPr>
          <w:p>
            <w:r>
              <w:t>mssp-isolate-host</w:t>
            </w:r>
          </w:p>
        </w:tc>
      </w:tr>
      <w:tr>
        <w:tc>
          <w:tcPr>
            <w:tcW w:type="dxa" w:w="4824"/>
          </w:tcPr>
          <w:p>
            <w:r>
              <w:t>EDR_WAZUH_ISOLATE_COMMAND_WIN</w:t>
            </w:r>
          </w:p>
        </w:tc>
        <w:tc>
          <w:tcPr>
            <w:tcW w:type="dxa" w:w="4824"/>
          </w:tcPr>
          <w:p>
            <w:r>
              <w:t>mssp-isolate-host.cmd</w:t>
            </w:r>
          </w:p>
        </w:tc>
      </w:tr>
      <w:tr>
        <w:tc>
          <w:tcPr>
            <w:tcW w:type="dxa" w:w="4824"/>
          </w:tcPr>
          <w:p>
            <w:r>
              <w:t>EDR_WAZUH_KILL_COMMAND / _WIN</w:t>
            </w:r>
          </w:p>
        </w:tc>
        <w:tc>
          <w:tcPr>
            <w:tcW w:type="dxa" w:w="4824"/>
          </w:tcPr>
          <w:p>
            <w:r>
              <w:t>mssp-kill-process / .cmd</w:t>
            </w:r>
          </w:p>
        </w:tc>
      </w:tr>
      <w:tr>
        <w:tc>
          <w:tcPr>
            <w:tcW w:type="dxa" w:w="4824"/>
          </w:tcPr>
          <w:p>
            <w:r>
              <w:t>EDR_WAZUH_BLOCK_HASH_COMMAND / _WIN</w:t>
            </w:r>
          </w:p>
        </w:tc>
        <w:tc>
          <w:tcPr>
            <w:tcW w:type="dxa" w:w="4824"/>
          </w:tcPr>
          <w:p>
            <w:r>
              <w:t>mssp-block-hash / .cmd</w:t>
            </w:r>
          </w:p>
        </w:tc>
      </w:tr>
      <w:tr>
        <w:tc>
          <w:tcPr>
            <w:tcW w:type="dxa" w:w="4824"/>
          </w:tcPr>
          <w:p>
            <w:r>
              <w:t>EDR_ISOLATE_SECONDS</w:t>
            </w:r>
          </w:p>
        </w:tc>
        <w:tc>
          <w:tcPr>
            <w:tcW w:type="dxa" w:w="4824"/>
          </w:tcPr>
          <w:p>
            <w:r>
              <w:t>120 (auto-release hint)</w:t>
            </w:r>
          </w:p>
        </w:tc>
      </w:tr>
    </w:tbl>
    <w:p/>
    <w:p>
      <w:r>
        <w:t>Dispatch path: insert edr_action_executions → wazuh_client.run_active_response() → optional Shuffle workflow → audit log (portal, actor, agent, incident, source IP).</w:t>
      </w:r>
    </w:p>
    <w:p>
      <w:r>
        <w:t>Honesty policy (KB-091): Manager acceptance of AR + “agent still active” is not proof of LAN quarantine. Agent must remain reachable to the Manager IP by design. UI/API prefer Dispatched until endpoint proves applied=true. Soft connectivity checks must not auto-promote to Verified.</w:t>
      </w:r>
    </w:p>
    <w:p>
      <w:pPr>
        <w:pStyle w:val="Heading1"/>
      </w:pPr>
      <w:r>
        <w:t>4.2 Windows engineering</w:t>
      </w:r>
    </w:p>
    <w:p>
      <w:pPr>
        <w:pStyle w:val="Heading2"/>
      </w:pPr>
      <w:r>
        <w:t>Source trees</w:t>
      </w:r>
    </w:p>
    <w:p>
      <w:pPr>
        <w:pStyle w:val="ListBullet"/>
      </w:pPr>
      <w:r>
        <w:t>SoT scripts: deploy/wazuh-active-response/windows/</w:t>
      </w:r>
    </w:p>
    <w:p>
      <w:pPr>
        <w:pStyle w:val="ListBullet"/>
      </w:pPr>
      <w:r>
        <w:t>Packaged zip: deploy/wazuh-active-response/mssp-windows-edr-ar-remediate.zip</w:t>
      </w:r>
    </w:p>
    <w:p>
      <w:pPr>
        <w:pStyle w:val="ListBullet"/>
      </w:pPr>
      <w:r>
        <w:t>Synced copies for API image: backend-api/app/endpoint_configs/windows-edr-ar/</w:t>
      </w:r>
    </w:p>
    <w:p>
      <w:pPr>
        <w:pStyle w:val="ListBullet"/>
      </w:pPr>
      <w:r>
        <w:t>Sync helper: scripts/kb091_sync_windows_edr_ar_pack.sh</w:t>
      </w:r>
    </w:p>
    <w:p>
      <w:pPr>
        <w:pStyle w:val="ListBullet"/>
      </w:pPr>
      <w:r>
        <w:t>Installer: Install-MsspWindowsEdrAr.ps1</w:t>
      </w:r>
    </w:p>
    <w:p>
      <w:pPr>
        <w:pStyle w:val="ListBullet"/>
      </w:pPr>
      <w:r>
        <w:t>Proof: Test-MsspQuarantineProof.ps1</w:t>
      </w:r>
    </w:p>
    <w:p>
      <w:pPr>
        <w:pStyle w:val="Heading2"/>
      </w:pPr>
      <w:r>
        <w:t>Wrapper contract (.cmd)</w:t>
      </w:r>
    </w:p>
    <w:p>
      <w:r>
        <w:t>Wazuh execd sends one JSON line on STDIN. Critical rules encoded in mssp-isolate-host.cmd:</w:t>
      </w:r>
    </w:p>
    <w:p>
      <w:pPr>
        <w:pStyle w:val="ListBullet"/>
      </w:pPr>
      <w:r>
        <w:t>Do not use more (deadlocks under AR).</w:t>
      </w:r>
    </w:p>
    <w:p>
      <w:pPr>
        <w:pStyle w:val="ListBullet"/>
      </w:pPr>
      <w:r>
        <w:t>Do not put JSON on cmd argv (quotes break).</w:t>
      </w:r>
    </w:p>
    <w:p>
      <w:pPr>
        <w:pStyle w:val="ListBullet"/>
      </w:pPr>
      <w:r>
        <w:t>Launch PowerShell once; PowerShell reads STDIN, then invokes .ps1.</w:t>
      </w:r>
    </w:p>
    <w:p>
      <w:pPr>
        <w:pStyle w:val="Heading2"/>
      </w:pPr>
      <w:r>
        <w:t>Host quarantine (mssp-isolate-host.ps1)</w:t>
      </w:r>
    </w:p>
    <w:p>
      <w:r>
        <w:t>Industry meaning: network quarantine — default deny for IP traffic (TCP/UDP/ICMP), inbound and outbound, except a minimal allow-list:</w:t>
      </w:r>
    </w:p>
    <w:p>
      <w:pPr>
        <w:pStyle w:val="ListBullet"/>
      </w:pPr>
      <w:r>
        <w:t>Wazuh Manager IP (default 192.168.0.211, overridable via mssp-ar.env WAZUH_MANAGER_IP=)</w:t>
      </w:r>
    </w:p>
    <w:p>
      <w:pPr>
        <w:pStyle w:val="ListBullet"/>
      </w:pPr>
      <w:r>
        <w:t>Loopback</w:t>
      </w:r>
    </w:p>
    <w:p>
      <w:pPr>
        <w:pStyle w:val="ListBullet"/>
      </w:pPr>
      <w:r>
        <w:t>DHCP client (UDP 67/68)</w:t>
      </w:r>
    </w:p>
    <w:p>
      <w:r>
        <w:t>Implementation uses netsh advfirewall: set Domain/Private/Public Outbound=Block (and inbound hardening), disable broad RDP/SMB/WinRM allows, add explicit block rules (including SSH :22), drop existing sessions where possible. State persisted under %ProgramData%\mssp-edr-isolate-state.json and marker mssp-edr-quarantine.active.</w:t>
      </w:r>
    </w:p>
    <w:p>
      <w:r>
        <w:t>Success log line operators must confirm:</w:t>
      </w:r>
    </w:p>
    <w:p>
      <w:r>
        <w:t>QUARANTINE ACTIVE applied=true</w:t>
      </w:r>
    </w:p>
    <w:p>
      <w:r>
        <w:t>Unisolate restores prior profile actions and removes MSSP rules.</w:t>
      </w:r>
    </w:p>
    <w:p>
      <w:r>
        <w:t>ASCII-safe PowerShell (UTF-8 BOM) avoids PS 5.1 parse failures from Unicode em-dashes; ${name} used instead of $name: drive-qualified variables.</w:t>
      </w:r>
    </w:p>
    <w:p>
      <w:pPr>
        <w:pStyle w:val="Heading2"/>
      </w:pPr>
      <w:r>
        <w:t>Kill / block-hash</w:t>
      </w:r>
    </w:p>
    <w:p>
      <w:pPr>
        <w:pStyle w:val="ListBullet"/>
      </w:pPr>
      <w:r>
        <w:t>mssp-kill-process.ps1 / .py — terminate target PID/process from AR JSON.</w:t>
      </w:r>
    </w:p>
    <w:p>
      <w:pPr>
        <w:pStyle w:val="ListBullet"/>
      </w:pPr>
      <w:r>
        <w:t>mssp-block-hash.ps1 / .py — current implementation documents limited enforcement (text allow/deny list style); not full WDAC/AppLocker/ASR. Product must not market it as complete hash blocking until Wave 1 enforcement lands (KB-091 C3).</w:t>
      </w:r>
    </w:p>
    <w:p>
      <w:pPr>
        <w:pStyle w:val="Heading2"/>
      </w:pPr>
      <w:r>
        <w:t>Telemetry prerequisites</w:t>
      </w:r>
    </w:p>
    <w:p>
      <w:r>
        <w:t>Windows agent alone is not process-EDR ready. Required:</w:t>
      </w:r>
    </w:p>
    <w:tbl>
      <w:tblPr>
        <w:tblStyle w:val="TableGrid"/>
        <w:tblW w:type="auto" w:w="0"/>
        <w:tblLook w:firstColumn="1" w:firstRow="1" w:lastColumn="0" w:lastRow="0" w:noHBand="0" w:noVBand="1" w:val="04A0"/>
      </w:tblPr>
      <w:tblGrid>
        <w:gridCol w:w="4824"/>
        <w:gridCol w:w="4824"/>
      </w:tblGrid>
      <w:tr>
        <w:tc>
          <w:tcPr>
            <w:tcW w:type="dxa" w:w="4824"/>
          </w:tcPr>
          <w:p>
            <w:r>
              <w:t>Source</w:t>
            </w:r>
          </w:p>
        </w:tc>
        <w:tc>
          <w:tcPr>
            <w:tcW w:type="dxa" w:w="4824"/>
          </w:tcPr>
          <w:p>
            <w:r>
              <w:t>Why</w:t>
            </w:r>
          </w:p>
        </w:tc>
      </w:tr>
      <w:tr>
        <w:tc>
          <w:tcPr>
            <w:tcW w:type="dxa" w:w="4824"/>
          </w:tcPr>
          <w:p>
            <w:r>
              <w:t>Sysmon Event ID 1 (Process Create)</w:t>
            </w:r>
          </w:p>
        </w:tc>
        <w:tc>
          <w:tcPr>
            <w:tcW w:type="dxa" w:w="4824"/>
          </w:tcPr>
          <w:p>
            <w:r>
              <w:t>Process tree / command lines</w:t>
            </w:r>
          </w:p>
        </w:tc>
      </w:tr>
      <w:tr>
        <w:tc>
          <w:tcPr>
            <w:tcW w:type="dxa" w:w="4824"/>
          </w:tcPr>
          <w:p>
            <w:r>
              <w:t>Sysmon Event ID 3 (Network)</w:t>
            </w:r>
          </w:p>
        </w:tc>
        <w:tc>
          <w:tcPr>
            <w:tcW w:type="dxa" w:w="4824"/>
          </w:tcPr>
          <w:p>
            <w:r>
              <w:t>Connection context</w:t>
            </w:r>
          </w:p>
        </w:tc>
      </w:tr>
      <w:tr>
        <w:tc>
          <w:tcPr>
            <w:tcW w:type="dxa" w:w="4824"/>
          </w:tcPr>
          <w:p>
            <w:r>
              <w:t>Windows Security 4688 with command-line auditing</w:t>
            </w:r>
          </w:p>
        </w:tc>
        <w:tc>
          <w:tcPr>
            <w:tcW w:type="dxa" w:w="4824"/>
          </w:tcPr>
          <w:p>
            <w:r>
              <w:t>Native process create fallback</w:t>
            </w:r>
          </w:p>
        </w:tc>
      </w:tr>
      <w:tr>
        <w:tc>
          <w:tcPr>
            <w:tcW w:type="dxa" w:w="4824"/>
          </w:tcPr>
          <w:p>
            <w:r>
              <w:t>Wazuh ossec.conf localfile channels</w:t>
            </w:r>
          </w:p>
        </w:tc>
        <w:tc>
          <w:tcPr>
            <w:tcW w:type="dxa" w:w="4824"/>
          </w:tcPr>
          <w:p>
            <w:r>
              <w:t>Ship Sysmon + Security logs to Manager</w:t>
            </w:r>
          </w:p>
        </w:tc>
      </w:tr>
    </w:tbl>
    <w:p/>
    <w:p>
      <w:r>
        <w:t>Bootstrap: deploy/windows-endpoint-telemetry/Enable-MsspWindowsTelemetry.ps1, sysmon-windows-baseline.xml, scripts/bootstrap_windows_telemetry.ps1. Templates also under templates/endpoint-configs/ and backend-api/app/endpoint_configs/.</w:t>
      </w:r>
    </w:p>
    <w:p>
      <w:pPr>
        <w:pStyle w:val="Heading1"/>
      </w:pPr>
      <w:r>
        <w:t>4.3 Linux engineering</w:t>
      </w:r>
    </w:p>
    <w:p>
      <w:r>
        <w:t>Scripts (no extension) under deploy/wazuh-active-response/:</w:t>
      </w:r>
    </w:p>
    <w:p>
      <w:pPr>
        <w:pStyle w:val="ListBullet"/>
      </w:pPr>
      <w:r>
        <w:t>mssp-isolate-host — iptables/nft-style quarantine with Manager allow-list</w:t>
      </w:r>
    </w:p>
    <w:p>
      <w:pPr>
        <w:pStyle w:val="ListBullet"/>
      </w:pPr>
      <w:r>
        <w:t>mssp-kill-process</w:t>
      </w:r>
    </w:p>
    <w:p>
      <w:pPr>
        <w:pStyle w:val="ListBullet"/>
      </w:pPr>
      <w:r>
        <w:t>mssp-block-hash</w:t>
      </w:r>
    </w:p>
    <w:p>
      <w:r>
        <w:t>Process enrichment sources: Auditd, Osquery pack (osquery-endpoint-pack.conf), Wazuh agent parameters. Process tree builder prefers ProcessGuid lineage, then ParentProcessId (KB-084).</w:t>
      </w:r>
    </w:p>
    <w:p>
      <w:pPr>
        <w:pStyle w:val="Heading1"/>
      </w:pPr>
      <w:r>
        <w:t>4.4 Asynchronous forensics pipeline</w:t>
      </w:r>
    </w:p>
    <w:p>
      <w:r>
        <w:t>Service: backend-api/app/services/edr_forensics_storage.py.</w:t>
      </w:r>
    </w:p>
    <w:p>
      <w:r>
        <w:t>1. COLLECT_FORENSICS creates edr_forensic_artifacts row (awaiting_upload). 2. Control plane issues HMAC-signed upload URL (FORENSICS_SIGNING_SECRET or JWT_SECRET fallback); TTL default 3600s. 3. Collector PUTs ZIP to /v1/edr/forensics/upload/{artifact_id}?token=…. 4. Handler consumes request.stream() via write_upload_stream() — chunked write to local disk (EDR_FORENSICS_STORAGE_PATH, default /var/lib/mssp/forensics) or S3 multipart (8 MiB parts when EDR_S3_BUCKET set). SHA-256 incremental; max_bytes abort deletes partials. No full-body RAM buffer (OOM prevention). 5. Optional forensics/complete attaches size/hash metadata. 6. UI issues short-TTL download URL (default 900s) — binaries not proxied through list APIs.</w:t>
      </w:r>
    </w:p>
    <w:p>
      <w:r>
        <w:t>Object key pattern: {tenant_id}/{endpoint_id}/{timestamp}_{artifact_id}.zip.</w:t>
      </w:r>
    </w:p>
    <w:p>
      <w:pPr>
        <w:pStyle w:val="Heading1"/>
      </w:pPr>
      <w:r>
        <w:t>4.5 Background state sweeper</w:t>
      </w:r>
    </w:p>
    <w:p>
      <w:r>
        <w:t>backend-api/app/services/edr_sweeper.py — asyncio task at app startup:</w:t>
      </w:r>
    </w:p>
    <w:p>
      <w:pPr>
        <w:pStyle w:val="ListBullet"/>
      </w:pPr>
      <w:r>
        <w:t>Interval: EDR_SWEEP_INTERVAL (default 60s)</w:t>
      </w:r>
    </w:p>
    <w:p>
      <w:pPr>
        <w:pStyle w:val="ListBullet"/>
      </w:pPr>
      <w:r>
        <w:t>Stuck threshold: EDR_STUCK_TIMEOUT (default 120s)</w:t>
      </w:r>
    </w:p>
    <w:p>
      <w:pPr>
        <w:pStyle w:val="ListBullet"/>
      </w:pPr>
      <w:r>
        <w:t>Action: UPDATE edr_action_executions SET status='timeout' … WHERE status='executing' AND updated_at &lt; now() - interval</w:t>
      </w:r>
    </w:p>
    <w:p>
      <w:r>
        <w:t>Prevents permanent EXECUTING badges when AR callbacks never arrive.</w:t>
      </w:r>
    </w:p>
    <w:p>
      <w:r>
        <w:t>————————————————————————————————————————</w:t>
      </w:r>
    </w:p>
    <w:p>
      <w:pPr>
        <w:pStyle w:val="Title"/>
      </w:pPr>
      <w:r>
        <w:t>5. Architectural Breakthroughs, Root Causes &amp; Engineering Lessons Learned</w:t>
      </w:r>
    </w:p>
    <w:p>
      <w:pPr>
        <w:pStyle w:val="Heading1"/>
      </w:pPr>
      <w:r>
        <w:t>5.1 Host isolation &amp; Active Response</w:t>
      </w:r>
    </w:p>
    <w:p>
      <w:pPr>
        <w:pStyle w:val="Heading2"/>
      </w:pPr>
      <w:r>
        <w:t>Symptom</w:t>
      </w:r>
    </w:p>
    <w:p>
      <w:r>
        <w:t>Dashboard showed isolate success / verified, yet Windows hosts remained reachable (gateway ping, RDP, WinRM). Later, AR appeared “sent” but scripts never ran or hung.</w:t>
      </w:r>
    </w:p>
    <w:p>
      <w:pPr>
        <w:pStyle w:val="Heading2"/>
      </w:pPr>
      <w:r>
        <w:t>Root causes (stacked)</w:t>
      </w:r>
    </w:p>
    <w:p>
      <w:r>
        <w:t>1. False verification: Control plane treated “Manager accepted AR” + “agent still online” as isolation proof. Agent-online is expected when Manager IP is allow-listed. 2. Wrong OS command: get_agent_os defaulted to Linux → Windows agents received non-Windows AR names. 3. .cmd deadlock / argv corruption: Using more or placing JSON on the command line broke or hung execd → PowerShell never applied firewall rules. 4. Weak quarantine semantics: Early approaches over-focused on ICMP; real MDR quarantine requires profile default-deny plus lateral-protocol blocks. 5. PowerShell parse errors: Unicode em-dashes under Windows PowerShell 5.1 without BOM; $name: interpreted as drive-qualified variable. 6. Admin UI gap: Isolate controls existed on customer/incident side panels but were missing from full Admin incident detail in some builds.</w:t>
      </w:r>
    </w:p>
    <w:p>
      <w:pPr>
        <w:pStyle w:val="Heading2"/>
      </w:pPr>
      <w:r>
        <w:t>Finalized solution</w:t>
      </w:r>
    </w:p>
    <w:p>
      <w:pPr>
        <w:pStyle w:val="ListBullet"/>
      </w:pPr>
      <w:r>
        <w:t>OS-aware _resolve_ar_command() with unknown → fail closed.</w:t>
      </w:r>
    </w:p>
    <w:p>
      <w:pPr>
        <w:pStyle w:val="ListBullet"/>
      </w:pPr>
      <w:r>
        <w:t>STDIN-only .cmd wrappers; hardened .ps1 quarantine (netsh advfirewall, RDP/SMB/WinRM/SSH blocks, Manager/DHCP/loopback allow).</w:t>
      </w:r>
    </w:p>
    <w:p>
      <w:pPr>
        <w:pStyle w:val="ListBullet"/>
      </w:pPr>
      <w:r>
        <w:t>Honesty labeling: Dispatched until endpoint log QUARANTINE ACTIVE applied=true; proof script Test-MsspQuarantineProof.ps1.</w:t>
      </w:r>
    </w:p>
    <w:p>
      <w:pPr>
        <w:pStyle w:val="ListBullet"/>
      </w:pPr>
      <w:r>
        <w:t>Admin + Customer incident containment UI; enriched audit_logs (portal, actor role, agent, incident, source IP).</w:t>
      </w:r>
    </w:p>
    <w:p>
      <w:pPr>
        <w:pStyle w:val="ListBullet"/>
      </w:pPr>
      <w:r>
        <w:t>Validators: scripts/kb090_validate_windows_edr_ar_packaging.sh, kb091_validate_edr_containment_honesty.sh, live E2E isolate → ports closed → unisolate → ports open.</w:t>
      </w:r>
    </w:p>
    <w:p>
      <w:r>
        <w:t>Remaining gaps (documented, not hidden): AR → /v1/edr/actions/callback not yet posted by all scripts; block-hash lacks WDAC/AppLocker; shared callback key forgeability (KB-091 C5–C7). Do not market “isolation works end-to-end” without live proof on the target agent class.</w:t>
      </w:r>
    </w:p>
    <w:p>
      <w:pPr>
        <w:pStyle w:val="Heading1"/>
      </w:pPr>
      <w:r>
        <w:t>5.2 Streaming uploads &amp; OOM prevention</w:t>
      </w:r>
    </w:p>
    <w:p>
      <w:pPr>
        <w:pStyle w:val="Heading2"/>
      </w:pPr>
      <w:r>
        <w:t>Problem</w:t>
      </w:r>
    </w:p>
    <w:p>
      <w:r>
        <w:t>Large forensic ZIPs buffered in memory through API/SOAR webhook bodies risked worker OOM and request timeouts.</w:t>
      </w:r>
    </w:p>
    <w:p>
      <w:pPr>
        <w:pStyle w:val="Heading2"/>
      </w:pPr>
      <w:r>
        <w:t>Solution</w:t>
      </w:r>
    </w:p>
    <w:p>
      <w:r>
        <w:t>Presigned/HMAC direct upload; write_upload_stream() over request.stream(); optional S3 multipart; metadata-only callbacks. See §4.4 and docs/KB084_EDR_LIFECYCLE_FORENSICS_PROCESS_TREES.md.</w:t>
      </w:r>
    </w:p>
    <w:p>
      <w:pPr>
        <w:pStyle w:val="Heading1"/>
      </w:pPr>
      <w:r>
        <w:t>5.3 Database connection optimization</w:t>
      </w:r>
    </w:p>
    <w:p>
      <w:pPr>
        <w:pStyle w:val="Heading2"/>
      </w:pPr>
      <w:r>
        <w:t>Problem</w:t>
      </w:r>
    </w:p>
    <w:p>
      <w:r>
        <w:t>Per-request raw connections under concurrent Admin UI, Customer UI, sync workers, and EDR callbacks caused pool starvation and latency spikes.</w:t>
      </w:r>
    </w:p>
    <w:p>
      <w:pPr>
        <w:pStyle w:val="Heading2"/>
      </w:pPr>
      <w:r>
        <w:t>Solution</w:t>
      </w:r>
    </w:p>
    <w:p>
      <w:r>
        <w:t>psycopg_pool.ConnectionPool singleton with explicit min/max/idle/timeout (§3.4). Call-site signatures unchanged to limit blast radius.</w:t>
      </w:r>
    </w:p>
    <w:p>
      <w:pPr>
        <w:pStyle w:val="Heading1"/>
      </w:pPr>
      <w:r>
        <w:t>5.4 Background EDR sweeper</w:t>
      </w:r>
    </w:p>
    <w:p>
      <w:pPr>
        <w:pStyle w:val="Heading2"/>
      </w:pPr>
      <w:r>
        <w:t>Problem</w:t>
      </w:r>
    </w:p>
    <w:p>
      <w:r>
        <w:t>Actions left in executing when agents offline or AR silent → permanent spinner / false operator expectation.</w:t>
      </w:r>
    </w:p>
    <w:p>
      <w:pPr>
        <w:pStyle w:val="Heading2"/>
      </w:pPr>
      <w:r>
        <w:t>Solution</w:t>
      </w:r>
    </w:p>
    <w:p>
      <w:r>
        <w:t>edr_sweeper_loop() timeout transition to timeout with result message Action timed out (sweeper) (§4.5).</w:t>
      </w:r>
    </w:p>
    <w:p>
      <w:pPr>
        <w:pStyle w:val="Heading1"/>
      </w:pPr>
      <w:r>
        <w:t>5.5 Portal / nginx operational lesson</w:t>
      </w:r>
    </w:p>
    <w:p>
      <w:r>
        <w:t>Recreating only backend-api left Admin/Customer nginx with stale upstream IPs → 502 on /api/auth/login. Mitigations: recreate both frontends with the API; nginx resolver 127.0.0.11 for Docker DNS.</w:t>
      </w:r>
    </w:p>
    <w:p>
      <w:pPr>
        <w:pStyle w:val="Heading1"/>
      </w:pPr>
      <w:r>
        <w:t>5.6 Dashboard KPI link integrity</w:t>
      </w:r>
    </w:p>
    <w:p>
      <w:r>
        <w:t>Miswired tiles (e.g., “Events Collected” → appliances, “Automation / SLA” → tenants) trained operators incorrectly. Corrected mapping: events→alerts, collector health→appliances, recommendations→recommendations; EDR strip explained as metrics only.</w:t>
      </w:r>
    </w:p>
    <w:p>
      <w:r>
        <w:t>————————————————————————————————————————</w:t>
      </w:r>
    </w:p>
    <w:p>
      <w:pPr>
        <w:pStyle w:val="Title"/>
      </w:pPr>
      <w:r>
        <w:t>6. Deployment, Operations &amp; Verification Manual</w:t>
      </w:r>
    </w:p>
    <w:p>
      <w:pPr>
        <w:pStyle w:val="Heading1"/>
      </w:pPr>
      <w:r>
        <w:t>6.1 Clean stack provisioning (VM 100)</w:t>
      </w:r>
    </w:p>
    <w:p>
      <w:r>
        <w:t>Prerequisites: Docker + Compose plugin; project at /opt/mssp-control; populated .env (never commit); secrets files as referenced by Compose.</w:t>
      </w:r>
    </w:p>
    <w:p>
      <w:r>
        <w:rPr>
          <w:rFonts w:ascii="Consolas" w:hAnsi="Consolas"/>
          <w:sz w:val="16"/>
        </w:rPr>
        <w:t>cd /opt/mssp-control</w:t>
        <w:br/>
        <w:t>git branch --show-current</w:t>
        <w:br/>
        <w:t>git status --short</w:t>
        <w:br/>
        <w:t>docker compose pull   # where applicable</w:t>
        <w:br/>
        <w:t>docker compose up -d --build</w:t>
        <w:br/>
        <w:t>docker compose ps</w:t>
        <w:br/>
        <w:t>curl -fsS http://localhost:8000/health | jq .</w:t>
        <w:br/>
        <w:t>curl -fsS -o /dev/null -w '%{http_code}\n' http://localhost:3000/</w:t>
        <w:br/>
        <w:t>curl -fsS -o /dev/null -w '%{http_code}\n' http://localhost:3001/</w:t>
      </w:r>
    </w:p>
    <w:p>
      <w:r>
        <w:t>Expected: health JSON with "api":"ok", "database":"ok", "redis":"ok"; portals return HTTP 200.</w:t>
      </w:r>
    </w:p>
    <w:p>
      <w:r>
        <w:t>Apply pending SQL only via approved migration scripts (example EDR):</w:t>
      </w:r>
    </w:p>
    <w:p>
      <w:r>
        <w:rPr>
          <w:rFonts w:ascii="Consolas" w:hAnsi="Consolas"/>
          <w:sz w:val="16"/>
        </w:rPr>
        <w:t>./scripts/kb083_apply_edr_migration.sh</w:t>
        <w:br/>
        <w:t>./scripts/kb084_apply_edr_lifecycle_migration.sh</w:t>
      </w:r>
    </w:p>
    <w:p>
      <w:r>
        <w:t>Do not delete/recreate postgres/init/ schema casually. Prefer additive migrations.</w:t>
      </w:r>
    </w:p>
    <w:p>
      <w:r>
        <w:t>After any API change that recreates mssp-backend-api:</w:t>
      </w:r>
    </w:p>
    <w:p>
      <w:r>
        <w:rPr>
          <w:rFonts w:ascii="Consolas" w:hAnsi="Consolas"/>
          <w:sz w:val="16"/>
        </w:rPr>
        <w:t>docker compose up -d --build backend-api frontend-admin frontend-customer</w:t>
      </w:r>
    </w:p>
    <w:p>
      <w:r>
        <w:t>Smoke auth through both portals’ /api/auth/login (expect 401 on bad password, never 502/405).</w:t>
      </w:r>
    </w:p>
    <w:p>
      <w:pPr>
        <w:pStyle w:val="Heading1"/>
      </w:pPr>
      <w:r>
        <w:t>6.2 Customer onboarding &amp; agent joining</w:t>
      </w:r>
    </w:p>
    <w:p>
      <w:r>
        <w:t>High-level sequence (see also docs/KB075_CONTRACT_READY_CUSTOMER_ONBOARDING.md, docs/KB072_TENANT_ENGINE_PROVISIONING.md, docs/KB042_WAZUH_AGENT_ONBOARDING.md):</w:t>
      </w:r>
    </w:p>
    <w:p>
      <w:r>
        <w:t>1. Create tenant in Admin (/tenants) with unique short_code, deployment mode (KB-073), entitlements (KB-071). 2. Provision engines — Wazuh agent group + TheHive org/tag bindings (tenant_engine_bindings). 3. Create customer_admin portal user; verify Customer :3001 login only. 4. Issue agent install token / package (KB-086 agent install tokens + Admin/Customer package APIs). 5. Enroll Wazuh agent against Manager 192.168.0.211; place agent in the tenant’s group (fail-closed mapping). 6. Windows telemetry bootstrap — Sysmon baseline + 4688 command-line auditing + ossec.conf channels. Validate process tree populates before claiming EDR readiness. 7. Install Windows EDR AR pack from mssp-windows-edr-ar-remediate.zip / Install-MsspWindowsEdrAr.ps1; register AR commands on Manager (scripts/kb090_register_windows_edr_ar_commands.sh). 8. Verify alerts appear tenant-scoped; isolate rehearsal only on approved test hosts with proof script.</w:t>
      </w:r>
    </w:p>
    <w:p>
      <w:pPr>
        <w:pStyle w:val="Heading1"/>
      </w:pPr>
      <w:r>
        <w:t>6.3 Day-2 maintenance</w:t>
      </w:r>
    </w:p>
    <w:p>
      <w:pPr>
        <w:pStyle w:val="Heading2"/>
      </w:pPr>
      <w:r>
        <w:t>Health</w:t>
      </w:r>
    </w:p>
    <w:p>
      <w:r>
        <w:rPr>
          <w:rFonts w:ascii="Consolas" w:hAnsi="Consolas"/>
          <w:sz w:val="16"/>
        </w:rPr>
        <w:t>docker compose ps</w:t>
        <w:br/>
        <w:t>curl -fsS http://localhost:8000/health | jq .</w:t>
        <w:br/>
        <w:t>./scripts/kb011_validate_protected_apis.sh</w:t>
      </w:r>
    </w:p>
    <w:p>
      <w:r>
        <w:t>Feature-area validators (run what you changed):</w:t>
      </w:r>
    </w:p>
    <w:tbl>
      <w:tblPr>
        <w:tblStyle w:val="TableGrid"/>
        <w:tblW w:type="auto" w:w="0"/>
        <w:tblLook w:firstColumn="1" w:firstRow="1" w:lastColumn="0" w:lastRow="0" w:noHBand="0" w:noVBand="1" w:val="04A0"/>
      </w:tblPr>
      <w:tblGrid>
        <w:gridCol w:w="4824"/>
        <w:gridCol w:w="4824"/>
      </w:tblGrid>
      <w:tr>
        <w:tc>
          <w:tcPr>
            <w:tcW w:type="dxa" w:w="4824"/>
          </w:tcPr>
          <w:p>
            <w:r>
              <w:t>Area</w:t>
            </w:r>
          </w:p>
        </w:tc>
        <w:tc>
          <w:tcPr>
            <w:tcW w:type="dxa" w:w="4824"/>
          </w:tcPr>
          <w:p>
            <w:r>
              <w:t>Script</w:t>
            </w:r>
          </w:p>
        </w:tc>
      </w:tr>
      <w:tr>
        <w:tc>
          <w:tcPr>
            <w:tcW w:type="dxa" w:w="4824"/>
          </w:tcPr>
          <w:p>
            <w:r>
              <w:t>Architecture docs</w:t>
            </w:r>
          </w:p>
        </w:tc>
        <w:tc>
          <w:tcPr>
            <w:tcW w:type="dxa" w:w="4824"/>
          </w:tcPr>
          <w:p>
            <w:r>
              <w:t>./scripts/kb036_validate_mssp_platform_architecture_roadmap.sh</w:t>
            </w:r>
          </w:p>
        </w:tc>
      </w:tr>
      <w:tr>
        <w:tc>
          <w:tcPr>
            <w:tcW w:type="dxa" w:w="4824"/>
          </w:tcPr>
          <w:p>
            <w:r>
              <w:t>Greenbone enterprise plan</w:t>
            </w:r>
          </w:p>
        </w:tc>
        <w:tc>
          <w:tcPr>
            <w:tcW w:type="dxa" w:w="4824"/>
          </w:tcPr>
          <w:p>
            <w:r>
              <w:t>./scripts/kb077_validate_greenbone_enterprise_readiness_plan.sh</w:t>
            </w:r>
          </w:p>
        </w:tc>
      </w:tr>
      <w:tr>
        <w:tc>
          <w:tcPr>
            <w:tcW w:type="dxa" w:w="4824"/>
          </w:tcPr>
          <w:p>
            <w:r>
              <w:t>Nuclei/Vuls</w:t>
            </w:r>
          </w:p>
        </w:tc>
        <w:tc>
          <w:tcPr>
            <w:tcW w:type="dxa" w:w="4824"/>
          </w:tcPr>
          <w:p>
            <w:r>
              <w:t>./scripts/kb078_validate_nuclei_vuls_free_stack.sh</w:t>
            </w:r>
          </w:p>
        </w:tc>
      </w:tr>
      <w:tr>
        <w:tc>
          <w:tcPr>
            <w:tcW w:type="dxa" w:w="4824"/>
          </w:tcPr>
          <w:p>
            <w:r>
              <w:t>EDR MXDR</w:t>
            </w:r>
          </w:p>
        </w:tc>
        <w:tc>
          <w:tcPr>
            <w:tcW w:type="dxa" w:w="4824"/>
          </w:tcPr>
          <w:p>
            <w:r>
              <w:t>./scripts/kb083_validate_edr_mxdr.sh</w:t>
            </w:r>
          </w:p>
        </w:tc>
      </w:tr>
      <w:tr>
        <w:tc>
          <w:tcPr>
            <w:tcW w:type="dxa" w:w="4824"/>
          </w:tcPr>
          <w:p>
            <w:r>
              <w:t>EDR lifecycle</w:t>
            </w:r>
          </w:p>
        </w:tc>
        <w:tc>
          <w:tcPr>
            <w:tcW w:type="dxa" w:w="4824"/>
          </w:tcPr>
          <w:p>
            <w:r>
              <w:t>./scripts/kb084_validate_edr_lifecycle_gaps.sh</w:t>
            </w:r>
          </w:p>
        </w:tc>
      </w:tr>
      <w:tr>
        <w:tc>
          <w:tcPr>
            <w:tcW w:type="dxa" w:w="4824"/>
          </w:tcPr>
          <w:p>
            <w:r>
              <w:t>Containment honesty</w:t>
            </w:r>
          </w:p>
        </w:tc>
        <w:tc>
          <w:tcPr>
            <w:tcW w:type="dxa" w:w="4824"/>
          </w:tcPr>
          <w:p>
            <w:r>
              <w:t>./scripts/kb091_validate_edr_containment_honesty.sh</w:t>
            </w:r>
          </w:p>
        </w:tc>
      </w:tr>
      <w:tr>
        <w:tc>
          <w:tcPr>
            <w:tcW w:type="dxa" w:w="4824"/>
          </w:tcPr>
          <w:p>
            <w:r>
              <w:t>Windows AR packaging</w:t>
            </w:r>
          </w:p>
        </w:tc>
        <w:tc>
          <w:tcPr>
            <w:tcW w:type="dxa" w:w="4824"/>
          </w:tcPr>
          <w:p>
            <w:r>
              <w:t>./scripts/kb090_validate_windows_edr_ar_packaging.sh</w:t>
            </w:r>
          </w:p>
        </w:tc>
      </w:tr>
    </w:tbl>
    <w:p/>
    <w:p>
      <w:pPr>
        <w:pStyle w:val="Heading2"/>
      </w:pPr>
      <w:r>
        <w:t>Database hygiene</w:t>
      </w:r>
    </w:p>
    <w:p>
      <w:pPr>
        <w:pStyle w:val="ListBullet"/>
      </w:pPr>
      <w:r>
        <w:t>Prefer managed VACUUM via PostgreSQL autovacuum; for heavy tables (security_alerts, audit_logs, edr_process_events) schedule manual VACUUM (ANALYZE) during maintenance windows from inside mssp-postgres.</w:t>
      </w:r>
    </w:p>
    <w:p>
      <w:pPr>
        <w:pStyle w:val="ListBullet"/>
      </w:pPr>
      <w:r>
        <w:t>Retain audit_logs per policy; archive before purge. Enrichment fields (actor_role, portal, source IP) are required for co-managed isolate accountability.</w:t>
      </w:r>
    </w:p>
    <w:p>
      <w:pPr>
        <w:pStyle w:val="ListBullet"/>
      </w:pPr>
      <w:r>
        <w:t>Never truncate tenant tables without an approved purge playbook (scripts/purge_lab_*.sh are lab-oriented — use with extreme caution on production data).</w:t>
      </w:r>
    </w:p>
    <w:p>
      <w:pPr>
        <w:pStyle w:val="Heading2"/>
      </w:pPr>
      <w:r>
        <w:t>Log rotation</w:t>
      </w:r>
    </w:p>
    <w:p>
      <w:pPr>
        <w:pStyle w:val="ListBullet"/>
      </w:pPr>
      <w:r>
        <w:t>Docker JSON logs: configure daemon log-opts max-size/max-file on the host.</w:t>
      </w:r>
    </w:p>
    <w:p>
      <w:pPr>
        <w:pStyle w:val="ListBullet"/>
      </w:pPr>
      <w:r>
        <w:t>Wazuh Manager / agent logs on VM 101 and endpoints: follow Wazuh rotation defaults; Active Response log active-responses.log is the quarantine proof channel.</w:t>
      </w:r>
    </w:p>
    <w:p>
      <w:pPr>
        <w:pStyle w:val="ListBullet"/>
      </w:pPr>
      <w:r>
        <w:t>Forensics disk: monitor EDR_FORENSICS_STORAGE_PATH; expire edr_forensic_artifacts with status=expired per retention policy.</w:t>
      </w:r>
    </w:p>
    <w:p>
      <w:pPr>
        <w:pStyle w:val="Heading2"/>
      </w:pPr>
      <w:r>
        <w:t>Backup posture</w:t>
      </w:r>
    </w:p>
    <w:p>
      <w:r>
        <w:t>Follow docs/KB060_BACKUP_MONITORING_UPGRADE_OPERATIONS_RUNBOOK.md for PostgreSQL volume snapshots, Redis persistence expectations, and Proxmox VM snapshots of VM 100 before major upgrades. Prefer validation → commit → tag → snapshot (user-driven).</w:t>
      </w:r>
    </w:p>
    <w:p>
      <w:pPr>
        <w:pStyle w:val="Heading1"/>
      </w:pPr>
      <w:r>
        <w:t>6.4 Safe change workflow</w:t>
      </w:r>
    </w:p>
    <w:p>
      <w:r>
        <w:t>1. Inspect live files + git status (do not trust stale docs alone). 2. Plan; obtain approval for large architectural changes. 3. Implement minimal blast radius. 4. Run module validator + relevant regressions (kb011 when auth/API/nginx touched). 5. Smoke portals and the changed feature path. 6. Commit only when the human requests it; never commit .env.</w:t>
      </w:r>
    </w:p>
    <w:p>
      <w:r>
        <w:t>————————————————————————————————————————</w:t>
      </w:r>
    </w:p>
    <w:p>
      <w:pPr>
        <w:pStyle w:val="Title"/>
      </w:pPr>
      <w:r>
        <w:t>7. Appendix</w:t>
      </w:r>
    </w:p>
    <w:p>
      <w:pPr>
        <w:pStyle w:val="Heading1"/>
      </w:pPr>
      <w:r>
        <w:t>7.1 Key repository paths</w:t>
      </w:r>
    </w:p>
    <w:tbl>
      <w:tblPr>
        <w:tblStyle w:val="TableGrid"/>
        <w:tblW w:type="auto" w:w="0"/>
        <w:tblLook w:firstColumn="1" w:firstRow="1" w:lastColumn="0" w:lastRow="0" w:noHBand="0" w:noVBand="1" w:val="04A0"/>
      </w:tblPr>
      <w:tblGrid>
        <w:gridCol w:w="4824"/>
        <w:gridCol w:w="4824"/>
      </w:tblGrid>
      <w:tr>
        <w:tc>
          <w:tcPr>
            <w:tcW w:type="dxa" w:w="4824"/>
          </w:tcPr>
          <w:p>
            <w:r>
              <w:t>Path</w:t>
            </w:r>
          </w:p>
        </w:tc>
        <w:tc>
          <w:tcPr>
            <w:tcW w:type="dxa" w:w="4824"/>
          </w:tcPr>
          <w:p>
            <w:r>
              <w:t>Role</w:t>
            </w:r>
          </w:p>
        </w:tc>
      </w:tr>
      <w:tr>
        <w:tc>
          <w:tcPr>
            <w:tcW w:type="dxa" w:w="4824"/>
          </w:tcPr>
          <w:p>
            <w:r>
              <w:t>/opt/mssp-control/docker-compose.yml</w:t>
            </w:r>
          </w:p>
        </w:tc>
        <w:tc>
          <w:tcPr>
            <w:tcW w:type="dxa" w:w="4824"/>
          </w:tcPr>
          <w:p>
            <w:r>
              <w:t>Runtime orchestration</w:t>
            </w:r>
          </w:p>
        </w:tc>
      </w:tr>
      <w:tr>
        <w:tc>
          <w:tcPr>
            <w:tcW w:type="dxa" w:w="4824"/>
          </w:tcPr>
          <w:p>
            <w:r>
              <w:t>/opt/mssp-control/backend-api/</w:t>
            </w:r>
          </w:p>
        </w:tc>
        <w:tc>
          <w:tcPr>
            <w:tcW w:type="dxa" w:w="4824"/>
          </w:tcPr>
          <w:p>
            <w:r>
              <w:t>FastAPI control plane</w:t>
            </w:r>
          </w:p>
        </w:tc>
      </w:tr>
      <w:tr>
        <w:tc>
          <w:tcPr>
            <w:tcW w:type="dxa" w:w="4824"/>
          </w:tcPr>
          <w:p>
            <w:r>
              <w:t>/opt/mssp-control/frontend-admin/</w:t>
            </w:r>
          </w:p>
        </w:tc>
        <w:tc>
          <w:tcPr>
            <w:tcW w:type="dxa" w:w="4824"/>
          </w:tcPr>
          <w:p>
            <w:r>
              <w:t>SOC portal</w:t>
            </w:r>
          </w:p>
        </w:tc>
      </w:tr>
      <w:tr>
        <w:tc>
          <w:tcPr>
            <w:tcW w:type="dxa" w:w="4824"/>
          </w:tcPr>
          <w:p>
            <w:r>
              <w:t>/opt/mssp-control/frontend-customer/</w:t>
            </w:r>
          </w:p>
        </w:tc>
        <w:tc>
          <w:tcPr>
            <w:tcW w:type="dxa" w:w="4824"/>
          </w:tcPr>
          <w:p>
            <w:r>
              <w:t>Customer portal</w:t>
            </w:r>
          </w:p>
        </w:tc>
      </w:tr>
      <w:tr>
        <w:tc>
          <w:tcPr>
            <w:tcW w:type="dxa" w:w="4824"/>
          </w:tcPr>
          <w:p>
            <w:r>
              <w:t>/opt/mssp-control/postgres/init/</w:t>
            </w:r>
          </w:p>
        </w:tc>
        <w:tc>
          <w:tcPr>
            <w:tcW w:type="dxa" w:w="4824"/>
          </w:tcPr>
          <w:p>
            <w:r>
              <w:t>Schema + migrations</w:t>
            </w:r>
          </w:p>
        </w:tc>
      </w:tr>
      <w:tr>
        <w:tc>
          <w:tcPr>
            <w:tcW w:type="dxa" w:w="4824"/>
          </w:tcPr>
          <w:p>
            <w:r>
              <w:t>/opt/mssp-control/deploy/wazuh-active-response/</w:t>
            </w:r>
          </w:p>
        </w:tc>
        <w:tc>
          <w:tcPr>
            <w:tcW w:type="dxa" w:w="4824"/>
          </w:tcPr>
          <w:p>
            <w:r>
              <w:t>AR SoT</w:t>
            </w:r>
          </w:p>
        </w:tc>
      </w:tr>
      <w:tr>
        <w:tc>
          <w:tcPr>
            <w:tcW w:type="dxa" w:w="4824"/>
          </w:tcPr>
          <w:p>
            <w:r>
              <w:t>/opt/mssp-control/scripts/</w:t>
            </w:r>
          </w:p>
        </w:tc>
        <w:tc>
          <w:tcPr>
            <w:tcW w:type="dxa" w:w="4824"/>
          </w:tcPr>
          <w:p>
            <w:r>
              <w:t>Validators &amp; ops helpers</w:t>
            </w:r>
          </w:p>
        </w:tc>
      </w:tr>
      <w:tr>
        <w:tc>
          <w:tcPr>
            <w:tcW w:type="dxa" w:w="4824"/>
          </w:tcPr>
          <w:p>
            <w:r>
              <w:t>/opt/mssp-control/docs/</w:t>
            </w:r>
          </w:p>
        </w:tc>
        <w:tc>
          <w:tcPr>
            <w:tcW w:type="dxa" w:w="4824"/>
          </w:tcPr>
          <w:p>
            <w:r>
              <w:t>Knowledge Base corpus</w:t>
            </w:r>
          </w:p>
        </w:tc>
      </w:tr>
    </w:tbl>
    <w:p/>
    <w:p>
      <w:pPr>
        <w:pStyle w:val="Heading1"/>
      </w:pPr>
      <w:r>
        <w:t>7.2 Explicit deferred / future items</w:t>
      </w:r>
    </w:p>
    <w:p>
      <w:r>
        <w:t>Zeek, MISP, Velociraptor, OpenCTI, Kubernetes, Greenbone Enterprise (KB-077), full AR callback Wave 1, and Windows kernel driver work remain paused or deferred unless an approved KB restarts them.</w:t>
      </w:r>
    </w:p>
    <w:p>
      <w:pPr>
        <w:pStyle w:val="Heading1"/>
      </w:pPr>
      <w:r>
        <w:t>7.3 Document maintenance</w:t>
      </w:r>
    </w:p>
    <w:p>
      <w:r>
        <w:t>Update this blueprint when: a new engine VM goes live; EDR semantics change; RBAC roles change; or a containment honesty gap is closed. Prefer editing the Markdown source, then regenerating PDF/DOCX via scripts/export_mssp_master_blueprint.py.</w:t>
      </w:r>
    </w:p>
    <w:p>
      <w:r>
        <w:t>————————————————————————————————————————</w:t>
      </w:r>
    </w:p>
    <w:p>
      <w:r>
        <w:t>*End of MSSP Platform Master Blueprint &amp; Product Operations Manual.*</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