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 AND RECOMMONDATION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telecom customer data (7,000+ customers) to understand the key drivers of customer churn. The overall churn rate is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, meaning approximately </w:t>
      </w:r>
      <w:r w:rsidDel="00000000" w:rsidR="00000000" w:rsidRPr="00000000">
        <w:rPr>
          <w:b w:val="1"/>
          <w:bCs w:val="1"/>
          <w:rtl w:val="0"/>
        </w:rPr>
        <w:t xml:space="preserve">1 in 4 customers leave the company</w:t>
      </w:r>
      <w:r w:rsidDel="00000000" w:rsidR="00000000" w:rsidRPr="00000000">
        <w:rPr>
          <w:rtl w:val="0"/>
        </w:rPr>
        <w:t xml:space="preserve">, which represents a significant revenue risk.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3uw0hn1gyz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1️. Contract &amp; Tenure Insights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type is the strongest predictor of churn: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Month-to-month customers: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42–45% churn rate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One-year contract: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11–12% churn rate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Two-year contract: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3–5% churn rate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short tenure (new customers)</w:t>
      </w:r>
      <w:r w:rsidDel="00000000" w:rsidR="00000000" w:rsidRPr="00000000">
        <w:rPr>
          <w:rtl w:val="0"/>
        </w:rPr>
        <w:t xml:space="preserve"> are significantly more likely to churn, while long-term customers show strong retention. This indicates that improving early customer experience and promoting long-term contracts can substantially reduce churn.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4b6ngtrp7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2️. Demographic Factors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citizens</w:t>
      </w:r>
      <w:r w:rsidDel="00000000" w:rsidR="00000000" w:rsidRPr="00000000">
        <w:rPr>
          <w:rtl w:val="0"/>
        </w:rPr>
        <w:t xml:space="preserve"> show a higher churn rate (~</w:t>
      </w:r>
      <w:r w:rsidDel="00000000" w:rsidR="00000000" w:rsidRPr="00000000">
        <w:rPr>
          <w:b w:val="1"/>
          <w:bCs w:val="1"/>
          <w:rtl w:val="0"/>
        </w:rPr>
        <w:t xml:space="preserve">40%+</w:t>
      </w:r>
      <w:r w:rsidDel="00000000" w:rsidR="00000000" w:rsidRPr="00000000">
        <w:rPr>
          <w:rtl w:val="0"/>
        </w:rPr>
        <w:t xml:space="preserve">) compared to non-senior customers (~</w:t>
      </w:r>
      <w:r w:rsidDel="00000000" w:rsidR="00000000" w:rsidRPr="00000000">
        <w:rPr>
          <w:b w:val="1"/>
          <w:bCs w:val="1"/>
          <w:rtl w:val="0"/>
        </w:rPr>
        <w:t xml:space="preserve">23–25%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distribution</w:t>
      </w:r>
      <w:r w:rsidDel="00000000" w:rsidR="00000000" w:rsidRPr="00000000">
        <w:rPr>
          <w:rtl w:val="0"/>
        </w:rPr>
        <w:t xml:space="preserve"> shows no major difference in churn behavior.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targeted engagement strategies may be required for senior customers.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hhigu7ba8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3️. Internet &amp; Service-Based Insights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type significantly impacts churn: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Fiber optic users: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40–42% churn rate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DSL users: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18–20% churn rate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without value-added services show much higher churn: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Online Security: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40% churn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15% with security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Tech Support: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38–40% churn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15–18% with support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Device Protection / Backup:</w:t>
      </w:r>
      <w:r w:rsidDel="00000000" w:rsidR="00000000" w:rsidRPr="00000000">
        <w:rPr>
          <w:rtl w:val="0"/>
        </w:rPr>
        <w:t xml:space="preserve"> significantly higher churn compared to subscribers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that </w:t>
      </w:r>
      <w:r w:rsidDel="00000000" w:rsidR="00000000" w:rsidRPr="00000000">
        <w:rPr>
          <w:b w:val="1"/>
          <w:bCs w:val="1"/>
          <w:rtl w:val="0"/>
        </w:rPr>
        <w:t xml:space="preserve">service bundling improves retention</w:t>
      </w:r>
      <w:r w:rsidDel="00000000" w:rsidR="00000000" w:rsidRPr="00000000">
        <w:rPr>
          <w:rtl w:val="0"/>
        </w:rPr>
        <w:t xml:space="preserve">, and customers with additional support/security services are much more likely to stay.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1nvfs53ti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4️. Payment Method Insights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 plays a critical role: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check users: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45% churn rate</w:t>
      </w:r>
      <w:r w:rsidDel="00000000" w:rsidR="00000000" w:rsidRPr="00000000">
        <w:rPr>
          <w:rtl w:val="0"/>
        </w:rPr>
        <w:t xml:space="preserve"> (highest)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payments (bank transfer / credit card): significantly lower churn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that encouraging customers to shift to automatic payment methods could reduce churn risk.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jayalxhuq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 Business Recommendations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long-term contracts</w:t>
      </w:r>
      <w:r w:rsidDel="00000000" w:rsidR="00000000" w:rsidRPr="00000000">
        <w:rPr>
          <w:rtl w:val="0"/>
        </w:rPr>
        <w:t xml:space="preserve"> to month-to-month customers.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onboarding and engagement for </w:t>
      </w:r>
      <w:r w:rsidDel="00000000" w:rsidR="00000000" w:rsidRPr="00000000">
        <w:rPr>
          <w:b w:val="1"/>
          <w:bCs w:val="1"/>
          <w:rtl w:val="0"/>
        </w:rPr>
        <w:t xml:space="preserve">new customers (low tenure)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and upsell </w:t>
      </w:r>
      <w:r w:rsidDel="00000000" w:rsidR="00000000" w:rsidRPr="00000000">
        <w:rPr>
          <w:b w:val="1"/>
          <w:bCs w:val="1"/>
          <w:rtl w:val="0"/>
        </w:rPr>
        <w:t xml:space="preserve">Online Security, Tech Support, and Device Protection services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retention strategies on </w:t>
      </w:r>
      <w:r w:rsidDel="00000000" w:rsidR="00000000" w:rsidRPr="00000000">
        <w:rPr>
          <w:b w:val="1"/>
          <w:bCs w:val="1"/>
          <w:rtl w:val="0"/>
        </w:rPr>
        <w:t xml:space="preserve">Fiber optic users and electronic check customers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targeted support programs for </w:t>
      </w:r>
      <w:r w:rsidDel="00000000" w:rsidR="00000000" w:rsidRPr="00000000">
        <w:rPr>
          <w:b w:val="1"/>
          <w:bCs w:val="1"/>
          <w:rtl w:val="0"/>
        </w:rPr>
        <w:t xml:space="preserve">senior citizens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idv9i6qmc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Conclusion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is strongly influenced by </w:t>
      </w:r>
      <w:r w:rsidDel="00000000" w:rsidR="00000000" w:rsidRPr="00000000">
        <w:rPr>
          <w:b w:val="1"/>
          <w:bCs w:val="1"/>
          <w:rtl w:val="0"/>
        </w:rPr>
        <w:t xml:space="preserve">contract type, tenure, internet service type, payment method, and additional services subscription</w:t>
      </w:r>
      <w:r w:rsidDel="00000000" w:rsidR="00000000" w:rsidRPr="00000000">
        <w:rPr>
          <w:rtl w:val="0"/>
        </w:rPr>
        <w:t xml:space="preserve">. By implementing targeted retention strategies in high-risk segments, the company can significantly reduce the </w:t>
      </w:r>
      <w:r w:rsidDel="00000000" w:rsidR="00000000" w:rsidRPr="00000000">
        <w:rPr>
          <w:b w:val="1"/>
          <w:bCs w:val="1"/>
          <w:rtl w:val="0"/>
        </w:rPr>
        <w:t xml:space="preserve">27% churn rate</w:t>
      </w:r>
      <w:r w:rsidDel="00000000" w:rsidR="00000000" w:rsidRPr="00000000">
        <w:rPr>
          <w:rtl w:val="0"/>
        </w:rPr>
        <w:t xml:space="preserve">, increase customer lifetime value, and improve long-term profitability.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