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192"/>
          <w:sz w:val="40"/>
          <w:szCs w:val="40"/>
        </w:rPr>
        <w:t xml:space="preserve">Requirement Linter</w:t>
      </w:r>
    </w:p>
    <w:p>
      <w:pPr>
        <w:spacing w:after="40"/>
      </w:pPr>
      <w:r>
        <w:rPr>
          <w:rFonts w:ascii="Calibri" w:cs="Calibri" w:eastAsia="Calibri" w:hAnsi="Calibri"/>
          <w:color w:val="1B1F4B"/>
          <w:sz w:val="26"/>
          <w:szCs w:val="26"/>
        </w:rPr>
        <w:t xml:space="preserve">Architecture, Implementation Roadmap &amp; Scope Document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AIFD Hackathon  |  Claritev — Healthcare IT, Payer Domain  |  v1.0</w:t>
      </w:r>
    </w:p>
    <w:p>
      <w:pPr>
        <w:pStyle w:val="Heading1"/>
        <w:pBdr>
          <w:bottom w:val="single" w:color="2E3192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2E3192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Requirement Linter reads Jira stories ahead of sprint planning and scores them against an 8-dimension Definition of Ready (DoR) rubric — surfacing gaps, generating clarifying questions, and drafting Gherkin acceptance criteria before the team ever sits down to refine or plan the story.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tool is designed to reduce sprint churn caused by underspecified stories — a cost that rarely appears as a line item but consistently erodes velocity through mid-sprint clarification loops, re-estimation, and carryover. It is scoped deliberately narrow: read-only by default, human-confirmed before any write-back, and explicit about what it cannot reliably judge (see Section 4, Out of Scope).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document consolidates the architecture, phased rollout plan, and scope boundaries into a single reference — including the revised approach to dependency detection following technical review feedback.</w:t>
      </w:r>
    </w:p>
    <w:p>
      <w:pPr>
        <w:pStyle w:val="Heading1"/>
        <w:pBdr>
          <w:bottom w:val="single" w:color="2E3192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2E3192"/>
          <w:sz w:val="28"/>
          <w:szCs w:val="28"/>
        </w:rPr>
        <w:t xml:space="preserve">2. Architecture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F4B"/>
          <w:sz w:val="23"/>
          <w:szCs w:val="23"/>
        </w:rPr>
        <w:t xml:space="preserve">2.1 Pipeline overview</w:t>
      </w:r>
    </w:p>
    <w:p>
      <w:pPr>
        <w:spacing w:after="160"/>
        <w:jc w:val="center"/>
      </w:pPr>
      <w:r>
        <w:drawing>
          <wp:inline distT="0" distB="0" distL="0" distR="0">
            <wp:extent cx="5905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F4B"/>
          <w:sz w:val="23"/>
          <w:szCs w:val="23"/>
        </w:rPr>
        <w:t xml:space="preserve">2.2 Component responsibilities</w:t>
      </w:r>
    </w:p>
    <w:tbl>
      <w:tblPr>
        <w:tblW w:type="pct" w:w="100%"/>
        <w:tblBorders>
          <w:top w:val="single" w:color="C7C9D9" w:sz="4"/>
          <w:left w:val="single" w:color="C7C9D9" w:sz="4"/>
          <w:bottom w:val="single" w:color="C7C9D9" w:sz="4"/>
          <w:right w:val="single" w:color="C7C9D9" w:sz="4"/>
          <w:insideH w:val="single" w:color="E2E3ED" w:sz="4"/>
          <w:insideV w:val="single" w:color="E2E3ED" w:sz="4"/>
        </w:tblBorders>
      </w:tblPr>
      <w:tblGrid>
        <w:gridCol w:w="100"/>
        <w:gridCol w:w="100"/>
      </w:tblGrid>
      <w:tr>
        <w:tc>
          <w:tcPr>
            <w:tcW w:type="pct" w:w="24%"/>
            <w:shd w:fill="2E319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pct" w:w="76%"/>
            <w:shd w:fill="2E319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Jira Cloud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System of record for stories, epics, comments, and issue links. No schema changes required.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Atlassian MCP Connector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Read-only access to story fields via OAuth 2.1 (preferred) or API token (if admin-enabled). Client-side admin must enable Rovo + Remote MCP server toggles.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PII / PHI Scrub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Pre-processing pass on description/comment text before anything leaves Jira. Strips or masks patient/member-identifying content.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Component Dependency Map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Static, tech-lead-maintained reference of which of the 5 applications depend on which others. Feeds the scoring engine's dependency check — no code/repo access involved.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Scoring Engine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LLM call (Azure OpenAI, client tenant) combining story payload + rubric + dependency map lookup. Returns structured JSON: score, dimension breakdown, gaps, clarifying questions, draft Gherkin.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Tech Lead Review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Human-in-loop confirmation step. Dependency flags and any write-back candidates are confirmed or dismissed by a tech lead before reaching Jira.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Jira Write-back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Gated by rollout phase — see Section 3. Nothing is written to Jira without prior client sign-off on the relevant phase.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F4B"/>
          <w:sz w:val="23"/>
          <w:szCs w:val="23"/>
        </w:rPr>
        <w:t xml:space="preserve">2.3 Data handling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Attachment content is never sent — only a boolean presence flag — unless the client's approved Azure OpenAI endpoint is explicitly cleared for that content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inference runs inside the client's Azure OpenAI tenant, not a shared/public endpoint — required given PHI-adjacent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component dependency map is a plain reference document (see prior spec appendix), not a live system query — it introduces no new access surface.</w:t>
      </w:r>
    </w:p>
    <w:p>
      <w:pPr>
        <w:pStyle w:val="Heading1"/>
        <w:pBdr>
          <w:bottom w:val="single" w:color="2E3192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2E3192"/>
          <w:sz w:val="28"/>
          <w:szCs w:val="28"/>
        </w:rPr>
        <w:t xml:space="preserve">3. Implementation Roadmap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rollout is phased and gated on client sign-off at each stage — no phase begins until the prior one is approved. This mirrors the read-only → labels → comments sequence already agreed for the broader AIFD rollout.</w:t>
      </w:r>
    </w:p>
    <w:tbl>
      <w:tblPr>
        <w:tblW w:type="pct" w:w="100%"/>
        <w:tblBorders>
          <w:top w:val="single" w:color="C7C9D9" w:sz="4"/>
          <w:left w:val="single" w:color="C7C9D9" w:sz="4"/>
          <w:bottom w:val="single" w:color="C7C9D9" w:sz="4"/>
          <w:right w:val="single" w:color="C7C9D9" w:sz="4"/>
          <w:insideH w:val="single" w:color="E2E3ED" w:sz="4"/>
          <w:insideV w:val="single" w:color="E2E3ED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6%"/>
            <w:shd w:fill="2E319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14%"/>
            <w:shd w:fill="2E319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pct" w:w="45%"/>
            <w:shd w:fill="2E319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pct" w:w="25%"/>
            <w:shd w:fill="2E319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shd w:fill="EE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0 — Setup &amp; Access</w:t>
            </w:r>
          </w:p>
        </w:tc>
        <w:tc>
          <w:tcPr>
            <w:shd w:fill="EE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Weeks 1–2</w:t>
            </w:r>
          </w:p>
        </w:tc>
        <w:tc>
          <w:tcPr>
            <w:shd w:fill="EE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MCP OAuth/API token enablement with client admin; component map first draft from tech leads; PII scrub rules defined; Azure OpenAI endpoint confirmed for PHI-adjacent use.</w:t>
            </w:r>
          </w:p>
        </w:tc>
        <w:tc>
          <w:tcPr>
            <w:shd w:fill="EE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MCP connection live in a test project; endpoint approval on record.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 — Read-only Pilot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Weeks 3–5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Score stories from 1 application (recommend BenInsights — existing VSM baseline). No Jira write-back; scores reviewed offline with tech leads and PO.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Score-vs-human-judgment correlation reviewed at 2 sprint retros; false-positive rate on dependency flag acceptable to tech leads.</w:t>
            </w:r>
          </w:p>
        </w:tc>
      </w:tr>
      <w:tr>
        <w:tc>
          <w:tcPr>
            <w:shd w:fill="EE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 — Label Write-back</w:t>
            </w:r>
          </w:p>
        </w:tc>
        <w:tc>
          <w:tcPr>
            <w:shd w:fill="EE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Weeks 6–8</w:t>
            </w:r>
          </w:p>
        </w:tc>
        <w:tc>
          <w:tcPr>
            <w:shd w:fill="EE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With client sign-off, readiness label (e.g., Ready / Needs-Info) written directly to story. Still no comments. Expand to 2nd application.</w:t>
            </w:r>
          </w:p>
        </w:tc>
        <w:tc>
          <w:tcPr>
            <w:shd w:fill="EE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 sign-off obtained in writing; label accuracy validated for 2+ sprints.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 — Comment Write-back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Weeks 9–11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Gaps, clarifying questions, and draft Gherkin posted as Jira comments (tech-lead-approved) rather than just a label. Full 5-application rollout begins.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Comment acceptance/edit rate tracked; adoption confirmed by tech leads across all 5 apps.</w:t>
            </w:r>
          </w:p>
        </w:tc>
      </w:tr>
      <w:tr>
        <w:tc>
          <w:tcPr>
            <w:shd w:fill="EE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 — Steady State</w:t>
            </w:r>
          </w:p>
        </w:tc>
        <w:tc>
          <w:tcPr>
            <w:shd w:fill="EE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Week 12+</w:t>
            </w:r>
          </w:p>
        </w:tc>
        <w:tc>
          <w:tcPr>
            <w:shd w:fill="EE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Rubric version-locked; component map on a quarterly review cadence; success metrics (Section 6) reported alongside existing portfolio reviews.</w:t>
            </w:r>
          </w:p>
        </w:tc>
        <w:tc>
          <w:tcPr>
            <w:shd w:fill="EEF0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Ongoing — folded into standard delivery governance, not a special initiative.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E3192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2E3192"/>
          <w:sz w:val="28"/>
          <w:szCs w:val="28"/>
        </w:rPr>
        <w:t xml:space="preserve">4. Scope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F4B"/>
          <w:sz w:val="23"/>
          <w:szCs w:val="23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DoR scoring across all 8 rubric dimensions for Story-type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Dependency detection limited to: (a) Jira link-graph check, and (b) component-map lookup with tech-lead confirmation — not source-code or repo-based inference.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Structured output: readiness score, dimension breakdown, gap list, clarifying questions, draft Gherkin.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Read-only Jira access via MCP; phased write-back gated on explicit client sign-off.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PII/PHI scrub on all text leaving Jira prior to LLM inference.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Coverage across the 5 Claritev applications: PlanOptix, BenInsights, CompleteVue, Colossus, EDM.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F4B"/>
          <w:sz w:val="23"/>
          <w:szCs w:val="23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B3261E"/>
          <w:sz w:val="21"/>
          <w:szCs w:val="21"/>
        </w:rPr>
        <w:t xml:space="preserve">Source code / repository access of any kind — dependency detection is metadata- and map-based only, per technical review 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B3261E"/>
          <w:sz w:val="21"/>
          <w:szCs w:val="21"/>
        </w:rPr>
        <w:t xml:space="preserve">Automatic Jira write-back without a human (tech lead) confirmation step at any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B3261E"/>
          <w:sz w:val="21"/>
          <w:szCs w:val="21"/>
        </w:rPr>
        <w:t xml:space="preserve">Non-Story issue types (Bugs, Epics, Tasks) — may be considered as a future extension, not in this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B3261E"/>
          <w:sz w:val="21"/>
          <w:szCs w:val="21"/>
        </w:rPr>
        <w:t xml:space="preserve">Multi-Jira-site support (dependency/story data spanning more than one Atlassian Cloud site) — a known platform limitation, not a Requirement Linter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B3261E"/>
          <w:sz w:val="21"/>
          <w:szCs w:val="21"/>
        </w:rPr>
        <w:t xml:space="preserve">Financial, contractual, or SOW-level dependency tracking — this tool addresses technical/delivery dependencies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B3261E"/>
          <w:sz w:val="21"/>
          <w:szCs w:val="21"/>
        </w:rPr>
        <w:t xml:space="preserve">Attachment-content analysis (mockups, data samples) unless a separately approved endpoint/data-handling agreement is in place.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B1F4B"/>
          <w:sz w:val="23"/>
          <w:szCs w:val="23"/>
        </w:rPr>
        <w:t xml:space="preserve">4.3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 admin enables Rovo + Remote MCP server for the Atlassian Cloud site (or approves API token auth as fallback).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Tech leads own and maintain the component dependency map on an agreed cadence (recommend quarterly).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Scrum Master and PO remain the decision-owners of the backlog — the tool is advisory input, not an autonomous gatekeeper.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Azure OpenAI endpoint used for inference sits within the client's own tenant and has been cleared for PHI-adjacent content.</w:t>
      </w:r>
    </w:p>
    <w:p>
      <w:pPr>
        <w:pStyle w:val="Heading1"/>
        <w:pBdr>
          <w:bottom w:val="single" w:color="2E3192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2E3192"/>
          <w:sz w:val="28"/>
          <w:szCs w:val="28"/>
        </w:rPr>
        <w:t xml:space="preserve">5. Risks &amp; Mitigations</w:t>
      </w:r>
    </w:p>
    <w:tbl>
      <w:tblPr>
        <w:tblW w:type="pct" w:w="100%"/>
        <w:tblBorders>
          <w:top w:val="single" w:color="C7C9D9" w:sz="4"/>
          <w:left w:val="single" w:color="C7C9D9" w:sz="4"/>
          <w:bottom w:val="single" w:color="C7C9D9" w:sz="4"/>
          <w:right w:val="single" w:color="C7C9D9" w:sz="4"/>
          <w:insideH w:val="single" w:color="E2E3ED" w:sz="4"/>
          <w:insideV w:val="single" w:color="E2E3ED" w:sz="4"/>
        </w:tblBorders>
      </w:tblPr>
      <w:tblGrid>
        <w:gridCol w:w="100"/>
        <w:gridCol w:w="100"/>
      </w:tblGrid>
      <w:tr>
        <w:tc>
          <w:tcPr>
            <w:tcW w:type="pct" w:w="34%"/>
            <w:shd w:fill="2E319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pct" w:w="66%"/>
            <w:shd w:fill="2E319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 admin delays enabling MCP/API token access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Raise as a Phase 0 dependency in the 30-60-90 plan; escalate through existing VP/COO channel if blocking timeline.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LLM flags false-positive dependencies without repo context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Scoped to map-based suggestion + mandatory tech-lead confirmation before any Jira write — no autonomous claims.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Rubric perceived as a black box by client stakeholders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Rubric is version-controlled and documented (see companion Scoring Spec doc); every score is traceable to a rubric version.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PHI/PII leakage via story text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Mandatory scrub step before any text reaches the LLM; attachment content excluded by default.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Component dependency map goes stale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Quarterly review owned by tech leads; flagged as an explicit open item, not assumed self-maintaining.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Tech lead adoption resistance (extra review step)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Frame as replacing ad hoc DoR checking, not adding to it; track time saved vs. manual review as an adoption metric.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E3192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2E3192"/>
          <w:sz w:val="28"/>
          <w:szCs w:val="28"/>
        </w:rPr>
        <w:t xml:space="preserve">6.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Reduction in mid-sprint clarification questions/comments on stories scored “Ready” vs. historical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Cycle time from refinement to sprint start, before vs. after rollout.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Tech lead time spent on manual DoR review, before vs. after (proxy metric, consistent with existing VSM methodology).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Score-to-actual-readiness correlation, reviewed at sprint retro — the score's practical trustworthiness over time, not just its existence.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Dependency-flag acceptance rate by tech leads (confirmed vs. dismissed) — tracks whether the component map is adding real signal.</w:t>
      </w:r>
    </w:p>
    <w:p>
      <w:pPr>
        <w:pStyle w:val="Heading1"/>
        <w:pBdr>
          <w:bottom w:val="single" w:color="2E3192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2E3192"/>
          <w:sz w:val="28"/>
          <w:szCs w:val="28"/>
        </w:rPr>
        <w:t xml:space="preserve">7. Open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Confirm Azure OpenAI tenant endpoint approval for PHI-adjacent inference (Phase 0 blocker).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Assign a named owner for the component dependency map's quarterly refresh.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Decide retention policy for scored payloads — discard post-response, or retain for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Evaluate, post-Phase 1, whether epic_summary context is worth the added token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Revisit non-Story issue types (Bugs/Epics) as a possible Phase 5 extension once Story coverage is stable.</w:t>
      </w:r>
    </w:p>
    <w:p>
      <w:pPr>
        <w:spacing w:after="80"/>
      </w:pPr>
      <w:r>
        <w:rPr>
          <w:sz w:val="2"/>
          <w:szCs w:val="2"/>
        </w:rPr>
        <w:t xml:space="preserve"/>
      </w:r>
    </w:p>
    <w:p>
      <w:pPr>
        <w:pBdr>
          <w:top w:val="single" w:color="C7C9D9" w:sz="4" w:space="8"/>
        </w:pBdr>
        <w:spacing w:before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Companion document: Requirement Linter — Story Scoring: LLM Input/Output Specification (v1.0)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Requirement Linter — Architecture, Roadmap &amp; Scope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bf6afea00b6f0083a05d2479cde0efa3e179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2026-07-06T13:20:12.640Z</dcterms:created>
  <dcterms:modified xsi:type="dcterms:W3CDTF">2026-07-06T13:20:12.652Z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