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rFonts w:ascii="Calibri" w:cs="Calibri" w:eastAsia="Calibri" w:hAnsi="Calibri"/>
          <w:b/>
          <w:bCs/>
          <w:color w:val="00AEEF"/>
          <w:sz w:val="18"/>
          <w:szCs w:val="18"/>
        </w:rPr>
        <w:t xml:space="preserve">AI DELIVERY FIRST · HACKATHON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color w:val="1B1E5C"/>
          <w:sz w:val="38"/>
          <w:szCs w:val="38"/>
        </w:rPr>
        <w:t xml:space="preserve">Implementation Approach &amp; Detailed Architecture</w:t>
      </w:r>
    </w:p>
    <w:p>
      <w:pPr>
        <w:spacing w:after="120" w:before="30"/>
      </w:pPr>
      <w:r>
        <w:rPr>
          <w:rFonts w:ascii="Calibri" w:cs="Calibri" w:eastAsia="Calibri" w:hAnsi="Calibri"/>
          <w:i/>
          <w:iCs/>
          <w:color w:val="2E3192"/>
          <w:sz w:val="22"/>
          <w:szCs w:val="22"/>
        </w:rPr>
        <w:t xml:space="preserve">The Requirement Linter — a story-readiness agent over MCP-connected Jira</w:t>
      </w:r>
    </w:p>
    <w:p>
      <w:pPr>
        <w:pBdr>
          <w:top w:val="single" w:color="1B1E5C" w:sz="14" w:space="6"/>
          <w:bottom w:val="single" w:color="1B1E5C" w:sz="14" w:space="6"/>
        </w:pBdr>
        <w:spacing w:after="0"/>
      </w:pPr>
      <w:r>
        <w:rPr>
          <w:sz w:val="6"/>
          <w:szCs w:val="6"/>
        </w:rPr>
        <w:t xml:space="preserv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2E3192"/>
          <w:sz w:val="18"/>
          <w:szCs w:val="18"/>
        </w:rPr>
        <w:t xml:space="preserve">Stated assumptions (swappable): 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in-boundary LLM = Azure OpenAI (GPT-4 class) · agent glue = Python · Jira reached via an MCP server with read scopes · 2-day build. Replace the LLM with the client’s sanctioned endpoint if different.</w:t>
      </w:r>
    </w:p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1.  Solution Overview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Requirement Linter is an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not a chatbot. On trigger, it pulls a batch of in-flight user stories from Jira over MCP, assembles each into a normalised bundle, scores it against a Definition-of-Ready rubric using an in-boundary LLM, and returns a structured verdict: a readiness score, a specific gap list, pre-written clarifying questions, and draft Given-When-Then acceptance criteria. The verdict is rendered to an internal surface; write-back to Jira is governed and off by default.</w:t>
      </w:r>
    </w:p>
    <w:tbl>
      <w:tblPr>
        <w:tblW w:type="dxa" w:w="9360"/>
        <w:tblBorders>
          <w:top w:val="none"/>
          <w:left w:val="single" w:color="00AEE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EFF7" w:val="clear"/>
            <w:tcMar>
              <w:top w:type="dxa" w:w="100"/>
              <w:left w:type="dxa" w:w="190"/>
              <w:bottom w:type="dxa" w:w="100"/>
              <w:right w:type="dxa" w:w="15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21"/>
                <w:szCs w:val="21"/>
              </w:rPr>
              <w:t xml:space="preserve">Design principle:  </w:t>
            </w: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rubric and domain context are the intelligence; MCP is plumbing; the LLM is a swappable engine. Keep all three loosely coupled so any one can change without a rewrite.</w:t>
            </w:r>
          </w:p>
        </w:tc>
      </w:tr>
    </w:tbl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2.  Logical Architecture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Eleven components across four layers: Ingest (pull from Jira), Reason (score against the rubric), Serve (render the verdict), and a governed Write-back path that stays dormant until client sign-off.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diagram" descr="Requirement Linter architecture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5A6E"/>
          <w:sz w:val="16"/>
          <w:szCs w:val="16"/>
        </w:rPr>
        <w:t xml:space="preserve">Figure 1 — Component &amp; data-flow architecture. Read path is solid; gated write-back is dashed. LLM inference stays inside the client tenant.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INGEST</w:t>
            </w:r>
          </w:p>
        </w:tc>
        <w:tc>
          <w:tcPr>
            <w:tcW w:type="dxa" w:w="23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2E3192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00AEE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SERVE</w:t>
            </w:r>
          </w:p>
        </w:tc>
        <w:tc>
          <w:tcPr>
            <w:tcW w:type="dxa" w:w="23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5A5A6E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WRITE-BACK (gated)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40"/>
        <w:gridCol w:w="4280"/>
        <w:gridCol w:w="1880"/>
      </w:tblGrid>
      <w:tr>
        <w:trPr>
          <w:tblHeader/>
        </w:trP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Hackathon tech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Trigger / Scheduler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Starts a run — manual button for the demo; cron poll on a status-entry query for v2.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Python CLI / cron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Jira MCP Client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Wraps MCP tools; issues JQL search and per-issue fetch; holds read scopes.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MCP client SDK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Story Bundler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Normalises issue fields + description + ACs + comments + linked issues into one StoryBundle.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Rubric &amp; Few-Shot Store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DoR rubric, domain DoR template, golden good/bad examples for the prompt.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YAML / JSON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Prompt Assembler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Merges bundle + rubric + few-shot into the scoring prompt; enforces JSON-only output.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Python / Jinja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Scoring Engine (LLM)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In-boundary LLM; returns the structured verdict per story. Low temperature, schema-forced.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Azure OpenAI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Verdict Validator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Schema-validates JSON, one repair retry on malformed output, computes RAG from score + thresholds.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pydantic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Aggregator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Sprint-level rollup: RAG spread, top risks, count ready vs blocked.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Output Renderer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Builds the internal view — Teams Adaptive Card or a Streamlit table for stage.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Teams / Streamlit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Write-Back Adapter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GATED. add_label / update_field / add_comment. Dormant until sign-off.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MCP write tools</w:t>
            </w:r>
          </w:p>
        </w:tc>
      </w:tr>
      <w:tr>
        <w:tc>
          <w:tcPr>
            <w:tcW w:type="dxa" w:w="5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Feedback Store</w:t>
            </w:r>
          </w:p>
        </w:tc>
        <w:tc>
          <w:tcPr>
            <w:tcW w:type="dxa" w:w="42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Logs each flag and whether it led to a story edit — the precision signal (v2).</w:t>
            </w:r>
          </w:p>
        </w:tc>
        <w:tc>
          <w:tcPr>
            <w:tcW w:type="dxa" w:w="188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SQLite / SP list</w:t>
            </w:r>
          </w:p>
        </w:tc>
      </w:tr>
    </w:tbl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3.  Data Flow — The Agent Loop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One run, end to end. Steps 3–7 repeat per story; steps 8–10 run once per batch.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4162425"/>
            <wp:effectExtent t="0" r="0" b="0" l="0"/>
            <wp:docPr id="1" name="diagram" descr="Requirement Linter architecture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5A6E"/>
          <w:sz w:val="16"/>
          <w:szCs w:val="16"/>
        </w:rPr>
        <w:t xml:space="preserve">Figure 2 — Sequence of one run. The per-story loop covers fetch → bundle → score → validate; aggregation, render, and gated write-back run once per batch.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1 — Trigger fires: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Orchestrator starts a run with a target query (e.g. the next sprint).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2 — Select stories: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MCP search_issues with JQL — sprint = next AND status = “Ready for Refinement” — returns issue keys.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3 — Fetch content: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Per key: get_issue (fields, description, ACs) + get_comments + get_linked_issues.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4 — Bundle: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Bundler normalises into a StoryBundle: title, narrative, current ACs, fields, comment thread, links.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5 — Assemble prompt: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Prompt Assembler injects the bundle into the rubric + few-shot template; forces JSON-only output.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6 — Score: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LLM call (temp ≈ 0.2, schema-forced). Returns the verdict object.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7 — Validate: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Parser schema-checks; one repair retry if malformed; computes RAG from score + thresholds.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8 — Aggregate: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Batch rollup: RAG spread, top recurring gaps, ready vs blocked counts.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9 — Render: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Renderer posts the sprint card / dashboard to the internal surface.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E3192"/>
          <w:sz w:val="21"/>
          <w:szCs w:val="21"/>
        </w:rPr>
        <w:t xml:space="preserve">Step 10 — Write-back (gated):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If enabled and signed off: apply Readiness label / field; comments only at Stage 3.</w:t>
      </w:r>
    </w:p>
    <w:tbl>
      <w:tblPr>
        <w:tblW w:type="dxa" w:w="9360"/>
        <w:tblBorders>
          <w:top w:val="none"/>
          <w:left w:val="single" w:color="B9770E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EFF7" w:val="clear"/>
            <w:tcMar>
              <w:top w:type="dxa" w:w="100"/>
              <w:left w:type="dxa" w:w="190"/>
              <w:bottom w:type="dxa" w:w="100"/>
              <w:right w:type="dxa" w:w="15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21"/>
                <w:szCs w:val="21"/>
              </w:rPr>
              <w:t xml:space="preserve">Latency note:  </w:t>
            </w: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scoring is per-story and parallelisable. Run the batch with a small async pool (e.g. 5 concurrent LLM calls) so a 14-story sprint scores in seconds, not a minute. Cap concurrency to the endpoint’s rate limit.</w:t>
            </w:r>
          </w:p>
        </w:tc>
      </w:tr>
    </w:tbl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4.  The Scoring Engine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3192"/>
          <w:sz w:val="22"/>
          <w:szCs w:val="22"/>
        </w:rPr>
        <w:t xml:space="preserve">4.1  Prompt structure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system prompt carries the fixed intelligence (role, rubric, output contract, few-shot). The user message carries only the StoryBundle. Keeping the story out of the system prompt makes the rubric cacheable and the boundary clean.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E1330" w:val="clear"/>
            <w:tcMar>
              <w:top w:type="dxa" w:w="120"/>
              <w:left w:type="dxa" w:w="170"/>
              <w:bottom w:type="dxa" w:w="120"/>
              <w:right w:type="dxa" w:w="14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SYSTEM: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You are a story-readiness reviewer for a SAFe Agile team.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Score the story against the Definition-of-Ready rubric below.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Rubric dimensions: Testable ACs, Edge cases, Negative paths,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Data/field rules, Dependencies, Non-functional, Out-of-scope,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DoD alignment.   (+ domain DoR notes for the payer context)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For every gap, give a specific finding and a 'why'.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Propose draft acceptance criteria in Given-When-Then.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Few-shot: &lt;one GOOD story+verdict&gt; &lt;one POOR story+verdict&gt;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Output JSON ONLY, matching the schema. No prose, no markdown.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USER: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{ StoryBundle: title, narrative, current_ACs, fields,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comments[], linked_issues[] }</w:t>
            </w:r>
          </w:p>
        </w:tc>
      </w:tr>
    </w:tbl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3192"/>
          <w:sz w:val="22"/>
          <w:szCs w:val="22"/>
        </w:rPr>
        <w:t xml:space="preserve">4.2  Output schema (the verdict)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Strict, machine-parseable. This contract is what makes the agent demo-able and lets the verdict drive a UI, a label, or a metric without re-prompting.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E1330" w:val="clear"/>
            <w:tcMar>
              <w:top w:type="dxa" w:w="120"/>
              <w:left w:type="dxa" w:w="170"/>
              <w:bottom w:type="dxa" w:w="120"/>
              <w:right w:type="dxa" w:w="14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{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"issueKey":        "BEN-1234",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"readinessScore":  42,            // 0-100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"rag":             "RED",         // RED | AMBER | GREEN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"invest": { "testable": false, "small": true, ... },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"gaps": [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{ "dimension": "Negative paths",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  "finding":  "No behaviour defined for empty-form submit",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  "severity": "high"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],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"clarifyingQuestions": [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"What is shown when the user submits an empty form?"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],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"draftAcceptanceCriteria": [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{ "scenario": "Empty submit",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  "gherkin":  "Given the form is empty / When the user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               submits / Then an inline error is shown" }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],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"crossStoryFlags": [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  "Contradicts AC on linked parent BEN-1180"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],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  "confidence": 0.82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D6E2FF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360"/>
        <w:tblBorders>
          <w:top w:val="none"/>
          <w:left w:val="single" w:color="2E3192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EFF7" w:val="clear"/>
            <w:tcMar>
              <w:top w:type="dxa" w:w="100"/>
              <w:left w:type="dxa" w:w="190"/>
              <w:bottom w:type="dxa" w:w="100"/>
              <w:right w:type="dxa" w:w="15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2E3192"/>
                <w:sz w:val="21"/>
                <w:szCs w:val="21"/>
              </w:rPr>
              <w:t xml:space="preserve">RAG is computed, not asked:  </w:t>
            </w: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the LLM returns a score and findings; the Validator derives RAG from your thresholds (e.g. &lt;50 RED, 50–74 AMBER, ≥75 GREEN). This keeps the band tunable without re-prompting and stops the model from drifting its own cut-offs.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5.  MCP Integration Layer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agent talks to Jira only through MCP tools — never raw REST. Scopes are least-privilege: read-only for the hackathon, write tools registered but unbound until Stage 2/3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MCP tool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search_issues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E47"/>
                <w:sz w:val="17"/>
                <w:szCs w:val="17"/>
              </w:rPr>
              <w:t xml:space="preserve">read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JQL query to select the batch (sprint / status / label).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get_issue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E47"/>
                <w:sz w:val="17"/>
                <w:szCs w:val="17"/>
              </w:rPr>
              <w:t xml:space="preserve">read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fields, description, acceptance-criteria field.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get_comments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E47"/>
                <w:sz w:val="17"/>
                <w:szCs w:val="17"/>
              </w:rPr>
              <w:t xml:space="preserve">read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Comment thread — powers the “unanswered question” flag.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get_linked_issues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E47"/>
                <w:sz w:val="17"/>
                <w:szCs w:val="17"/>
              </w:rPr>
              <w:t xml:space="preserve">read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Parent/child + links — powers cross-story consistency checks.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add_label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7"/>
                <w:szCs w:val="17"/>
              </w:rPr>
              <w:t xml:space="preserve">WRITE · gated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 2: apply Readiness:Amber/Red. Non-intrusive.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update_field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7"/>
                <w:szCs w:val="17"/>
              </w:rPr>
              <w:t xml:space="preserve">WRITE · gated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 2: write a custom Readiness Score field.</w:t>
            </w:r>
          </w:p>
        </w:tc>
      </w:tr>
      <w:tr>
        <w:tc>
          <w:tcPr>
            <w:tcW w:type="dxa" w:w="24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add_comment</w:t>
            </w:r>
          </w:p>
        </w:tc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7"/>
                <w:szCs w:val="17"/>
              </w:rPr>
              <w:t xml:space="preserve">WRITE · gated</w:t>
            </w:r>
          </w:p>
        </w:tc>
        <w:tc>
          <w:tcPr>
            <w:tcW w:type="dxa" w:w="56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 3 only: post clarifying questions. Sign-off required.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Trigger options, in order of hackathon safety: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manual 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(demo default) →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scheduled poll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on a status-entry JQL →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Jira automation webhook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on transition into “Ready for Refinement” (v2). Build the manual path; show the webhook on the roadmap.</w:t>
      </w:r>
    </w:p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6.  Data Boundary &amp; Security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is the section that clears or kills the project in a payer environment. Treat it as a first-class requirement, not a footnote.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1"/>
          <w:szCs w:val="21"/>
        </w:rPr>
        <w:t xml:space="preserve">In-boundary inference only.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Story content — potentially PHI-adjacent — is scored only by a client-approved LLM inside the tenant. No story text egresses to any external API. Confirm the sanctioned endpoint before committing to a live demo.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7E47"/>
          <w:sz w:val="21"/>
          <w:szCs w:val="21"/>
        </w:rPr>
        <w:t xml:space="preserve">Read-only by default.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Stage 1 writes nothing to the client backlog; the verdict lands on our surface. Zero footprint.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Least-privilege MCP scopes.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Only the four read tools are bound for the hackathon. Write tools stay unregistered until sign-off.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Synthetic data on stage.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Demo against a sandbox project with seeded stories — never the live client board, so nothing real is exposed in the room.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Secrets in vault, not code.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Endpoint keys and Jira tokens in a key vault / environment, never in the repo or the prompt.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No data compiled across sources.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agent reads the backlog to score it; it does not aggregate personal data or act on instructions found inside ticket text.</w:t>
      </w:r>
    </w:p>
    <w:p>
      <w:r>
        <w:br w:type="page"/>
      </w:r>
    </w:p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7.  Implementation Plan — 2-Day Build</w:t>
      </w:r>
    </w:p>
    <w:p>
      <w:pPr>
        <w:spacing w:after="110" w:line="27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Sequenced so a working end-to-end thread exists by end of Day 1, leaving Day 2 for output polish and demo. The differentiator is rubric + Gherkin quality, so the plan front-loads the brains and time-boxes the plumbing.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43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Prep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 sanctioned LLM + MCP access; stand up sandbox Jira project; seed 5–6 stories (good→terrible); draft rubric + 2 golden examples.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Env + rubric ready</w:t>
            </w:r>
          </w:p>
        </w:tc>
      </w:tr>
      <w:t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Day 1 AM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Ingest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Wire MCP client; search_issues + get_issue/comments/links; build StoryBundler + normaliser.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Bundles printing</w:t>
            </w:r>
          </w:p>
        </w:tc>
      </w:tr>
      <w:t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Day 1 PM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Reason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Prompt Assembler; first LLM call; output schema; Validator + RAG thresholds. End-to-end one story.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Verdict JSON</w:t>
            </w:r>
          </w:p>
        </w:tc>
      </w:tr>
      <w:t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Day 2 AM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Serve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Batch loop + async pool; Aggregator (sprint rollup); Renderer (Teams card / Streamlit).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Sprint view</w:t>
            </w:r>
          </w:p>
        </w:tc>
      </w:tr>
      <w:tr>
        <w:tc>
          <w:tcPr>
            <w:tcW w:type="dxa" w:w="13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Day 2 PM</w:t>
            </w:r>
          </w:p>
        </w:tc>
        <w:tc>
          <w:tcPr>
            <w:tcW w:type="dxa" w:w="2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3192"/>
                <w:sz w:val="18"/>
                <w:szCs w:val="18"/>
              </w:rPr>
              <w:t xml:space="preserve">Polish + demo</w:t>
            </w:r>
          </w:p>
        </w:tc>
        <w:tc>
          <w:tcPr>
            <w:tcW w:type="dxa" w:w="4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Tune thresholds on seeded set; rehearse the money-shot; roadmap + governance slide.</w:t>
            </w:r>
          </w:p>
        </w:tc>
        <w:tc>
          <w:tcPr>
            <w:tcW w:type="dxa" w:w="17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A6E"/>
                <w:sz w:val="17"/>
                <w:szCs w:val="17"/>
              </w:rPr>
              <w:t xml:space="preserve">Demo-ready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single" w:color="B9770E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EFF7" w:val="clear"/>
            <w:tcMar>
              <w:top w:type="dxa" w:w="100"/>
              <w:left w:type="dxa" w:w="190"/>
              <w:bottom w:type="dxa" w:w="100"/>
              <w:right w:type="dxa" w:w="15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21"/>
                <w:szCs w:val="21"/>
              </w:rPr>
              <w:t xml:space="preserve">De-scope rule:  </w:t>
            </w: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the MCP write scope or the sanctioned LLM isn’t available in time, fall back to read-only + a mock-LLM stub and present as a proposal. Say so openly — a clean fallback beats a broken live call on stage.</w:t>
            </w:r>
          </w:p>
        </w:tc>
      </w:tr>
    </w:tbl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8.  Demo Plan</w:t>
      </w:r>
    </w:p>
    <w:p>
      <w:pPr>
        <w:pStyle w:val="ListParagraph"/>
        <w:numPr>
          <w:ilvl w:val="0"/>
          <w:numId w:val="4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Open on the backlog: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“Here’s the next sprint — 14 stories, none reviewed yet.”</w:t>
      </w:r>
    </w:p>
    <w:p>
      <w:pPr>
        <w:pStyle w:val="ListParagraph"/>
        <w:numPr>
          <w:ilvl w:val="0"/>
          <w:numId w:val="4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Run the agent live: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one command → the batch scores in seconds, RAG spread fills the screen.</w:t>
      </w:r>
    </w:p>
    <w:p>
      <w:pPr>
        <w:pStyle w:val="ListParagraph"/>
        <w:numPr>
          <w:ilvl w:val="0"/>
          <w:numId w:val="4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Drill into a RED story: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show the specific gaps, the pre-written questions, and the draft Gherkin it generated.</w:t>
      </w:r>
    </w:p>
    <w:p>
      <w:pPr>
        <w:pStyle w:val="ListParagraph"/>
        <w:numPr>
          <w:ilvl w:val="0"/>
          <w:numId w:val="4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Show the cross-story flag: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“this contradicts its linked parent” — the thing a human reviewer never has time to catch.</w:t>
      </w:r>
    </w:p>
    <w:p>
      <w:pPr>
        <w:pStyle w:val="ListParagraph"/>
        <w:numPr>
          <w:ilvl w:val="0"/>
          <w:numId w:val="4"/>
        </w:numPr>
        <w:spacing w:after="64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Close on governance: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read-only today, write-back gated — the delivery-maturity beat that wins the room.</w:t>
      </w:r>
    </w:p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9.  Production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72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Increment</w:t>
            </w:r>
          </w:p>
        </w:tc>
      </w:tr>
      <w:tr>
        <w:tc>
          <w:tcPr>
            <w:tcW w:type="dxa" w:w="21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Post-hackathon</w:t>
            </w:r>
          </w:p>
        </w:tc>
        <w:tc>
          <w:tcPr>
            <w:tcW w:type="dxa" w:w="72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Webhook trigger on status transition; persist runs; harden the schema + repair path.</w:t>
            </w:r>
          </w:p>
        </w:tc>
      </w:tr>
      <w:tr>
        <w:tc>
          <w:tcPr>
            <w:tcW w:type="dxa" w:w="21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30–60 days</w:t>
            </w:r>
          </w:p>
        </w:tc>
        <w:tc>
          <w:tcPr>
            <w:tcW w:type="dxa" w:w="72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Stage-2 write-back (label/field) under client sign-off; feedback store live; threshold tuning from real acted-on rate.</w:t>
            </w:r>
          </w:p>
        </w:tc>
      </w:tr>
      <w:tr>
        <w:tc>
          <w:tcPr>
            <w:tcW w:type="dxa" w:w="21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60–90 days</w:t>
            </w:r>
          </w:p>
        </w:tc>
        <w:tc>
          <w:tcPr>
            <w:tcW w:type="dxa" w:w="72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Domain DoR library across BenInsights / PlanOptix / Claims; per-account rubric variants; trend dashboard on readiness over time.</w:t>
            </w:r>
          </w:p>
        </w:tc>
      </w:tr>
      <w:tr>
        <w:tc>
          <w:tcPr>
            <w:tcW w:type="dxa" w:w="21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Scale</w:t>
            </w:r>
          </w:p>
        </w:tc>
        <w:tc>
          <w:tcPr>
            <w:tcW w:type="dxa" w:w="72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Stage-3 comment write-back where signed off; integrate the readiness score into refinement entry as a soft gate.</w:t>
            </w:r>
          </w:p>
        </w:tc>
      </w:tr>
    </w:tbl>
    <w:p>
      <w:pPr>
        <w:pStyle w:val="Heading1"/>
        <w:pBdr>
          <w:bottom w:val="single" w:color="00AEEF" w:sz="10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B1E5C"/>
          <w:sz w:val="27"/>
          <w:szCs w:val="27"/>
        </w:rPr>
        <w:t xml:space="preserve">10.  Build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Build risk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1B1E5C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Sanctioned LLM not approved in time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Read-only + mock-LLM stub; present as proposal. Confirm the endpoint Day 0, not Day 2.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MCP write scope unavailable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Fine — Stage 1 is read-only by design. Write-back was always a roadmap item.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LLM returns malformed JSON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Schema-force the call; one repair retry; pydantic validation; reject and flag on second failure.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False positives erode trust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Tune thresholds on the seeded set; require a “why” per flag; pilot one squad before scaling.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Batch latency on large sprints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EDEFF7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Async pool capped at the endpoint rate limit; cache the rubric/system prompt.</w:t>
            </w:r>
          </w:p>
        </w:tc>
      </w:tr>
      <w:tr>
        <w:tc>
          <w:tcPr>
            <w:tcW w:type="dxa" w:w="300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E5C"/>
                <w:sz w:val="18"/>
                <w:szCs w:val="18"/>
              </w:rPr>
              <w:t xml:space="preserve">Hallucinated payer edge cases</w:t>
            </w:r>
          </w:p>
        </w:tc>
        <w:tc>
          <w:tcPr>
            <w:tcW w:type="dxa" w:w="6360"/>
            <w:tcBorders>
              <w:top w:val="single" w:color="C7CBDD" w:sz="4"/>
              <w:left w:val="single" w:color="C7CBDD" w:sz="4"/>
              <w:bottom w:val="single" w:color="C7CBDD" w:sz="4"/>
              <w:right w:val="single" w:color="C7CBDD" w:sz="4"/>
            </w:tcBorders>
            <w:shd w:fill="FFFFFF" w:val="clear"/>
            <w:tcMar>
              <w:top w:type="dxa" w:w="64"/>
              <w:left w:type="dxa" w:w="110"/>
              <w:bottom w:type="dxa" w:w="64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Domain DoR template + golden examples ground the model; low temperature.</w:t>
            </w:r>
          </w:p>
        </w:tc>
      </w:tr>
    </w:tbl>
    <w:p>
      <w:pPr>
        <w:pBdr>
          <w:top w:val="single" w:color="1B1E5C" w:sz="14" w:space="6"/>
        </w:pBdr>
        <w:spacing w:after="0" w:before="200"/>
      </w:pPr>
      <w:r>
        <w:rPr>
          <w:sz w:val="6"/>
          <w:szCs w:val="6"/>
        </w:rP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2E3192"/>
          <w:sz w:val="23"/>
          <w:szCs w:val="23"/>
        </w:rPr>
        <w:t xml:space="preserve">Loosely coupled by design: swap the LLM, swap the surface, keep the rubric.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/>
    </w:pPr>
    <w:r>
      <w:rPr>
        <w:rFonts w:ascii="Calibri" w:cs="Calibri" w:eastAsia="Calibri" w:hAnsi="Calibri"/>
        <w:color w:val="5A5A6E"/>
        <w:sz w:val="15"/>
        <w:szCs w:val="15"/>
      </w:rPr>
      <w:t xml:space="preserve">Confidential — Internal</w:t>
    </w:r>
    <w:r>
      <w:rPr>
        <w:rFonts w:ascii="Calibri" w:cs="Calibri" w:eastAsia="Calibri" w:hAnsi="Calibri"/>
        <w:color w:val="5A5A6E"/>
        <w:sz w:val="15"/>
        <w:szCs w:val="15"/>
      </w:rPr>
      <w:t xml:space="preserve">	Page </w:t>
    </w:r>
    <w:r>
      <w:rPr>
        <w:rFonts w:ascii="Calibri" w:cs="Calibri" w:eastAsia="Calibri" w:hAnsi="Calibri"/>
        <w:color w:val="5A5A6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F0" w:sz="6" w:space="4"/>
      </w:pBdr>
      <w:tabs>
        <w:tab w:val="right" w:pos="9360"/>
      </w:tabs>
      <w:spacing w:after="0"/>
    </w:pPr>
    <w:r>
      <w:rPr>
        <w:rFonts w:ascii="Calibri" w:cs="Calibri" w:eastAsia="Calibri" w:hAnsi="Calibri"/>
        <w:color w:val="5A5A6E"/>
        <w:sz w:val="16"/>
        <w:szCs w:val="16"/>
      </w:rPr>
      <w:t xml:space="preserve">CitiusTech  |  AIFD Hackathon — Implementation &amp; Architecture</w:t>
    </w:r>
    <w:r>
      <w:rPr>
        <w:rFonts w:ascii="Calibri" w:cs="Calibri" w:eastAsia="Calibri" w:hAnsi="Calibri"/>
        <w:b/>
        <w:bCs/>
        <w:color w:val="2E3192"/>
        <w:sz w:val="16"/>
        <w:szCs w:val="16"/>
      </w:rPr>
      <w:t xml:space="preserve">	The Requirement Linter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AEE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E319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B1E5C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90"/>
      <w:outlineLvl w:val="1"/>
    </w:pPr>
    <w:rPr>
      <w:rFonts w:ascii="Calibri" w:cs="Calibri" w:eastAsia="Calibri" w:hAnsi="Calibri"/>
      <w:b/>
      <w:bCs/>
      <w:color w:val="2E319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8e921131b437e31c016bf7cab0b16de5277231.png"/><Relationship Id="rId10" Type="http://schemas.openxmlformats.org/officeDocument/2006/relationships/image" Target="media/6c96dedc3ac99e73034f898fdd46150e1e00e80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2026-06-22T16:07:01.688Z</dcterms:created>
  <dcterms:modified xsi:type="dcterms:W3CDTF">2026-06-22T16:07:01.688Z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