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Wholesale Customers — Customer Segmentation</w:t>
      </w:r>
    </w:p>
    <w:p>
      <w:pPr>
        <w:spacing w:after="400"/>
        <w:jc w:val="center"/>
      </w:pPr>
      <w:r>
        <w:rPr>
          <w:rFonts w:ascii="Arial" w:cs="Arial" w:eastAsia="Arial" w:hAnsi="Arial"/>
          <w:color w:val="555555"/>
          <w:sz w:val="24"/>
          <w:szCs w:val="24"/>
        </w:rPr>
        <w:t xml:space="preserve">Mini-Project Report  |  Unsupervised Learning</w:t>
      </w:r>
    </w:p>
    <w:p>
      <w:pPr>
        <w:pStyle w:val="Heading1"/>
        <w:spacing w:after="160" w:before="280"/>
      </w:pPr>
      <w:r>
        <w:rPr>
          <w:rFonts w:ascii="Arial" w:cs="Arial" w:eastAsia="Arial" w:hAnsi="Arial"/>
          <w:b/>
          <w:bCs/>
          <w:sz w:val="32"/>
          <w:szCs w:val="32"/>
        </w:rPr>
        <w:t xml:space="preserve">1. Problem Framing</w:t>
      </w:r>
    </w:p>
    <w:p>
      <w:pPr>
        <w:spacing w:after="160"/>
        <w:jc w:val="left"/>
      </w:pPr>
      <w:r>
        <w:rPr>
          <w:rFonts w:ascii="Arial" w:cs="Arial" w:eastAsia="Arial" w:hAnsi="Arial"/>
          <w:b w:val="false"/>
          <w:bCs w:val="false"/>
          <w:sz w:val="24"/>
          <w:szCs w:val="24"/>
        </w:rPr>
        <w:t xml:space="preserve">The goal of this project is to segment wholesale customers based on their annual spending across six product categories: Fresh, Milk, Grocery, Frozen, Detergents_Paper, and Delicassen. The dataset contains 440 customers and comes from the UCI Machine Learning Repository.</w:t>
      </w:r>
    </w:p>
    <w:p>
      <w:pPr>
        <w:spacing w:after="160"/>
        <w:jc w:val="left"/>
      </w:pPr>
      <w:r>
        <w:rPr>
          <w:rFonts w:ascii="Arial" w:cs="Arial" w:eastAsia="Arial" w:hAnsi="Arial"/>
          <w:b w:val="false"/>
          <w:bCs w:val="false"/>
          <w:sz w:val="24"/>
          <w:szCs w:val="24"/>
        </w:rPr>
        <w:t xml:space="preserve">Since there is no target variable to predict, this is an unsupervised learning problem. The objective is to discover natural groupings in the data that a business can use to understand different types of customers and tailor its approach accordingly.</w:t>
      </w:r>
    </w:p>
    <w:p>
      <w:pPr>
        <w:spacing w:after="160"/>
        <w:jc w:val="left"/>
      </w:pPr>
      <w:r>
        <w:rPr>
          <w:rFonts w:ascii="Arial" w:cs="Arial" w:eastAsia="Arial" w:hAnsi="Arial"/>
          <w:b w:val="false"/>
          <w:bCs w:val="false"/>
          <w:sz w:val="24"/>
          <w:szCs w:val="24"/>
        </w:rPr>
        <w:t xml:space="preserve">Three clustering algorithms were applied and compared:</w:t>
      </w:r>
    </w:p>
    <w:p>
      <w:pPr>
        <w:pStyle w:val="ListParagraph"/>
        <w:numPr>
          <w:ilvl w:val="0"/>
          <w:numId w:val="2"/>
        </w:numPr>
        <w:spacing w:after="100"/>
      </w:pPr>
      <w:r>
        <w:rPr>
          <w:rFonts w:ascii="Arial" w:cs="Arial" w:eastAsia="Arial" w:hAnsi="Arial"/>
          <w:sz w:val="24"/>
          <w:szCs w:val="24"/>
        </w:rPr>
        <w:t xml:space="preserve">K-Means — the primary algorithm, chosen for its simplicity and interpretability</w:t>
      </w:r>
    </w:p>
    <w:p>
      <w:pPr>
        <w:pStyle w:val="ListParagraph"/>
        <w:numPr>
          <w:ilvl w:val="0"/>
          <w:numId w:val="2"/>
        </w:numPr>
        <w:spacing w:after="100"/>
      </w:pPr>
      <w:r>
        <w:rPr>
          <w:rFonts w:ascii="Arial" w:cs="Arial" w:eastAsia="Arial" w:hAnsi="Arial"/>
          <w:sz w:val="24"/>
          <w:szCs w:val="24"/>
        </w:rPr>
        <w:t xml:space="preserve">Hierarchical Clustering — used to validate the K-Means result</w:t>
      </w:r>
    </w:p>
    <w:p>
      <w:pPr>
        <w:pStyle w:val="ListParagraph"/>
        <w:numPr>
          <w:ilvl w:val="0"/>
          <w:numId w:val="2"/>
        </w:numPr>
        <w:spacing w:after="100"/>
      </w:pPr>
      <w:r>
        <w:rPr>
          <w:rFonts w:ascii="Arial" w:cs="Arial" w:eastAsia="Arial" w:hAnsi="Arial"/>
          <w:sz w:val="24"/>
          <w:szCs w:val="24"/>
        </w:rPr>
        <w:t xml:space="preserve">DBSCAN — tested to check whether density-based clustering is suitable for this data</w:t>
      </w:r>
    </w:p>
    <w:p>
      <w:pPr>
        <w:spacing w:after="160"/>
      </w:pPr>
    </w:p>
    <w:p>
      <w:pPr>
        <w:pStyle w:val="Heading1"/>
        <w:spacing w:after="160" w:before="280"/>
      </w:pPr>
      <w:r>
        <w:rPr>
          <w:rFonts w:ascii="Arial" w:cs="Arial" w:eastAsia="Arial" w:hAnsi="Arial"/>
          <w:b/>
          <w:bCs/>
          <w:sz w:val="32"/>
          <w:szCs w:val="32"/>
        </w:rPr>
        <w:t xml:space="preserve">2. Key EDA Insights</w:t>
      </w:r>
    </w:p>
    <w:p>
      <w:pPr>
        <w:pStyle w:val="Heading2"/>
        <w:spacing w:after="120" w:before="200"/>
      </w:pPr>
      <w:r>
        <w:rPr>
          <w:rFonts w:ascii="Arial" w:cs="Arial" w:eastAsia="Arial" w:hAnsi="Arial"/>
          <w:b/>
          <w:bCs/>
          <w:sz w:val="28"/>
          <w:szCs w:val="28"/>
        </w:rPr>
        <w:t xml:space="preserve">Distributions and Skewness</w:t>
      </w:r>
    </w:p>
    <w:p>
      <w:pPr>
        <w:spacing w:after="160"/>
        <w:jc w:val="left"/>
      </w:pPr>
      <w:r>
        <w:rPr>
          <w:rFonts w:ascii="Arial" w:cs="Arial" w:eastAsia="Arial" w:hAnsi="Arial"/>
          <w:b w:val="false"/>
          <w:bCs w:val="false"/>
          <w:sz w:val="24"/>
          <w:szCs w:val="24"/>
        </w:rPr>
        <w:t xml:space="preserve">All six spending features are heavily right-skewed, meaning most customers spend moderately but a small number of high-spending customers pull the distribution far to the right. The skewness values are shown below:</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1350"/>
        <w:gridCol w:w="135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13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Skew Before</w:t>
            </w:r>
          </w:p>
        </w:tc>
        <w:tc>
          <w:tcPr>
            <w:tcW w:type="dxa" w:w="13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Skew After log1p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Fresh</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2.56</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-1.58</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Milk</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4.05</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-0.22</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Grocery</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3.59</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-0.67</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Frozen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5.91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-0.35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Detergents_Paper</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3.63</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-0.24</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Delicassen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11.15</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-1.09</w:t>
            </w:r>
          </w:p>
        </w:tc>
      </w:tr>
    </w:tbl>
    <w:p>
      <w:pPr>
        <w:spacing w:after="160"/>
      </w:pPr>
    </w:p>
    <w:p>
      <w:pPr>
        <w:pStyle w:val="Heading2"/>
        <w:spacing w:after="120" w:before="200"/>
      </w:pPr>
      <w:r>
        <w:rPr>
          <w:rFonts w:ascii="Arial" w:cs="Arial" w:eastAsia="Arial" w:hAnsi="Arial"/>
          <w:b/>
          <w:bCs/>
          <w:sz w:val="28"/>
          <w:szCs w:val="28"/>
        </w:rPr>
        <w:t xml:space="preserve">Correlations</w:t>
      </w:r>
    </w:p>
    <w:p>
      <w:pPr>
        <w:spacing w:after="160"/>
        <w:jc w:val="left"/>
      </w:pPr>
      <w:r>
        <w:rPr>
          <w:rFonts w:ascii="Arial" w:cs="Arial" w:eastAsia="Arial" w:hAnsi="Arial"/>
          <w:b w:val="false"/>
          <w:bCs w:val="false"/>
          <w:sz w:val="24"/>
          <w:szCs w:val="24"/>
        </w:rPr>
        <w:t xml:space="preserve">The correlation matrix showed a strong relationship between Grocery and Detergents_Paper (approximately 0.92). This makes sense — retail stores that stock groceries also tend to stock cleaning products. Milk and Grocery are also moderately correlated. This tells us the clusters will not be perfectly spherical, as these correlated features will create elongated groupings in feature space.</w:t>
      </w:r>
    </w:p>
    <w:p>
      <w:pPr>
        <w:pStyle w:val="Heading2"/>
        <w:spacing w:after="120" w:before="200"/>
      </w:pPr>
      <w:r>
        <w:rPr>
          <w:rFonts w:ascii="Arial" w:cs="Arial" w:eastAsia="Arial" w:hAnsi="Arial"/>
          <w:b/>
          <w:bCs/>
          <w:sz w:val="28"/>
          <w:szCs w:val="28"/>
        </w:rPr>
        <w:t xml:space="preserve">Outliers</w:t>
      </w:r>
    </w:p>
    <w:p>
      <w:pPr>
        <w:spacing w:after="160"/>
        <w:jc w:val="left"/>
      </w:pPr>
      <w:r>
        <w:rPr>
          <w:rFonts w:ascii="Arial" w:cs="Arial" w:eastAsia="Arial" w:hAnsi="Arial"/>
          <w:b w:val="false"/>
          <w:bCs w:val="false"/>
          <w:sz w:val="24"/>
          <w:szCs w:val="24"/>
        </w:rPr>
        <w:t xml:space="preserve">Boxplots confirmed heavy outliers in every spending feature. These were kept rather than removed because in customer segmentation, high-spending customers are real and important. The log transform in preprocessing handles their influence without deleting them.</w:t>
      </w:r>
    </w:p>
    <w:p>
      <w:pPr>
        <w:pStyle w:val="Heading1"/>
        <w:spacing w:after="160" w:before="280"/>
      </w:pPr>
      <w:r>
        <w:rPr>
          <w:rFonts w:ascii="Arial" w:cs="Arial" w:eastAsia="Arial" w:hAnsi="Arial"/>
          <w:b/>
          <w:bCs/>
          <w:sz w:val="32"/>
          <w:szCs w:val="32"/>
        </w:rPr>
        <w:t xml:space="preserve">3. Preprocessing</w:t>
      </w:r>
    </w:p>
    <w:p>
      <w:pPr>
        <w:spacing w:after="160"/>
        <w:jc w:val="left"/>
      </w:pPr>
      <w:r>
        <w:rPr>
          <w:rFonts w:ascii="Arial" w:cs="Arial" w:eastAsia="Arial" w:hAnsi="Arial"/>
          <w:b w:val="false"/>
          <w:bCs w:val="false"/>
          <w:sz w:val="24"/>
          <w:szCs w:val="24"/>
        </w:rPr>
        <w:t xml:space="preserve">Three steps were applied before clustering:</w:t>
      </w:r>
    </w:p>
    <w:p>
      <w:pPr>
        <w:pStyle w:val="ListParagraph"/>
        <w:numPr>
          <w:ilvl w:val="0"/>
          <w:numId w:val="2"/>
        </w:numPr>
        <w:spacing w:after="100"/>
      </w:pPr>
      <w:r>
        <w:rPr>
          <w:rFonts w:ascii="Arial" w:cs="Arial" w:eastAsia="Arial" w:hAnsi="Arial"/>
          <w:sz w:val="24"/>
          <w:szCs w:val="24"/>
        </w:rPr>
        <w:t xml:space="preserve">Channel and Region were dropped from the feature matrix. Both are nominal variables coded as integers (Channel: 1 or 2, Region: 1, 2, or 3). Including them in K-Means would treat the codes as ordered distances, which is incorrect for nominal data. They were kept in the original dataframe for reference.</w:t>
      </w:r>
    </w:p>
    <w:p>
      <w:pPr>
        <w:pStyle w:val="ListParagraph"/>
        <w:numPr>
          <w:ilvl w:val="0"/>
          <w:numId w:val="2"/>
        </w:numPr>
        <w:spacing w:after="100"/>
      </w:pPr>
      <w:r>
        <w:rPr>
          <w:rFonts w:ascii="Arial" w:cs="Arial" w:eastAsia="Arial" w:hAnsi="Arial"/>
          <w:sz w:val="24"/>
          <w:szCs w:val="24"/>
        </w:rPr>
        <w:t xml:space="preserve">log1p transform was applied to all six spending features since every feature had skewness greater than 1. This compresses the long right tails before scaling.</w:t>
      </w:r>
    </w:p>
    <w:p>
      <w:pPr>
        <w:pStyle w:val="ListParagraph"/>
        <w:numPr>
          <w:ilvl w:val="0"/>
          <w:numId w:val="2"/>
        </w:numPr>
        <w:spacing w:after="100"/>
      </w:pPr>
      <w:r>
        <w:rPr>
          <w:rFonts w:ascii="Arial" w:cs="Arial" w:eastAsia="Arial" w:hAnsi="Arial"/>
          <w:sz w:val="24"/>
          <w:szCs w:val="24"/>
        </w:rPr>
        <w:t xml:space="preserve">StandardScaler was applied after the log transform to bring all features to mean 0 and standard deviation 1, ensuring no single feature dominates the distance calculations due to its scale.</w:t>
      </w:r>
    </w:p>
    <w:p>
      <w:pPr>
        <w:spacing w:after="160"/>
      </w:pPr>
    </w:p>
    <w:p>
      <w:pPr>
        <w:pStyle w:val="Heading1"/>
        <w:spacing w:after="160" w:before="280"/>
      </w:pPr>
      <w:r>
        <w:rPr>
          <w:rFonts w:ascii="Arial" w:cs="Arial" w:eastAsia="Arial" w:hAnsi="Arial"/>
          <w:b/>
          <w:bCs/>
          <w:sz w:val="32"/>
          <w:szCs w:val="32"/>
        </w:rPr>
        <w:t xml:space="preserve">4. Choosing the Number of Clusters</w:t>
      </w:r>
    </w:p>
    <w:p>
      <w:pPr>
        <w:spacing w:after="160"/>
        <w:jc w:val="left"/>
      </w:pPr>
      <w:r>
        <w:rPr>
          <w:rFonts w:ascii="Arial" w:cs="Arial" w:eastAsia="Arial" w:hAnsi="Arial"/>
          <w:b w:val="false"/>
          <w:bCs w:val="false"/>
          <w:sz w:val="24"/>
          <w:szCs w:val="24"/>
        </w:rPr>
        <w:t xml:space="preserve">K-Means was run for k values from 2 to 10. The elbow method and silhouette score were used to guide the choice of k.</w:t>
      </w:r>
    </w:p>
    <w:p>
      <w:pPr>
        <w:spacing w:after="160"/>
        <w:jc w:val="left"/>
      </w:pPr>
      <w:r>
        <w:rPr>
          <w:rFonts w:ascii="Arial" w:cs="Arial" w:eastAsia="Arial" w:hAnsi="Arial"/>
          <w:b w:val="false"/>
          <w:bCs w:val="false"/>
          <w:sz w:val="24"/>
          <w:szCs w:val="24"/>
        </w:rPr>
        <w:t xml:space="preserve">The elbow plot showed no clear bend — inertia dropped gradually across all values of k with no obvious inflection point. The silhouette score peaked at k=2 (0.290) and remained close at k=3 (0.259). Given that the difference between k=2 and k=3 is small, and three segments provide more actionable business insight than two broad groups, k=3 was chosen.</w:t>
      </w:r>
    </w:p>
    <w:p>
      <w:pPr>
        <w:pStyle w:val="Heading1"/>
        <w:spacing w:after="160" w:before="280"/>
      </w:pPr>
      <w:r>
        <w:rPr>
          <w:rFonts w:ascii="Arial" w:cs="Arial" w:eastAsia="Arial" w:hAnsi="Arial"/>
          <w:b/>
          <w:bCs/>
          <w:sz w:val="32"/>
          <w:szCs w:val="32"/>
        </w:rPr>
        <w:t xml:space="preserve">5. Clustering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Algorithm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Clusters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Silhouette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K-Means k=3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0.259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Winner — clean segments, no noise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Hierarchical k=3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0.255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Comparable result, confirms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DBSCAN (eps=0.8)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0.288*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230 noise points (52%) — not suitable</w:t>
            </w:r>
          </w:p>
        </w:tc>
      </w:tr>
    </w:tbl>
    <w:p>
      <w:pPr>
        <w:spacing w:after="160"/>
      </w:pPr>
      <w:r>
        <w:rPr>
          <w:rFonts w:ascii="Arial" w:cs="Arial" w:eastAsia="Arial" w:hAnsi="Arial"/>
          <w:i/>
          <w:iCs/>
          <w:color w:val="555555"/>
          <w:sz w:val="20"/>
          <w:szCs w:val="20"/>
        </w:rPr>
        <w:t xml:space="preserve">* Silhouette computed on non-noise points only, which excludes 52% of the dataset.</w:t>
      </w:r>
    </w:p>
    <w:p>
      <w:pPr>
        <w:spacing w:after="160"/>
        <w:jc w:val="left"/>
      </w:pPr>
      <w:r>
        <w:rPr>
          <w:rFonts w:ascii="Arial" w:cs="Arial" w:eastAsia="Arial" w:hAnsi="Arial"/>
          <w:b w:val="false"/>
          <w:bCs w:val="false"/>
          <w:sz w:val="24"/>
          <w:szCs w:val="24"/>
        </w:rPr>
        <w:t xml:space="preserve">K-Means k=3 was selected as the final model. Hierarchical Clustering produced a comparable silhouette score (0.255 vs 0.259), which confirms that three groups represent genuine structure in the data rather than an artefact of the K-Means algorithm. DBSCAN was unsuitable — labelling 52% of customers as noise indicates the data does not have the dense island structure DBSCAN requires.</w:t>
      </w:r>
    </w:p>
    <w:p>
      <w:pPr>
        <w:pStyle w:val="Heading1"/>
        <w:spacing w:after="160" w:before="280"/>
      </w:pPr>
      <w:r>
        <w:rPr>
          <w:rFonts w:ascii="Arial" w:cs="Arial" w:eastAsia="Arial" w:hAnsi="Arial"/>
          <w:b/>
          <w:bCs/>
          <w:sz w:val="32"/>
          <w:szCs w:val="32"/>
        </w:rPr>
        <w:t xml:space="preserve">6. Cluster Profiling</w:t>
      </w:r>
    </w:p>
    <w:p>
      <w:pPr>
        <w:spacing w:after="160"/>
        <w:jc w:val="left"/>
      </w:pPr>
      <w:r>
        <w:rPr>
          <w:rFonts w:ascii="Arial" w:cs="Arial" w:eastAsia="Arial" w:hAnsi="Arial"/>
          <w:b w:val="false"/>
          <w:bCs w:val="false"/>
          <w:sz w:val="24"/>
          <w:szCs w:val="24"/>
        </w:rPr>
        <w:t xml:space="preserve">After assigning each of the 440 customers to a cluster, mean and median spending per category were computed in the original pound values to produce interpretable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200"/>
        <w:gridCol w:w="1200"/>
        <w:gridCol w:w="1000"/>
        <w:gridCol w:w="1260"/>
        <w:gridCol w:w="1300"/>
        <w:gridCol w:w="130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Cluster</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Size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Fresh</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Milk</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Grocery</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Frozen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Deterg.</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Delicas.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2,899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7,136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12,570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5,554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783</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17,043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10,560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13,334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4,133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4,987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2,847</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11,939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2,006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2,502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3,266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891</w:t>
            </w:r>
          </w:p>
        </w:tc>
      </w:tr>
    </w:tbl>
    <w:p>
      <w:pPr>
        <w:spacing w:after="200"/>
      </w:pPr>
    </w:p>
    <w:p>
      <w:pPr>
        <w:pStyle w:val="Heading2"/>
        <w:spacing w:after="120" w:before="200"/>
      </w:pPr>
      <w:r>
        <w:rPr>
          <w:rFonts w:ascii="Arial" w:cs="Arial" w:eastAsia="Arial" w:hAnsi="Arial"/>
          <w:b/>
          <w:bCs/>
          <w:sz w:val="28"/>
          <w:szCs w:val="28"/>
        </w:rPr>
        <w:t xml:space="preserve">Cluster 0 — Retail: Packaged Goods (n=80)</w:t>
      </w:r>
    </w:p>
    <w:p>
      <w:pPr>
        <w:spacing w:after="160"/>
        <w:jc w:val="left"/>
      </w:pPr>
      <w:r>
        <w:rPr>
          <w:rFonts w:ascii="Arial" w:cs="Arial" w:eastAsia="Arial" w:hAnsi="Arial"/>
          <w:b w:val="false"/>
          <w:bCs w:val="false"/>
          <w:sz w:val="24"/>
          <w:szCs w:val="24"/>
        </w:rPr>
        <w:t xml:space="preserve">This segment has the highest Grocery (£12,570) and Detergents_Paper (£5,554) spend and the lowest Fresh spend. These customers are supermarkets and convenience stores primarily buying shelf-stable packaged products.</w:t>
      </w:r>
    </w:p>
    <w:p>
      <w:pPr>
        <w:pStyle w:val="Heading2"/>
        <w:spacing w:after="120" w:before="200"/>
      </w:pPr>
      <w:r>
        <w:rPr>
          <w:rFonts w:ascii="Arial" w:cs="Arial" w:eastAsia="Arial" w:hAnsi="Arial"/>
          <w:b/>
          <w:bCs/>
          <w:sz w:val="28"/>
          <w:szCs w:val="28"/>
        </w:rPr>
        <w:t xml:space="preserve">Cluster 1 — High-Volume Mixed Buyers (n=147)</w:t>
      </w:r>
    </w:p>
    <w:p>
      <w:pPr>
        <w:spacing w:after="160"/>
        <w:jc w:val="left"/>
      </w:pPr>
      <w:r>
        <w:rPr>
          <w:rFonts w:ascii="Arial" w:cs="Arial" w:eastAsia="Arial" w:hAnsi="Arial"/>
          <w:b w:val="false"/>
          <w:bCs w:val="false"/>
          <w:sz w:val="24"/>
          <w:szCs w:val="24"/>
        </w:rPr>
        <w:t xml:space="preserve">This segment has the highest Fresh (£17,043) and Milk (£10,560) spend and is high across all categories. These are likely large-format retailers or institutional catering companies with broad purchasing needs.</w:t>
      </w:r>
    </w:p>
    <w:p>
      <w:pPr>
        <w:pStyle w:val="Heading2"/>
        <w:spacing w:after="120" w:before="200"/>
      </w:pPr>
      <w:r>
        <w:rPr>
          <w:rFonts w:ascii="Arial" w:cs="Arial" w:eastAsia="Arial" w:hAnsi="Arial"/>
          <w:b/>
          <w:bCs/>
          <w:sz w:val="28"/>
          <w:szCs w:val="28"/>
        </w:rPr>
        <w:t xml:space="preserve">Cluster 2 — HoReCa: Fresh Dominant (n=213)</w:t>
      </w:r>
    </w:p>
    <w:p>
      <w:pPr>
        <w:spacing w:after="160"/>
        <w:jc w:val="left"/>
      </w:pPr>
      <w:r>
        <w:rPr>
          <w:rFonts w:ascii="Arial" w:cs="Arial" w:eastAsia="Arial" w:hAnsi="Arial"/>
          <w:b w:val="false"/>
          <w:bCs w:val="false"/>
          <w:sz w:val="24"/>
          <w:szCs w:val="24"/>
        </w:rPr>
        <w:t xml:space="preserve">HoReCa stands for Hotel, Restaurant, and Cafe. This is the largest segment with the highest Fresh spend relative to all other categories and very low Grocery and Detergents_Paper. These are restaurants and cafes prioritising perishables over packaged goods.</w:t>
      </w:r>
    </w:p>
    <w:p>
      <w:pPr>
        <w:pStyle w:val="Heading1"/>
        <w:spacing w:after="160" w:before="280"/>
      </w:pPr>
      <w:r>
        <w:rPr>
          <w:rFonts w:ascii="Arial" w:cs="Arial" w:eastAsia="Arial" w:hAnsi="Arial"/>
          <w:b/>
          <w:bCs/>
          <w:sz w:val="32"/>
          <w:szCs w:val="32"/>
        </w:rPr>
        <w:t xml:space="preserve">7. Visualisation</w:t>
      </w:r>
    </w:p>
    <w:p>
      <w:pPr>
        <w:spacing w:after="160"/>
        <w:jc w:val="left"/>
      </w:pPr>
      <w:r>
        <w:rPr>
          <w:rFonts w:ascii="Arial" w:cs="Arial" w:eastAsia="Arial" w:hAnsi="Arial"/>
          <w:b w:val="false"/>
          <w:bCs w:val="false"/>
          <w:sz w:val="24"/>
          <w:szCs w:val="24"/>
        </w:rPr>
        <w:t xml:space="preserve">Principal Component Analysis (PCA) was used to reduce the 6-dimensional feature space to 2 dimensions for visualisation. PC1 captured 44% of the variance and PC2 captured 27%, giving a total of 71% variance explained in the scatter plot.</w:t>
      </w:r>
    </w:p>
    <w:p>
      <w:pPr>
        <w:spacing w:after="160"/>
        <w:jc w:val="left"/>
      </w:pPr>
      <w:r>
        <w:rPr>
          <w:rFonts w:ascii="Arial" w:cs="Arial" w:eastAsia="Arial" w:hAnsi="Arial"/>
          <w:b w:val="false"/>
          <w:bCs w:val="false"/>
          <w:sz w:val="24"/>
          <w:szCs w:val="24"/>
        </w:rPr>
        <w:t xml:space="preserve">PC1 is driven primarily by Grocery, Detergents_Paper, and Milk — the packaged goods axis. PC2 is driven by Fresh and Frozen — the perishables axis. In the PCA scatter plot, Cluster 2 (HoReCa) separates clearly along PC1 due to its low packaged goods spend. Clusters 0 and 1 overlap more since both contain retail-channel customers but differ in overall volume.</w:t>
      </w:r>
    </w:p>
    <w:p>
      <w:pPr>
        <w:spacing w:after="160"/>
        <w:jc w:val="left"/>
      </w:pPr>
      <w:r>
        <w:rPr>
          <w:rFonts w:ascii="Arial" w:cs="Arial" w:eastAsia="Arial" w:hAnsi="Arial"/>
          <w:b w:val="false"/>
          <w:bCs w:val="false"/>
          <w:sz w:val="24"/>
          <w:szCs w:val="24"/>
        </w:rPr>
        <w:t xml:space="preserve">The fact that the three clusters are visually separable in a 2D projection of 6-dimensional data confirms that the segmentation is capturing real structure in the data.</w:t>
      </w:r>
    </w:p>
    <w:p>
      <w:pPr>
        <w:pStyle w:val="Heading1"/>
        <w:spacing w:after="160" w:before="280"/>
      </w:pPr>
      <w:r>
        <w:rPr>
          <w:rFonts w:ascii="Arial" w:cs="Arial" w:eastAsia="Arial" w:hAnsi="Arial"/>
          <w:b/>
          <w:bCs/>
          <w:sz w:val="32"/>
          <w:szCs w:val="32"/>
        </w:rPr>
        <w:t xml:space="preserve">8. Business Recommendations</w:t>
      </w:r>
    </w:p>
    <w:p>
      <w:pPr>
        <w:spacing w:after="160"/>
        <w:jc w:val="left"/>
      </w:pPr>
      <w:r>
        <w:rPr>
          <w:rFonts w:ascii="Arial" w:cs="Arial" w:eastAsia="Arial" w:hAnsi="Arial"/>
          <w:b w:val="false"/>
          <w:bCs w:val="false"/>
          <w:sz w:val="24"/>
          <w:szCs w:val="24"/>
        </w:rPr>
        <w:t xml:space="preserve">The three segments suggest the following approaches:</w:t>
      </w:r>
    </w:p>
    <w:p>
      <w:pPr>
        <w:pStyle w:val="ListParagraph"/>
        <w:numPr>
          <w:ilvl w:val="0"/>
          <w:numId w:val="2"/>
        </w:numPr>
        <w:spacing w:after="100"/>
      </w:pPr>
      <w:r>
        <w:rPr>
          <w:rFonts w:ascii="Arial" w:cs="Arial" w:eastAsia="Arial" w:hAnsi="Arial"/>
          <w:sz w:val="24"/>
          <w:szCs w:val="24"/>
        </w:rPr>
        <w:t xml:space="preserve">Cluster 0 (Retail — Packaged Goods): Focus on bulk deals for Grocery and Detergents_Paper. These customers are predictable buyers of shelf-stable products and would respond well to volume discounts and restocking contracts.</w:t>
      </w:r>
    </w:p>
    <w:p>
      <w:pPr>
        <w:pStyle w:val="ListParagraph"/>
        <w:numPr>
          <w:ilvl w:val="0"/>
          <w:numId w:val="2"/>
        </w:numPr>
        <w:spacing w:after="100"/>
      </w:pPr>
      <w:r>
        <w:rPr>
          <w:rFonts w:ascii="Arial" w:cs="Arial" w:eastAsia="Arial" w:hAnsi="Arial"/>
          <w:sz w:val="24"/>
          <w:szCs w:val="24"/>
        </w:rPr>
        <w:t xml:space="preserve">Cluster 1 (High-Volume Mixed): This is the highest-value segment by total spend. Broad catalogue promotions and account management attention would help retain these customers given their wide purchasing range.</w:t>
      </w:r>
    </w:p>
    <w:p>
      <w:pPr>
        <w:pStyle w:val="ListParagraph"/>
        <w:numPr>
          <w:ilvl w:val="0"/>
          <w:numId w:val="2"/>
        </w:numPr>
        <w:spacing w:after="100"/>
      </w:pPr>
      <w:r>
        <w:rPr>
          <w:rFonts w:ascii="Arial" w:cs="Arial" w:eastAsia="Arial" w:hAnsi="Arial"/>
          <w:sz w:val="24"/>
          <w:szCs w:val="24"/>
        </w:rPr>
        <w:t xml:space="preserve">Cluster 2 (HoReCa — Fresh Dominant): Fresh produce delivery frequency and quality guarantees would be most relevant. These customers depend on perishables and are sensitive to supply reliability more than price.</w:t>
      </w:r>
    </w:p>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2026-05-18T21:38:45.257Z</dcterms:created>
  <dcterms:modified xsi:type="dcterms:W3CDTF">2026-05-18T21:38:45.268Z</dcterms:modified>
</cp:coreProperties>
</file>

<file path=docProps/custom.xml><?xml version="1.0" encoding="utf-8"?>
<Properties xmlns="http://schemas.openxmlformats.org/officeDocument/2006/custom-properties" xmlns:vt="http://schemas.openxmlformats.org/officeDocument/2006/docPropsVTypes"/>
</file>