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36"/>
          <w:szCs w:val="36"/>
          <w:rtl w:val="0"/>
        </w:rPr>
        <w:t xml:space="preserve">Project Report: Dagents project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36"/>
          <w:szCs w:val="36"/>
          <w:rtl w:val="0"/>
        </w:rPr>
        <w:t xml:space="preserve">Natural Language to SQL Translation</w:t>
      </w:r>
    </w:p>
    <w:p w:rsidR="00000000" w:rsidDel="00000000" w:rsidP="00000000" w:rsidRDefault="00000000" w:rsidRPr="00000000" w14:paraId="0000000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a) Project Title &amp; Participants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Project Title: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Evolution of Text-to-SQL Translation: From Sequence Models to Decoder-Only Large Language Models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Teammates: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Pradyun Devarakonda, Dheeraj Rajanala, Shanmukh Hemadri, Swaroop RamRayala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b) Problem Definition &amp; Scope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What is getting built?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The objective of this project is to build an AI system capable of translating natural language questions into accurate, executable SQL queries by leveraging database schema contexts (DDL).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Scope: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The system must go beyond simple memorization; it needs to achieve "Schema Linking"—the ability to look at a provided schema, identify the relevant tables and columns, and construct logically sound SQL syntax while ignoring irrelevant "distractor" data.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c) Planned Approach &amp; Justification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Our architecture evolved through four distinct paradigms, adapting to the limitations discovered in each phase: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LSTMs (Initial Approach):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 baseline sequence-to-sequence approach to map text tokens to SQL tokens.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Base T5 (google/flan-t5-base):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Transitioning to a Pre-trained Language Model (PLM) using an Encoder-Decoder architecture to leverage basic natural language understanding.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CodeT5+ (Salesforce/codet5p-770m):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Upgrading to a specialized code-generation model (770M parameters) to improve syntactic SQL generation.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CodeQwen (Qwen/CodeQwen1.5-7B-Chat):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The final pivot to a massive 7B Decoder-only LLM. Justification: Smaller models proved incapable of complex reasoning and instruction following, behaving instead as pattern matchers. CodeQwen offers a massive upgrade in "reasoning density" and pre-trained understanding of messy, real-world schemas.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d) Extension of Past Projects &amp; Critiques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Critic of LSTMs: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Recurrent models lack the attention mechanisms required to handle long-range dependencies between a complex DDL context and the final SQL query.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Critic of Base T5: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While better at language, flan-t5-base lacks deep structural knowledge of programming languages.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Critic of CodeT5+ (770M):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This phase revealed a critical flaw: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Instructional Hallucination (Over-Inference)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 The model learned to write SQL but treated the provided context as a "fill-in-the-blank" form rather than a constraint. It suffered from "Schema Blindness," blindly guessing column names and adding unnecessary WHERE clauses simply because the columns existed in the DDL.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e) Implementation Details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The engineering required to stabilize this pipeline was extensive: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Data Processing: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We utilized b-mc2/sql-create-context for schema-aware training and the Spider dataset for rigorous zero-shot, cross-domain evaluation.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CodeT5+ Pipeline: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Implemented a two-phase training strategy. Phase 1 used the "clean" context dataset, while Phase 2 attempted to refine weights using the messy Spider dataset to break the model's hallucination habits. We had to manually rebuild the tokenizer configuration (removing extra_special_tokens) to fix sentinel token corruption that caused "EOS-Obsession" (where the model predicted empty strings to minimize loss).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CodeQwen 7B (The Final Boss):</w:t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Hardware Hacks: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Kaggle's dual-T4 setup caused DataParallel VRAM crashes. We implemented an "Eyepatch" (CUDA_VISIBLE_DEVICES="0") to force single-GPU visibility during early 4-bit testing, before settling on a stable pure FP16 distributed load across both GPUs using an 8-bit Paged AdamW optimizer (paged_adamw_8bit) to prevent OOM errors.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Parameter-Efficient Fine-Tuning (PEFT):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We used LoRA (Low-Rank Adaptation) targeting the attention projections (q_proj, k_proj, v_proj, o_proj, etc.) with rank $r=16$ and $\alpha=32$.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Negative Sampling (Data Augmentation):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To cure "Schema Blindness," we injected "Distractor Schemas" into the training prompt. By adding 2-3 unrelated table definitions into the context, the model was forced to learn true Schema Linking rather than memorizing columns.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Strict Formatting: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Implemented a "Zero-Tolerance" system prompt to constrain outputs: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"Strictly output ONLY the SQL query requested. Do NOT include additional columns, filters, or JOINs..."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f) Results &amp; Discussions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We utilized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Exact Match (EM)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Proximal Match (Jaccard Token Similarity)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for evaluation.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CodeT5+ Results: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Achieved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75.00% Exact Match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on in-distribution data, but a brutal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0.00%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on Out-of-Distribution datasets like WikiSQL. The model entirely collapsed under Domain Shift, proving it was overfitting to task structure rather than learning SQL logic.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CodeQwen 7B Results: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After implementing DDL-aware inference and negative sampling, the 7B model broke the zero-shot barrier. On the highly complex Spider evaluation set, it achieved:</w:t>
      </w:r>
    </w:p>
    <w:p w:rsidR="00000000" w:rsidDel="00000000" w:rsidP="00000000" w:rsidRDefault="00000000" w:rsidRPr="00000000" w14:paraId="00000022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Exact Match (EM): 12.00%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12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Proximal Match: 50.89%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Failure Analysis of CodeQwen: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The 88% EM failure is highly deceptive. Qualitative analysis revealed that many "failures" were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Type A (Syntactic Variations)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, where the model outputted functionally correct SQL that didn't string-match the ground truth (e.g., using max(date) vs an objectively incorrect ground-truth label like sum(date)).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2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z w:val="28"/>
          <w:szCs w:val="28"/>
          <w:rtl w:val="0"/>
        </w:rPr>
        <w:t xml:space="preserve">g) Improvements &amp; Reasoning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b w:val="1"/>
          <w:bCs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1. Move from Exact Match to Execution Accuracy (EX):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Why: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Exact string matching is a flawed metric for SQL. SELECT name FROM users and SELECT users.name FROM users are functionally identical but fail an EM check. Building a lightweight SQLite execution sandbox to compare resulting dataframes would massively inflate the true accuracy score.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2. Retrieval-Augmented Generation (RAG) for Schema Linking: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Why: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Even with 7B parameters, passing massive, 50-table schemas into the context window wastes attention and risks hallucination. Implementing a vector-search step to retrieve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only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the top 3 most relevant tables before sending the DDL to CodeQwen would significantly boost the Proximal Match rate by reducing the "noise" the model has to filter out.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