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Project Report: Dagents project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i w:val="0"/>
          <w:iCs w:val="0"/>
          <w:sz w:val="36"/>
          <w:szCs w:val="36"/>
          <w:rtl w:val="0"/>
        </w:rPr>
        <w:t xml:space="preserve">Natural Language to SQL Translation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a) Project Title &amp; Participants</w:t>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Title:</w:t>
      </w:r>
      <w:r w:rsidDel="00000000" w:rsidR="00000000" w:rsidRPr="00000000">
        <w:rPr>
          <w:rFonts w:ascii="Google Sans" w:cs="Google Sans" w:eastAsia="Google Sans" w:hAnsi="Google Sans"/>
          <w:rtl w:val="0"/>
        </w:rPr>
        <w:t xml:space="preserve"> Evolution of Text-to-SQL Translation: From Sequence Models to Decoder-Only Large Language Models</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Teammates:</w:t>
      </w:r>
      <w:r w:rsidDel="00000000" w:rsidR="00000000" w:rsidRPr="00000000">
        <w:rPr>
          <w:rFonts w:ascii="Google Sans" w:cs="Google Sans" w:eastAsia="Google Sans" w:hAnsi="Google Sans"/>
          <w:rtl w:val="0"/>
        </w:rPr>
        <w:t xml:space="preserve"> Pradyun Devarakonda, Dheeraj Rajanala, Shanmukh Hemadri, Swaroop RamRayala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b) Problem Definition &amp;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is getting built?</w:t>
      </w:r>
      <w:r w:rsidDel="00000000" w:rsidR="00000000" w:rsidRPr="00000000">
        <w:rPr>
          <w:rFonts w:ascii="Google Sans" w:cs="Google Sans" w:eastAsia="Google Sans" w:hAnsi="Google Sans"/>
          <w:rtl w:val="0"/>
        </w:rPr>
        <w:t xml:space="preserve"> The objective of this project is to build an AI system capable of translating natural language questions into accurate, executable SQL queries by leveraging database schema contexts (DDL). </w:t>
      </w: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The system must go beyond simple memorization; it needs to achieve "Schema Linking"—the ability to look at a provided schema, identify the relevant tables and columns, and construct logically sound SQL syntax while ignoring irrelevant "distractor" data.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c) Planned Approach &amp; Justification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Our architecture evolved through four distinct paradigms, adapting to the limitations discovered in each phase: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LSTMs (Initial Approach):</w:t>
      </w:r>
      <w:r w:rsidDel="00000000" w:rsidR="00000000" w:rsidRPr="00000000">
        <w:rPr>
          <w:rFonts w:ascii="Google Sans" w:cs="Google Sans" w:eastAsia="Google Sans" w:hAnsi="Google Sans"/>
          <w:rtl w:val="0"/>
        </w:rPr>
        <w:t xml:space="preserve"> A baseline sequence-to-sequence approach to map text tokens to SQL tokens.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Base T5 (google/flan-t5-base):</w:t>
      </w:r>
      <w:r w:rsidDel="00000000" w:rsidR="00000000" w:rsidRPr="00000000">
        <w:rPr>
          <w:rFonts w:ascii="Google Sans" w:cs="Google Sans" w:eastAsia="Google Sans" w:hAnsi="Google Sans"/>
          <w:rtl w:val="0"/>
        </w:rPr>
        <w:t xml:space="preserve"> Transitioning to a Pre-trained Language Model (PLM) using an Encoder-Decoder architecture to leverage basic natural language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CodeT5+ (Salesforce/codet5p-770m):</w:t>
      </w:r>
      <w:r w:rsidDel="00000000" w:rsidR="00000000" w:rsidRPr="00000000">
        <w:rPr>
          <w:rFonts w:ascii="Google Sans" w:cs="Google Sans" w:eastAsia="Google Sans" w:hAnsi="Google Sans"/>
          <w:rtl w:val="0"/>
        </w:rPr>
        <w:t xml:space="preserve"> Upgrading to a specialized code-generation model (770M parameters) to improve syntactic SQL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CodeQwen (Qwen/CodeQwen1.5-7B-Chat):</w:t>
      </w:r>
      <w:r w:rsidDel="00000000" w:rsidR="00000000" w:rsidRPr="00000000">
        <w:rPr>
          <w:rFonts w:ascii="Google Sans" w:cs="Google Sans" w:eastAsia="Google Sans" w:hAnsi="Google Sans"/>
          <w:rtl w:val="0"/>
        </w:rPr>
        <w:t xml:space="preserve"> The final pivot to a massive 7B Decoder-only LLM. Justification: Smaller models proved incapable of complex reasoning and instruction following, behaving instead as pattern matchers. CodeQwen offers a massive upgrade in "reasoning density" and pre-trained understanding of messy, real-world schemas.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d) Extension of Past Projects &amp; Critiques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Critic of LSTMs:</w:t>
      </w:r>
      <w:r w:rsidDel="00000000" w:rsidR="00000000" w:rsidRPr="00000000">
        <w:rPr>
          <w:rFonts w:ascii="Google Sans" w:cs="Google Sans" w:eastAsia="Google Sans" w:hAnsi="Google Sans"/>
          <w:rtl w:val="0"/>
        </w:rPr>
        <w:t xml:space="preserve"> Recurrent models lack the attention mechanisms required to handle long-range dependencies between a complex DDL context and the final SQL query.</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Critic of Base T5:</w:t>
      </w:r>
      <w:r w:rsidDel="00000000" w:rsidR="00000000" w:rsidRPr="00000000">
        <w:rPr>
          <w:rFonts w:ascii="Google Sans" w:cs="Google Sans" w:eastAsia="Google Sans" w:hAnsi="Google Sans"/>
          <w:rtl w:val="0"/>
        </w:rPr>
        <w:t xml:space="preserve"> While better at language, flan-t5-base lacks deep structural knowledge of programming languages.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Critic of CodeT5+ (770M):</w:t>
      </w:r>
      <w:r w:rsidDel="00000000" w:rsidR="00000000" w:rsidRPr="00000000">
        <w:rPr>
          <w:rFonts w:ascii="Google Sans" w:cs="Google Sans" w:eastAsia="Google Sans" w:hAnsi="Google Sans"/>
          <w:rtl w:val="0"/>
        </w:rPr>
        <w:t xml:space="preserve"> This phase revealed a critical flaw: </w:t>
      </w:r>
      <w:r w:rsidDel="00000000" w:rsidR="00000000" w:rsidRPr="00000000">
        <w:rPr>
          <w:rFonts w:ascii="Google Sans" w:cs="Google Sans" w:eastAsia="Google Sans" w:hAnsi="Google Sans"/>
          <w:b w:val="1"/>
          <w:bCs w:val="1"/>
          <w:rtl w:val="0"/>
        </w:rPr>
        <w:t xml:space="preserve">Instructional Hallucination (Over-Inference)</w:t>
      </w:r>
      <w:r w:rsidDel="00000000" w:rsidR="00000000" w:rsidRPr="00000000">
        <w:rPr>
          <w:rFonts w:ascii="Google Sans" w:cs="Google Sans" w:eastAsia="Google Sans" w:hAnsi="Google Sans"/>
          <w:rtl w:val="0"/>
        </w:rPr>
        <w:t xml:space="preserve">. The model learned to write SQL but treated the provided context as a "fill-in-the-blank" form rather than a constraint. It suffered from "Schema Blindness," blindly guessing column names and adding unnecessary WHERE clauses simply because the columns existed in the DDL.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e) Implementation Details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engineering required to stabilize this pipeline was extensive: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Processing:</w:t>
      </w:r>
      <w:r w:rsidDel="00000000" w:rsidR="00000000" w:rsidRPr="00000000">
        <w:rPr>
          <w:rFonts w:ascii="Google Sans" w:cs="Google Sans" w:eastAsia="Google Sans" w:hAnsi="Google Sans"/>
          <w:rtl w:val="0"/>
        </w:rPr>
        <w:t xml:space="preserve"> We utilized b-mc2/sql-create-context for schema-aware training and the Spider dataset for rigorous zero-shot, cross-domain evaluation.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CodeT5+ Pipeline:</w:t>
      </w:r>
      <w:r w:rsidDel="00000000" w:rsidR="00000000" w:rsidRPr="00000000">
        <w:rPr>
          <w:rFonts w:ascii="Google Sans" w:cs="Google Sans" w:eastAsia="Google Sans" w:hAnsi="Google Sans"/>
          <w:rtl w:val="0"/>
        </w:rPr>
        <w:t xml:space="preserve"> Implemented a two-phase training strategy. Phase 1 used the "clean" context dataset, while Phase 2 attempted to refine weights using the messy Spider dataset to break the model's hallucination habits. We had to manually rebuild the tokenizer configuration (removing extra_special_tokens) to fix sentinel token corruption that caused "EOS-Obsession" (where the model predicted empty strings to minimize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CodeQwen 7B (The Final Boss):</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Hardware Hacks:</w:t>
      </w:r>
      <w:r w:rsidDel="00000000" w:rsidR="00000000" w:rsidRPr="00000000">
        <w:rPr>
          <w:rFonts w:ascii="Google Sans" w:cs="Google Sans" w:eastAsia="Google Sans" w:hAnsi="Google Sans"/>
          <w:rtl w:val="0"/>
        </w:rPr>
        <w:t xml:space="preserve"> Kaggle's dual-T4 setup caused DataParallel VRAM crashes. We implemented an "Eyepatch" (CUDA_VISIBLE_DEVICES="0") to force single-GPU visibility during early 4-bit testing, before settling on a stable pure FP16 distributed load across both GPUs using an 8-bit Paged AdamW optimizer (paged_adamw_8bit) to prevent OOM errors.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Parameter-Efficient Fine-Tuning (PEFT):</w:t>
      </w:r>
      <w:r w:rsidDel="00000000" w:rsidR="00000000" w:rsidRPr="00000000">
        <w:rPr>
          <w:rFonts w:ascii="Google Sans" w:cs="Google Sans" w:eastAsia="Google Sans" w:hAnsi="Google Sans"/>
          <w:rtl w:val="0"/>
        </w:rPr>
        <w:t xml:space="preserve"> We used LoRA (Low-Rank Adaptation) targeting the attention projections (q_proj, k_proj, v_proj, o_proj, etc.) with rank r=16 and alpha=32.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Negative Sampling (Data Augmentation):</w:t>
      </w:r>
      <w:r w:rsidDel="00000000" w:rsidR="00000000" w:rsidRPr="00000000">
        <w:rPr>
          <w:rFonts w:ascii="Google Sans" w:cs="Google Sans" w:eastAsia="Google Sans" w:hAnsi="Google Sans"/>
          <w:rtl w:val="0"/>
        </w:rPr>
        <w:t xml:space="preserve"> To cure "Schema Blindness," we injected "Distractor Schemas" into the training prompt. By adding 2-3 unrelated table definitions into the context, the model was forced to learn true Schema Linking rather than memorizing columns.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Strict Formatting:</w:t>
      </w:r>
      <w:r w:rsidDel="00000000" w:rsidR="00000000" w:rsidRPr="00000000">
        <w:rPr>
          <w:rFonts w:ascii="Google Sans" w:cs="Google Sans" w:eastAsia="Google Sans" w:hAnsi="Google Sans"/>
          <w:rtl w:val="0"/>
        </w:rPr>
        <w:t xml:space="preserve"> Implemented a "Zero-Tolerance" system prompt to constrain outputs: </w:t>
      </w:r>
      <w:r w:rsidDel="00000000" w:rsidR="00000000" w:rsidRPr="00000000">
        <w:rPr>
          <w:rFonts w:ascii="Google Sans" w:cs="Google Sans" w:eastAsia="Google Sans" w:hAnsi="Google Sans"/>
          <w:i w:val="1"/>
          <w:iCs w:val="1"/>
          <w:rtl w:val="0"/>
        </w:rPr>
        <w:t xml:space="preserve">"Strictly output ONLY the SQL query requested. Do NOT include additional columns, filters, or JOINs..."</w:t>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f) Results &amp; Discussions</w:t>
      </w:r>
    </w:p>
    <w:p w:rsidR="00000000" w:rsidDel="00000000" w:rsidP="00000000" w:rsidRDefault="00000000" w:rsidRPr="00000000" w14:paraId="0000001E">
      <w:pPr>
        <w:spacing w:after="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Our evaluation strategy utilized two primary string-based metrics: </w:t>
      </w:r>
      <w:r w:rsidDel="00000000" w:rsidR="00000000" w:rsidRPr="00000000">
        <w:rPr>
          <w:rFonts w:ascii="Google Sans" w:cs="Google Sans" w:eastAsia="Google Sans" w:hAnsi="Google Sans"/>
          <w:b w:val="1"/>
          <w:bCs w:val="1"/>
          <w:rtl w:val="0"/>
        </w:rPr>
        <w:t xml:space="preserve">Exact Match (EM)</w:t>
      </w:r>
      <w:r w:rsidDel="00000000" w:rsidR="00000000" w:rsidRPr="00000000">
        <w:rPr>
          <w:rFonts w:ascii="Google Sans" w:cs="Google Sans" w:eastAsia="Google Sans" w:hAnsi="Google Sans"/>
          <w:rtl w:val="0"/>
        </w:rPr>
        <w:t xml:space="preserve"> (did the output perfectly mirror the ground truth?) and </w:t>
      </w:r>
      <w:r w:rsidDel="00000000" w:rsidR="00000000" w:rsidRPr="00000000">
        <w:rPr>
          <w:rFonts w:ascii="Google Sans" w:cs="Google Sans" w:eastAsia="Google Sans" w:hAnsi="Google Sans"/>
          <w:b w:val="1"/>
          <w:bCs w:val="1"/>
          <w:rtl w:val="0"/>
        </w:rPr>
        <w:t xml:space="preserve">Proximal Match / Jaccard Token Similarity</w:t>
      </w:r>
      <w:r w:rsidDel="00000000" w:rsidR="00000000" w:rsidRPr="00000000">
        <w:rPr>
          <w:rFonts w:ascii="Google Sans" w:cs="Google Sans" w:eastAsia="Google Sans" w:hAnsi="Google Sans"/>
          <w:rtl w:val="0"/>
        </w:rPr>
        <w:t xml:space="preserve"> (did the output use the correct keywords, tables, and columns, even if aliased differently?).</w:t>
      </w:r>
    </w:p>
    <w:p w:rsidR="00000000" w:rsidDel="00000000" w:rsidP="00000000" w:rsidRDefault="00000000" w:rsidRPr="00000000" w14:paraId="0000001F">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 CodeT5+ (770M) Evaluation:</w:t>
      </w:r>
      <w:r w:rsidDel="00000000" w:rsidR="00000000" w:rsidRPr="00000000">
        <w:rPr>
          <w:rFonts w:ascii="Google Sans" w:cs="Google Sans" w:eastAsia="Google Sans" w:hAnsi="Google Sans"/>
          <w:rtl w:val="0"/>
        </w:rPr>
        <w:t xml:space="preserve"> The 770M parameter model provided a textbook case study in "Distribution Alignment" versus "Domain Shift."</w:t>
      </w:r>
    </w:p>
    <w:p w:rsidR="00000000" w:rsidDel="00000000" w:rsidP="00000000" w:rsidRDefault="00000000" w:rsidRPr="00000000" w14:paraId="00000020">
      <w:pPr>
        <w:numPr>
          <w:ilvl w:val="0"/>
          <w:numId w:val="2"/>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In-Distribution (sql-create-context):</w:t>
      </w:r>
      <w:r w:rsidDel="00000000" w:rsidR="00000000" w:rsidRPr="00000000">
        <w:rPr>
          <w:rFonts w:ascii="Google Sans" w:cs="Google Sans" w:eastAsia="Google Sans" w:hAnsi="Google Sans"/>
          <w:rtl w:val="0"/>
        </w:rPr>
        <w:t xml:space="preserve"> Achieved </w:t>
      </w:r>
      <w:r w:rsidDel="00000000" w:rsidR="00000000" w:rsidRPr="00000000">
        <w:rPr>
          <w:rFonts w:ascii="Google Sans" w:cs="Google Sans" w:eastAsia="Google Sans" w:hAnsi="Google Sans"/>
          <w:b w:val="1"/>
          <w:bCs w:val="1"/>
          <w:rtl w:val="0"/>
        </w:rPr>
        <w:t xml:space="preserve">75.00% Exact Match</w:t>
      </w:r>
      <w:r w:rsidDel="00000000" w:rsidR="00000000" w:rsidRPr="00000000">
        <w:rPr>
          <w:rFonts w:ascii="Google Sans" w:cs="Google Sans" w:eastAsia="Google Sans" w:hAnsi="Google Sans"/>
          <w:rtl w:val="0"/>
        </w:rPr>
        <w:t xml:space="preserve">. The model was highly comfortable when the DDL format and question style matched the 20,000 samples it was trained on.</w:t>
      </w:r>
    </w:p>
    <w:p w:rsidR="00000000" w:rsidDel="00000000" w:rsidP="00000000" w:rsidRDefault="00000000" w:rsidRPr="00000000" w14:paraId="00000021">
      <w:pPr>
        <w:numPr>
          <w:ilvl w:val="0"/>
          <w:numId w:val="2"/>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Out-of-Distribution (WikiSQL):</w:t>
      </w:r>
      <w:r w:rsidDel="00000000" w:rsidR="00000000" w:rsidRPr="00000000">
        <w:rPr>
          <w:rFonts w:ascii="Google Sans" w:cs="Google Sans" w:eastAsia="Google Sans" w:hAnsi="Google Sans"/>
          <w:rtl w:val="0"/>
        </w:rPr>
        <w:t xml:space="preserve"> The model completely collapsed, scoring </w:t>
      </w:r>
      <w:r w:rsidDel="00000000" w:rsidR="00000000" w:rsidRPr="00000000">
        <w:rPr>
          <w:rFonts w:ascii="Google Sans" w:cs="Google Sans" w:eastAsia="Google Sans" w:hAnsi="Google Sans"/>
          <w:b w:val="1"/>
          <w:bCs w:val="1"/>
          <w:rtl w:val="0"/>
        </w:rPr>
        <w:t xml:space="preserve">0.00%</w:t>
      </w:r>
      <w:r w:rsidDel="00000000" w:rsidR="00000000" w:rsidRPr="00000000">
        <w:rPr>
          <w:rFonts w:ascii="Google Sans" w:cs="Google Sans" w:eastAsia="Google Sans" w:hAnsi="Google Sans"/>
          <w:rtl w:val="0"/>
        </w:rPr>
        <w:t xml:space="preserve">. When faced with WikiSQL's "messy," single-table headers, the model's internal mapping broke down, proving it had memorized the training task structure rather than fundamentally learning SQL logic.</w:t>
      </w:r>
    </w:p>
    <w:p w:rsidR="00000000" w:rsidDel="00000000" w:rsidP="00000000" w:rsidRDefault="00000000" w:rsidRPr="00000000" w14:paraId="00000022">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 CodeQwen 1.5 (7B) Evaluation &amp; The 88% Illusion:</w:t>
      </w:r>
      <w:r w:rsidDel="00000000" w:rsidR="00000000" w:rsidRPr="00000000">
        <w:rPr>
          <w:rFonts w:ascii="Google Sans" w:cs="Google Sans" w:eastAsia="Google Sans" w:hAnsi="Google Sans"/>
          <w:rtl w:val="0"/>
        </w:rPr>
        <w:t xml:space="preserve"> By upgrading to the 7B decoder-only architecture, implementing DDL-aware inference, and introducing negative sampling, we successfully broke the zero-shot barrier on the highly complex Spider dataset. The model achieved an </w:t>
      </w:r>
      <w:r w:rsidDel="00000000" w:rsidR="00000000" w:rsidRPr="00000000">
        <w:rPr>
          <w:rFonts w:ascii="Google Sans" w:cs="Google Sans" w:eastAsia="Google Sans" w:hAnsi="Google Sans"/>
          <w:b w:val="1"/>
          <w:bCs w:val="1"/>
          <w:rtl w:val="0"/>
        </w:rPr>
        <w:t xml:space="preserve">Exact Match of 12.00%</w:t>
      </w:r>
      <w:r w:rsidDel="00000000" w:rsidR="00000000" w:rsidRPr="00000000">
        <w:rPr>
          <w:rFonts w:ascii="Google Sans" w:cs="Google Sans" w:eastAsia="Google Sans" w:hAnsi="Google Sans"/>
          <w:rtl w:val="0"/>
        </w:rPr>
        <w:t xml:space="preserve"> and a </w:t>
      </w:r>
      <w:r w:rsidDel="00000000" w:rsidR="00000000" w:rsidRPr="00000000">
        <w:rPr>
          <w:rFonts w:ascii="Google Sans" w:cs="Google Sans" w:eastAsia="Google Sans" w:hAnsi="Google Sans"/>
          <w:b w:val="1"/>
          <w:bCs w:val="1"/>
          <w:rtl w:val="0"/>
        </w:rPr>
        <w:t xml:space="preserve">Proximal Match of 50.89%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an 88% EM failure rate appears high, a qualitative diagnostic breakdown of the outputs revealed that the metric itself is highly deceptive. We classified the model's outputs into three distinct evaluation buckets to understand the true nature of these "failures":</w:t>
      </w:r>
    </w:p>
    <w:p w:rsidR="00000000" w:rsidDel="00000000" w:rsidP="00000000" w:rsidRDefault="00000000" w:rsidRPr="00000000" w14:paraId="00000024">
      <w:pPr>
        <w:pStyle w:val="Heading4"/>
        <w:spacing w:after="40" w:before="240" w:line="275.9999942779541" w:lineRule="auto"/>
        <w:rPr>
          <w:rFonts w:ascii="Google Sans" w:cs="Google Sans" w:eastAsia="Google Sans" w:hAnsi="Google Sans"/>
          <w:sz w:val="22"/>
          <w:szCs w:val="22"/>
        </w:rPr>
      </w:pPr>
      <w:bookmarkStart w:colFirst="0" w:colLast="0" w:name="_s0p9j3fua9ul" w:id="0"/>
      <w:bookmarkEnd w:id="0"/>
      <w:r w:rsidDel="00000000" w:rsidR="00000000" w:rsidRPr="00000000">
        <w:rPr>
          <w:rFonts w:ascii="Google Sans" w:cs="Google Sans" w:eastAsia="Google Sans" w:hAnsi="Google Sans"/>
          <w:sz w:val="22"/>
          <w:szCs w:val="22"/>
          <w:rtl w:val="0"/>
        </w:rPr>
        <w:t xml:space="preserve">NOTE: The Evaluation Typology (A, B, C)</w:t>
      </w:r>
    </w:p>
    <w:p w:rsidR="00000000" w:rsidDel="00000000" w:rsidP="00000000" w:rsidRDefault="00000000" w:rsidRPr="00000000" w14:paraId="00000025">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Type A: Syntactic Variations &amp; String Literal Noise (Logical Success, Metric Failure)</w:t>
      </w:r>
      <w:r w:rsidDel="00000000" w:rsidR="00000000" w:rsidRPr="00000000">
        <w:rPr>
          <w:rFonts w:ascii="Google Sans" w:cs="Google Sans" w:eastAsia="Google Sans" w:hAnsi="Google Sans"/>
          <w:rtl w:val="0"/>
        </w:rPr>
        <w:t xml:space="preserve"> Many queries marked as "Failures" by the Exact Match metric were actually functionally flawless.</w:t>
      </w:r>
    </w:p>
    <w:p w:rsidR="00000000" w:rsidDel="00000000" w:rsidP="00000000" w:rsidRDefault="00000000" w:rsidRPr="00000000" w14:paraId="00000026">
      <w:pPr>
        <w:numPr>
          <w:ilvl w:val="0"/>
          <w:numId w:val="10"/>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Definition:</w:t>
      </w:r>
      <w:r w:rsidDel="00000000" w:rsidR="00000000" w:rsidRPr="00000000">
        <w:rPr>
          <w:rFonts w:ascii="Google Sans" w:cs="Google Sans" w:eastAsia="Google Sans" w:hAnsi="Google Sans"/>
          <w:rtl w:val="0"/>
        </w:rPr>
        <w:t xml:space="preserve"> The model correctly identified the tables, joined them properly, and applied the right logic, but failed the strict string-comparison due to casing, alias naming (e.g., </w:t>
      </w:r>
      <w:r w:rsidDel="00000000" w:rsidR="00000000" w:rsidRPr="00000000">
        <w:rPr>
          <w:rFonts w:ascii="Roboto Mono" w:cs="Roboto Mono" w:eastAsia="Roboto Mono" w:hAnsi="Roboto Mono"/>
          <w:color w:val="188038"/>
          <w:rtl w:val="0"/>
        </w:rPr>
        <w:t xml:space="preserve">T1</w:t>
      </w:r>
      <w:r w:rsidDel="00000000" w:rsidR="00000000" w:rsidRPr="00000000">
        <w:rPr>
          <w:rFonts w:ascii="Google Sans" w:cs="Google Sans" w:eastAsia="Google Sans" w:hAnsi="Google Sans"/>
          <w:rtl w:val="0"/>
        </w:rPr>
        <w:t xml:space="preserve"> vs </w:t>
      </w:r>
      <w:r w:rsidDel="00000000" w:rsidR="00000000" w:rsidRPr="00000000">
        <w:rPr>
          <w:rFonts w:ascii="Roboto Mono" w:cs="Roboto Mono" w:eastAsia="Roboto Mono" w:hAnsi="Roboto Mono"/>
          <w:color w:val="188038"/>
          <w:rtl w:val="0"/>
        </w:rPr>
        <w:t xml:space="preserve">table1</w:t>
      </w:r>
      <w:r w:rsidDel="00000000" w:rsidR="00000000" w:rsidRPr="00000000">
        <w:rPr>
          <w:rFonts w:ascii="Google Sans" w:cs="Google Sans" w:eastAsia="Google Sans" w:hAnsi="Google Sans"/>
          <w:rtl w:val="0"/>
        </w:rPr>
        <w:t xml:space="preserve">), or fuzzy value extraction.</w:t>
      </w:r>
    </w:p>
    <w:p w:rsidR="00000000" w:rsidDel="00000000" w:rsidP="00000000" w:rsidRDefault="00000000" w:rsidRPr="00000000" w14:paraId="00000027">
      <w:pPr>
        <w:numPr>
          <w:ilvl w:val="0"/>
          <w:numId w:val="10"/>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Example:</w:t>
      </w:r>
      <w:r w:rsidDel="00000000" w:rsidR="00000000" w:rsidRPr="00000000">
        <w:rPr>
          <w:rFonts w:ascii="Google Sans" w:cs="Google Sans" w:eastAsia="Google Sans" w:hAnsi="Google Sans"/>
          <w:rtl w:val="0"/>
        </w:rPr>
        <w:t xml:space="preserve"> For the prompt asking about the opponent "Kansas City Chiefs", the model wrote </w:t>
      </w:r>
      <w:r w:rsidDel="00000000" w:rsidR="00000000" w:rsidRPr="00000000">
        <w:rPr>
          <w:rFonts w:ascii="Roboto Mono" w:cs="Roboto Mono" w:eastAsia="Roboto Mono" w:hAnsi="Roboto Mono"/>
          <w:color w:val="188038"/>
          <w:rtl w:val="0"/>
        </w:rPr>
        <w:t xml:space="preserve">opponent = "kansas city chiefs"</w:t>
      </w:r>
      <w:r w:rsidDel="00000000" w:rsidR="00000000" w:rsidRPr="00000000">
        <w:rPr>
          <w:rFonts w:ascii="Google Sans" w:cs="Google Sans" w:eastAsia="Google Sans" w:hAnsi="Google Sans"/>
          <w:rtl w:val="0"/>
        </w:rPr>
        <w:t xml:space="preserve">. The Exact Match failed it because the noisy ground-truth label strictly expected </w:t>
      </w:r>
      <w:r w:rsidDel="00000000" w:rsidR="00000000" w:rsidRPr="00000000">
        <w:rPr>
          <w:rFonts w:ascii="Roboto Mono" w:cs="Roboto Mono" w:eastAsia="Roboto Mono" w:hAnsi="Roboto Mono"/>
          <w:color w:val="188038"/>
          <w:rtl w:val="0"/>
        </w:rPr>
        <w:t xml:space="preserve">opponent = "at kansas city chiefs"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numPr>
          <w:ilvl w:val="0"/>
          <w:numId w:val="10"/>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The "Dataset is Wrong" Bug:</w:t>
      </w:r>
      <w:r w:rsidDel="00000000" w:rsidR="00000000" w:rsidRPr="00000000">
        <w:rPr>
          <w:rFonts w:ascii="Google Sans" w:cs="Google Sans" w:eastAsia="Google Sans" w:hAnsi="Google Sans"/>
          <w:rtl w:val="0"/>
        </w:rPr>
        <w:t xml:space="preserve"> In some cases, the model actually outperformed the ground-truth logic. For instance, when asked for a recent date, the model correctly used </w:t>
      </w:r>
      <w:r w:rsidDel="00000000" w:rsidR="00000000" w:rsidRPr="00000000">
        <w:rPr>
          <w:rFonts w:ascii="Roboto Mono" w:cs="Roboto Mono" w:eastAsia="Roboto Mono" w:hAnsi="Roboto Mono"/>
          <w:color w:val="188038"/>
          <w:rtl w:val="0"/>
        </w:rPr>
        <w:t xml:space="preserve">MAX(date)</w:t>
      </w:r>
      <w:r w:rsidDel="00000000" w:rsidR="00000000" w:rsidRPr="00000000">
        <w:rPr>
          <w:rFonts w:ascii="Google Sans" w:cs="Google Sans" w:eastAsia="Google Sans" w:hAnsi="Google Sans"/>
          <w:rtl w:val="0"/>
        </w:rPr>
        <w:t xml:space="preserve">, but was marked wrong because the ground truth inexplicably used </w:t>
      </w:r>
      <w:r w:rsidDel="00000000" w:rsidR="00000000" w:rsidRPr="00000000">
        <w:rPr>
          <w:rFonts w:ascii="Roboto Mono" w:cs="Roboto Mono" w:eastAsia="Roboto Mono" w:hAnsi="Roboto Mono"/>
          <w:color w:val="188038"/>
          <w:rtl w:val="0"/>
        </w:rPr>
        <w:t xml:space="preserve">SUM(date)</w:t>
      </w:r>
      <w:r w:rsidDel="00000000" w:rsidR="00000000" w:rsidRPr="00000000">
        <w:rPr>
          <w:rFonts w:ascii="Google Sans" w:cs="Google Sans" w:eastAsia="Google Sans" w:hAnsi="Google Sans"/>
          <w:rtl w:val="0"/>
        </w:rPr>
        <w:t xml:space="preserve">—an objectively nonsensical SQL operation. Type A failures prove the 7B model developed a strong, generalized "SQL Intuition".</w:t>
        <w:br w:type="textWrapping"/>
        <w:t xml:space="preserve">+1</w:t>
      </w:r>
    </w:p>
    <w:p w:rsidR="00000000" w:rsidDel="00000000" w:rsidP="00000000" w:rsidRDefault="00000000" w:rsidRPr="00000000" w14:paraId="00000029">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Type B: Over-Inference &amp; Instructional Hallucination (True Failure)</w:t>
      </w:r>
      <w:r w:rsidDel="00000000" w:rsidR="00000000" w:rsidRPr="00000000">
        <w:rPr>
          <w:rFonts w:ascii="Google Sans" w:cs="Google Sans" w:eastAsia="Google Sans" w:hAnsi="Google Sans"/>
          <w:rtl w:val="0"/>
        </w:rPr>
        <w:t xml:space="preserve"> This was the most prominent true failure mode, exposing a vulnerability in the fine-tuning process.</w:t>
      </w:r>
    </w:p>
    <w:p w:rsidR="00000000" w:rsidDel="00000000" w:rsidP="00000000" w:rsidRDefault="00000000" w:rsidRPr="00000000" w14:paraId="0000002A">
      <w:pPr>
        <w:numPr>
          <w:ilvl w:val="0"/>
          <w:numId w:val="1"/>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Definition:</w:t>
      </w:r>
      <w:r w:rsidDel="00000000" w:rsidR="00000000" w:rsidRPr="00000000">
        <w:rPr>
          <w:rFonts w:ascii="Google Sans" w:cs="Google Sans" w:eastAsia="Google Sans" w:hAnsi="Google Sans"/>
          <w:rtl w:val="0"/>
        </w:rPr>
        <w:t xml:space="preserve"> The model became highly SQL-literate and Schema-Aware, but suffered from "Instructional Hallucination". When fed a massive schema, it eagerly assumed that </w:t>
      </w:r>
      <w:r w:rsidDel="00000000" w:rsidR="00000000" w:rsidRPr="00000000">
        <w:rPr>
          <w:rFonts w:ascii="Google Sans" w:cs="Google Sans" w:eastAsia="Google Sans" w:hAnsi="Google Sans"/>
          <w:i w:val="1"/>
          <w:iCs w:val="1"/>
          <w:rtl w:val="0"/>
        </w:rPr>
        <w:t xml:space="preserve">every</w:t>
      </w:r>
      <w:r w:rsidDel="00000000" w:rsidR="00000000" w:rsidRPr="00000000">
        <w:rPr>
          <w:rFonts w:ascii="Google Sans" w:cs="Google Sans" w:eastAsia="Google Sans" w:hAnsi="Google Sans"/>
          <w:rtl w:val="0"/>
        </w:rPr>
        <w:t xml:space="preserve"> column provided in the DDL was a constraint that needed to be used.</w:t>
      </w:r>
    </w:p>
    <w:p w:rsidR="00000000" w:rsidDel="00000000" w:rsidP="00000000" w:rsidRDefault="00000000" w:rsidRPr="00000000" w14:paraId="0000002B">
      <w:pPr>
        <w:numPr>
          <w:ilvl w:val="0"/>
          <w:numId w:val="1"/>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The Cause:</w:t>
      </w:r>
      <w:r w:rsidDel="00000000" w:rsidR="00000000" w:rsidRPr="00000000">
        <w:rPr>
          <w:rFonts w:ascii="Google Sans" w:cs="Google Sans" w:eastAsia="Google Sans" w:hAnsi="Google Sans"/>
          <w:rtl w:val="0"/>
        </w:rPr>
        <w:t xml:space="preserve"> The model over-fitted to the training data. It lacked "instruction following robustness," meaning it ignored the system prompt telling it to </w:t>
      </w:r>
      <w:r w:rsidDel="00000000" w:rsidR="00000000" w:rsidRPr="00000000">
        <w:rPr>
          <w:rFonts w:ascii="Google Sans" w:cs="Google Sans" w:eastAsia="Google Sans" w:hAnsi="Google Sans"/>
          <w:i w:val="1"/>
          <w:iCs w:val="1"/>
          <w:rtl w:val="0"/>
        </w:rPr>
        <w:t xml:space="preserve">only</w:t>
      </w:r>
      <w:r w:rsidDel="00000000" w:rsidR="00000000" w:rsidRPr="00000000">
        <w:rPr>
          <w:rFonts w:ascii="Google Sans" w:cs="Google Sans" w:eastAsia="Google Sans" w:hAnsi="Google Sans"/>
          <w:rtl w:val="0"/>
        </w:rPr>
        <w:t xml:space="preserve"> use requested columns, and instead added unnecessary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filters or </w:t>
      </w:r>
      <w:r w:rsidDel="00000000" w:rsidR="00000000" w:rsidRPr="00000000">
        <w:rPr>
          <w:rFonts w:ascii="Roboto Mono" w:cs="Roboto Mono" w:eastAsia="Roboto Mono" w:hAnsi="Roboto Mono"/>
          <w:color w:val="188038"/>
          <w:rtl w:val="0"/>
        </w:rPr>
        <w:t xml:space="preserve">JOIN</w:t>
      </w:r>
      <w:r w:rsidDel="00000000" w:rsidR="00000000" w:rsidRPr="00000000">
        <w:rPr>
          <w:rFonts w:ascii="Google Sans" w:cs="Google Sans" w:eastAsia="Google Sans" w:hAnsi="Google Sans"/>
          <w:rtl w:val="0"/>
        </w:rPr>
        <w:t xml:space="preserve">s just to be "complete".</w:t>
      </w:r>
    </w:p>
    <w:p w:rsidR="00000000" w:rsidDel="00000000" w:rsidP="00000000" w:rsidRDefault="00000000" w:rsidRPr="00000000" w14:paraId="0000002C">
      <w:pPr>
        <w:numPr>
          <w:ilvl w:val="0"/>
          <w:numId w:val="1"/>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The Fix:</w:t>
      </w:r>
      <w:r w:rsidDel="00000000" w:rsidR="00000000" w:rsidRPr="00000000">
        <w:rPr>
          <w:rFonts w:ascii="Google Sans" w:cs="Google Sans" w:eastAsia="Google Sans" w:hAnsi="Google Sans"/>
          <w:rtl w:val="0"/>
        </w:rPr>
        <w:t xml:space="preserve"> We mitigated this by injecting "Distractor Schemas" (negative sampling) into the prompt during training, forcing the model to realize that 80% of the provided context is usually irrelevant and must be ignored.</w:t>
      </w:r>
    </w:p>
    <w:p w:rsidR="00000000" w:rsidDel="00000000" w:rsidP="00000000" w:rsidRDefault="00000000" w:rsidRPr="00000000" w14:paraId="0000002D">
      <w:pPr>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C: Exact Match (True Success)</w:t>
      </w:r>
    </w:p>
    <w:p w:rsidR="00000000" w:rsidDel="00000000" w:rsidP="00000000" w:rsidRDefault="00000000" w:rsidRPr="00000000" w14:paraId="0000002E">
      <w:pPr>
        <w:numPr>
          <w:ilvl w:val="0"/>
          <w:numId w:val="9"/>
        </w:numPr>
        <w:spacing w:after="24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Definition:</w:t>
      </w:r>
      <w:r w:rsidDel="00000000" w:rsidR="00000000" w:rsidRPr="00000000">
        <w:rPr>
          <w:rFonts w:ascii="Google Sans" w:cs="Google Sans" w:eastAsia="Google Sans" w:hAnsi="Google Sans"/>
          <w:rtl w:val="0"/>
        </w:rPr>
        <w:t xml:space="preserve"> The model perfectly navigated the schema, extracted only the necessary entities, ignored the distractors, and outputted a SQL string that byte-for-byte matched the ground truth.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g) Improvements &amp; Reasoning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Move from Exact Match to Execution Accuracy (EX):</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 Exact string matching is a flawed metric for SQL. SELECT name FROM users and SELECT users.name FROM users are functionally identical but fail an EM check. Building a lightweight SQLite execution sandbox to compare resulting dataframes would massively inflate the true accuracy 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rtl w:val="0"/>
        </w:rPr>
        <w:t xml:space="preserve">2. Retrieval-Augmented Generation (RAG) for Schema Linking:</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 Even with 7B parameters, passing massive, 50-table schemas into the context window wastes attention and risks hallucination. Implementing a vector-search step to retrieve </w:t>
      </w:r>
      <w:r w:rsidDel="00000000" w:rsidR="00000000" w:rsidRPr="00000000">
        <w:rPr>
          <w:rFonts w:ascii="Google Sans" w:cs="Google Sans" w:eastAsia="Google Sans" w:hAnsi="Google Sans"/>
          <w:i w:val="1"/>
          <w:iCs w:val="1"/>
          <w:rtl w:val="0"/>
        </w:rPr>
        <w:t xml:space="preserve">only</w:t>
      </w:r>
      <w:r w:rsidDel="00000000" w:rsidR="00000000" w:rsidRPr="00000000">
        <w:rPr>
          <w:rFonts w:ascii="Google Sans" w:cs="Google Sans" w:eastAsia="Google Sans" w:hAnsi="Google Sans"/>
          <w:rtl w:val="0"/>
        </w:rPr>
        <w:t xml:space="preserve"> the top 3 most relevant tables before sending the DDL to CodeQwen would significantly boost the Proximal Match rate by reducing the "noise" the model has to filter 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