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E4AD0" w14:textId="77777777" w:rsidR="00592C29" w:rsidRDefault="00592C29">
      <w:pPr>
        <w:rPr>
          <w:sz w:val="22"/>
          <w:szCs w:val="22"/>
        </w:rPr>
      </w:pPr>
    </w:p>
    <w:p w14:paraId="3EE8F4E4" w14:textId="77777777" w:rsidR="00592C29" w:rsidRDefault="00592C29">
      <w:pPr>
        <w:rPr>
          <w:sz w:val="22"/>
          <w:szCs w:val="22"/>
        </w:rPr>
      </w:pPr>
    </w:p>
    <w:p w14:paraId="0A0794D1" w14:textId="77777777" w:rsidR="00592C29" w:rsidRDefault="00592C29">
      <w:pPr>
        <w:rPr>
          <w:sz w:val="22"/>
          <w:szCs w:val="22"/>
        </w:rPr>
      </w:pPr>
    </w:p>
    <w:p w14:paraId="5FE4BC10" w14:textId="77777777" w:rsidR="00592C29" w:rsidRDefault="00592C29">
      <w:pPr>
        <w:rPr>
          <w:sz w:val="22"/>
          <w:szCs w:val="22"/>
        </w:rPr>
      </w:pPr>
    </w:p>
    <w:p w14:paraId="650F9D1C" w14:textId="77777777" w:rsidR="00592C29" w:rsidRDefault="00592C29">
      <w:pPr>
        <w:rPr>
          <w:sz w:val="22"/>
          <w:szCs w:val="22"/>
        </w:rPr>
      </w:pPr>
    </w:p>
    <w:p w14:paraId="230B1935" w14:textId="77777777" w:rsidR="00592C29" w:rsidRDefault="00592C29">
      <w:pPr>
        <w:rPr>
          <w:sz w:val="22"/>
          <w:szCs w:val="22"/>
        </w:rPr>
      </w:pPr>
    </w:p>
    <w:p w14:paraId="7BD2DE84" w14:textId="77777777" w:rsidR="00592C29" w:rsidRDefault="00592C29">
      <w:pPr>
        <w:rPr>
          <w:sz w:val="22"/>
          <w:szCs w:val="22"/>
        </w:rPr>
      </w:pPr>
    </w:p>
    <w:p w14:paraId="63AF6D1B" w14:textId="77777777" w:rsidR="00592C29" w:rsidRDefault="00592C29">
      <w:pPr>
        <w:rPr>
          <w:sz w:val="22"/>
          <w:szCs w:val="22"/>
        </w:rPr>
      </w:pPr>
    </w:p>
    <w:p w14:paraId="5BF98816" w14:textId="77777777" w:rsidR="00592C29" w:rsidRDefault="00592C29">
      <w:pPr>
        <w:rPr>
          <w:sz w:val="22"/>
          <w:szCs w:val="22"/>
        </w:rPr>
      </w:pPr>
    </w:p>
    <w:p w14:paraId="0EE6A7AF" w14:textId="77777777" w:rsidR="00592C29" w:rsidRDefault="00592C29">
      <w:pPr>
        <w:rPr>
          <w:sz w:val="22"/>
          <w:szCs w:val="22"/>
        </w:rPr>
      </w:pPr>
    </w:p>
    <w:p w14:paraId="41BBA96F" w14:textId="77777777" w:rsidR="00592C29" w:rsidRDefault="00592C29">
      <w:pPr>
        <w:rPr>
          <w:sz w:val="22"/>
          <w:szCs w:val="22"/>
        </w:rPr>
      </w:pPr>
    </w:p>
    <w:p w14:paraId="575FDE64" w14:textId="77777777" w:rsidR="00592C29" w:rsidRDefault="00592C29">
      <w:pPr>
        <w:rPr>
          <w:sz w:val="22"/>
          <w:szCs w:val="22"/>
        </w:rPr>
      </w:pPr>
    </w:p>
    <w:p w14:paraId="13E37EB8" w14:textId="77777777" w:rsidR="00592C29" w:rsidRDefault="00592C29">
      <w:pPr>
        <w:rPr>
          <w:sz w:val="22"/>
          <w:szCs w:val="22"/>
        </w:rPr>
      </w:pPr>
    </w:p>
    <w:p w14:paraId="19810AE6" w14:textId="77777777" w:rsidR="00592C29" w:rsidRDefault="00592C29">
      <w:pPr>
        <w:rPr>
          <w:sz w:val="22"/>
          <w:szCs w:val="22"/>
        </w:rPr>
      </w:pPr>
    </w:p>
    <w:p w14:paraId="068BD9EC" w14:textId="77777777" w:rsidR="00592C29" w:rsidRDefault="0048296D">
      <w:pPr>
        <w:keepNext/>
        <w:keepLines/>
        <w:jc w:val="center"/>
        <w:rPr>
          <w:sz w:val="40"/>
          <w:szCs w:val="40"/>
        </w:rPr>
      </w:pPr>
      <w:r>
        <w:rPr>
          <w:rFonts w:ascii="Arial" w:eastAsia="Arial" w:hAnsi="Arial" w:cs="Arial"/>
          <w:color w:val="0D2B88"/>
          <w:sz w:val="40"/>
          <w:szCs w:val="40"/>
        </w:rPr>
        <w:t>Market Reform Contract</w:t>
      </w:r>
    </w:p>
    <w:p w14:paraId="3E33E756" w14:textId="77777777" w:rsidR="00592C29" w:rsidRDefault="0048296D">
      <w:pPr>
        <w:keepNext/>
        <w:keepLines/>
        <w:jc w:val="center"/>
        <w:rPr>
          <w:sz w:val="40"/>
          <w:szCs w:val="40"/>
        </w:rPr>
      </w:pPr>
      <w:r>
        <w:rPr>
          <w:rFonts w:ascii="Arial" w:eastAsia="Arial" w:hAnsi="Arial" w:cs="Arial"/>
          <w:color w:val="0D2B88"/>
          <w:sz w:val="40"/>
          <w:szCs w:val="40"/>
        </w:rPr>
        <w:t>(Open Market)</w:t>
      </w:r>
    </w:p>
    <w:p w14:paraId="683E9559" w14:textId="77777777" w:rsidR="00592C29" w:rsidRDefault="0048296D">
      <w:pPr>
        <w:keepNext/>
        <w:keepLines/>
        <w:jc w:val="center"/>
        <w:rPr>
          <w:sz w:val="40"/>
          <w:szCs w:val="40"/>
        </w:rPr>
      </w:pPr>
      <w:r>
        <w:rPr>
          <w:rFonts w:ascii="Arial" w:eastAsia="Arial" w:hAnsi="Arial" w:cs="Arial"/>
          <w:color w:val="0D2B88"/>
          <w:sz w:val="40"/>
          <w:szCs w:val="40"/>
        </w:rPr>
        <w:t>Implementation Guide</w:t>
      </w:r>
    </w:p>
    <w:p w14:paraId="43F45FA2" w14:textId="77777777" w:rsidR="00592C29" w:rsidRDefault="0048296D">
      <w:pPr>
        <w:keepNext/>
        <w:keepLines/>
        <w:jc w:val="center"/>
        <w:rPr>
          <w:sz w:val="40"/>
          <w:szCs w:val="40"/>
        </w:rPr>
      </w:pPr>
      <w:r>
        <w:rPr>
          <w:rFonts w:ascii="Arial" w:eastAsia="Arial" w:hAnsi="Arial" w:cs="Arial"/>
          <w:color w:val="0D2B88"/>
          <w:sz w:val="40"/>
          <w:szCs w:val="40"/>
        </w:rPr>
        <w:t>Lloyd’s Brussels Supplementary Addendum</w:t>
      </w:r>
    </w:p>
    <w:p w14:paraId="11059DB3" w14:textId="77777777" w:rsidR="00592C29" w:rsidRDefault="00592C29">
      <w:pPr>
        <w:rPr>
          <w:sz w:val="22"/>
          <w:szCs w:val="22"/>
        </w:rPr>
      </w:pPr>
    </w:p>
    <w:p w14:paraId="1F7F9952" w14:textId="77777777" w:rsidR="00592C29" w:rsidRDefault="00592C29">
      <w:pPr>
        <w:rPr>
          <w:sz w:val="22"/>
          <w:szCs w:val="22"/>
        </w:rPr>
      </w:pPr>
    </w:p>
    <w:tbl>
      <w:tblPr>
        <w:tblW w:w="0" w:type="auto"/>
        <w:tblInd w:w="113" w:type="dxa"/>
        <w:tblCellMar>
          <w:left w:w="0" w:type="dxa"/>
          <w:right w:w="0" w:type="dxa"/>
        </w:tblCellMar>
        <w:tblLook w:val="04A0" w:firstRow="1" w:lastRow="0" w:firstColumn="1" w:lastColumn="0" w:noHBand="0" w:noVBand="1"/>
      </w:tblPr>
      <w:tblGrid>
        <w:gridCol w:w="9139"/>
      </w:tblGrid>
      <w:tr w:rsidR="00592C29" w14:paraId="4235A5D6" w14:textId="77777777">
        <w:tc>
          <w:tcPr>
            <w:tcW w:w="9211" w:type="dxa"/>
            <w:tcMar>
              <w:top w:w="5" w:type="dxa"/>
              <w:left w:w="113" w:type="dxa"/>
              <w:bottom w:w="5" w:type="dxa"/>
              <w:right w:w="113" w:type="dxa"/>
            </w:tcMar>
            <w:hideMark/>
          </w:tcPr>
          <w:p w14:paraId="7D29A897" w14:textId="4426642E" w:rsidR="00592C29" w:rsidRPr="0048296D" w:rsidRDefault="0048296D">
            <w:pPr>
              <w:keepNext/>
              <w:keepLines/>
              <w:spacing w:before="60"/>
              <w:jc w:val="center"/>
              <w:rPr>
                <w:sz w:val="28"/>
                <w:szCs w:val="28"/>
              </w:rPr>
            </w:pPr>
            <w:r w:rsidRPr="0048296D">
              <w:rPr>
                <w:rFonts w:ascii="Arial" w:eastAsia="Arial" w:hAnsi="Arial" w:cs="Arial"/>
                <w:sz w:val="28"/>
                <w:szCs w:val="28"/>
              </w:rPr>
              <w:t>Version 2.0</w:t>
            </w:r>
          </w:p>
        </w:tc>
      </w:tr>
      <w:tr w:rsidR="00592C29" w14:paraId="5723935A" w14:textId="77777777">
        <w:tc>
          <w:tcPr>
            <w:tcW w:w="9211" w:type="dxa"/>
            <w:tcMar>
              <w:top w:w="5" w:type="dxa"/>
              <w:left w:w="113" w:type="dxa"/>
              <w:bottom w:w="5" w:type="dxa"/>
              <w:right w:w="113" w:type="dxa"/>
            </w:tcMar>
            <w:hideMark/>
          </w:tcPr>
          <w:p w14:paraId="1F27DBAF" w14:textId="560D164C" w:rsidR="00592C29" w:rsidRPr="0048296D" w:rsidRDefault="0048296D">
            <w:pPr>
              <w:keepNext/>
              <w:keepLines/>
              <w:spacing w:before="60"/>
              <w:jc w:val="center"/>
              <w:rPr>
                <w:sz w:val="28"/>
                <w:szCs w:val="28"/>
              </w:rPr>
            </w:pPr>
            <w:r w:rsidRPr="0048296D">
              <w:rPr>
                <w:rFonts w:ascii="Arial" w:eastAsia="Arial" w:hAnsi="Arial" w:cs="Arial"/>
                <w:sz w:val="28"/>
                <w:szCs w:val="28"/>
              </w:rPr>
              <w:t>01 February 2020</w:t>
            </w:r>
          </w:p>
        </w:tc>
      </w:tr>
      <w:tr w:rsidR="00592C29" w14:paraId="39843014" w14:textId="77777777">
        <w:tc>
          <w:tcPr>
            <w:tcW w:w="9211" w:type="dxa"/>
            <w:tcMar>
              <w:top w:w="5" w:type="dxa"/>
              <w:left w:w="113" w:type="dxa"/>
              <w:bottom w:w="5" w:type="dxa"/>
              <w:right w:w="113" w:type="dxa"/>
            </w:tcMar>
            <w:hideMark/>
          </w:tcPr>
          <w:p w14:paraId="0AD8C82D" w14:textId="326CBAB2" w:rsidR="00592C29" w:rsidRDefault="00592C29">
            <w:pPr>
              <w:keepNext/>
              <w:keepLines/>
              <w:spacing w:before="60"/>
              <w:jc w:val="center"/>
              <w:rPr>
                <w:color w:val="000000"/>
                <w:sz w:val="28"/>
                <w:szCs w:val="28"/>
              </w:rPr>
            </w:pPr>
          </w:p>
        </w:tc>
      </w:tr>
    </w:tbl>
    <w:p w14:paraId="1F353EEB" w14:textId="77777777" w:rsidR="00592C29" w:rsidRDefault="00592C29">
      <w:pPr>
        <w:rPr>
          <w:sz w:val="22"/>
          <w:szCs w:val="22"/>
        </w:rPr>
      </w:pPr>
    </w:p>
    <w:p w14:paraId="58BB7411" w14:textId="77777777" w:rsidR="00592C29" w:rsidRDefault="00592C29">
      <w:pPr>
        <w:rPr>
          <w:sz w:val="22"/>
          <w:szCs w:val="22"/>
        </w:rPr>
      </w:pPr>
    </w:p>
    <w:p w14:paraId="3A63E982" w14:textId="77777777" w:rsidR="00592C29" w:rsidRDefault="00592C29">
      <w:pPr>
        <w:sectPr w:rsidR="00592C29">
          <w:footerReference w:type="default" r:id="rId8"/>
          <w:pgSz w:w="11906" w:h="16838"/>
          <w:pgMar w:top="1440" w:right="1440" w:bottom="1440" w:left="1440" w:header="708" w:footer="708" w:gutter="0"/>
          <w:cols w:space="708"/>
        </w:sectPr>
      </w:pPr>
    </w:p>
    <w:p w14:paraId="1FC10B10" w14:textId="4BD22A1F" w:rsidR="005B5B70" w:rsidRPr="005B5B70" w:rsidRDefault="005B5B70" w:rsidP="005B5B70">
      <w:pPr>
        <w:keepNext/>
        <w:keepLines/>
        <w:spacing w:before="240" w:after="120" w:line="276" w:lineRule="auto"/>
        <w:rPr>
          <w:rFonts w:ascii="Trebuchet MS" w:eastAsia="Trebuchet MS" w:hAnsi="Trebuchet MS" w:cs="Trebuchet MS"/>
          <w:b/>
          <w:bCs/>
          <w:color w:val="365F91"/>
          <w:sz w:val="28"/>
          <w:szCs w:val="28"/>
        </w:rPr>
      </w:pPr>
      <w:r>
        <w:rPr>
          <w:rFonts w:ascii="Trebuchet MS" w:eastAsia="Trebuchet MS" w:hAnsi="Trebuchet MS" w:cs="Trebuchet MS"/>
          <w:b/>
          <w:bCs/>
          <w:color w:val="365F91"/>
          <w:sz w:val="28"/>
          <w:szCs w:val="28"/>
        </w:rPr>
        <w:lastRenderedPageBreak/>
        <w:t xml:space="preserve">Table of </w:t>
      </w:r>
      <w:r w:rsidR="0048296D">
        <w:rPr>
          <w:rFonts w:ascii="Trebuchet MS" w:eastAsia="Trebuchet MS" w:hAnsi="Trebuchet MS" w:cs="Trebuchet MS"/>
          <w:b/>
          <w:bCs/>
          <w:color w:val="365F91"/>
          <w:sz w:val="28"/>
          <w:szCs w:val="28"/>
        </w:rPr>
        <w:t>Contents</w:t>
      </w:r>
    </w:p>
    <w:sdt>
      <w:sdtPr>
        <w:id w:val="312379439"/>
        <w:docPartObj>
          <w:docPartGallery w:val="Table of Contents"/>
          <w:docPartUnique/>
        </w:docPartObj>
      </w:sdtPr>
      <w:sdtEndPr>
        <w:rPr>
          <w:b/>
          <w:bCs/>
          <w:noProof/>
        </w:rPr>
      </w:sdtEndPr>
      <w:sdtContent>
        <w:p w14:paraId="07C29A70" w14:textId="240978B3" w:rsidR="005B5B70" w:rsidRPr="005B5B70" w:rsidRDefault="005B5B70">
          <w:pPr>
            <w:pStyle w:val="TOC1"/>
            <w:tabs>
              <w:tab w:val="right" w:leader="dot" w:pos="9465"/>
            </w:tabs>
            <w:rPr>
              <w:rFonts w:ascii="Arial" w:eastAsiaTheme="minorEastAsia" w:hAnsi="Arial" w:cs="Arial"/>
              <w:noProof/>
              <w:sz w:val="22"/>
              <w:szCs w:val="22"/>
              <w:lang w:val="en-GB" w:eastAsia="en-GB"/>
            </w:rPr>
          </w:pPr>
          <w:r w:rsidRPr="005B5B70">
            <w:rPr>
              <w:rFonts w:ascii="Arial" w:hAnsi="Arial" w:cs="Arial"/>
              <w:sz w:val="22"/>
              <w:szCs w:val="22"/>
            </w:rPr>
            <w:fldChar w:fldCharType="begin"/>
          </w:r>
          <w:r w:rsidRPr="005B5B70">
            <w:rPr>
              <w:rFonts w:ascii="Arial" w:hAnsi="Arial" w:cs="Arial"/>
              <w:sz w:val="22"/>
              <w:szCs w:val="22"/>
            </w:rPr>
            <w:instrText xml:space="preserve"> TOC \o "1-3" \h \z \u </w:instrText>
          </w:r>
          <w:r w:rsidRPr="005B5B70">
            <w:rPr>
              <w:rFonts w:ascii="Arial" w:hAnsi="Arial" w:cs="Arial"/>
              <w:sz w:val="22"/>
              <w:szCs w:val="22"/>
            </w:rPr>
            <w:fldChar w:fldCharType="separate"/>
          </w:r>
          <w:hyperlink w:anchor="_Toc31396061" w:history="1">
            <w:r w:rsidRPr="005B5B70">
              <w:rPr>
                <w:rStyle w:val="Hyperlink"/>
                <w:rFonts w:ascii="Arial" w:eastAsia="Arial" w:hAnsi="Arial" w:cs="Arial"/>
                <w:noProof/>
                <w:sz w:val="22"/>
                <w:szCs w:val="22"/>
              </w:rPr>
              <w:t>Chapter 1 - Introduction</w:t>
            </w:r>
            <w:r w:rsidRPr="005B5B70">
              <w:rPr>
                <w:rFonts w:ascii="Arial" w:hAnsi="Arial" w:cs="Arial"/>
                <w:noProof/>
                <w:webHidden/>
                <w:sz w:val="22"/>
                <w:szCs w:val="22"/>
              </w:rPr>
              <w:tab/>
            </w:r>
            <w:r w:rsidRPr="005B5B70">
              <w:rPr>
                <w:rFonts w:ascii="Arial" w:hAnsi="Arial" w:cs="Arial"/>
                <w:noProof/>
                <w:webHidden/>
                <w:sz w:val="22"/>
                <w:szCs w:val="22"/>
              </w:rPr>
              <w:fldChar w:fldCharType="begin"/>
            </w:r>
            <w:r w:rsidRPr="005B5B70">
              <w:rPr>
                <w:rFonts w:ascii="Arial" w:hAnsi="Arial" w:cs="Arial"/>
                <w:noProof/>
                <w:webHidden/>
                <w:sz w:val="22"/>
                <w:szCs w:val="22"/>
              </w:rPr>
              <w:instrText xml:space="preserve"> PAGEREF _Toc31396061 \h </w:instrText>
            </w:r>
            <w:r w:rsidRPr="005B5B70">
              <w:rPr>
                <w:rFonts w:ascii="Arial" w:hAnsi="Arial" w:cs="Arial"/>
                <w:noProof/>
                <w:webHidden/>
                <w:sz w:val="22"/>
                <w:szCs w:val="22"/>
              </w:rPr>
            </w:r>
            <w:r w:rsidRPr="005B5B70">
              <w:rPr>
                <w:rFonts w:ascii="Arial" w:hAnsi="Arial" w:cs="Arial"/>
                <w:noProof/>
                <w:webHidden/>
                <w:sz w:val="22"/>
                <w:szCs w:val="22"/>
              </w:rPr>
              <w:fldChar w:fldCharType="separate"/>
            </w:r>
            <w:r w:rsidR="00FB1F1F">
              <w:rPr>
                <w:rFonts w:ascii="Arial" w:hAnsi="Arial" w:cs="Arial"/>
                <w:noProof/>
                <w:webHidden/>
                <w:sz w:val="22"/>
                <w:szCs w:val="22"/>
              </w:rPr>
              <w:t>3</w:t>
            </w:r>
            <w:r w:rsidRPr="005B5B70">
              <w:rPr>
                <w:rFonts w:ascii="Arial" w:hAnsi="Arial" w:cs="Arial"/>
                <w:noProof/>
                <w:webHidden/>
                <w:sz w:val="22"/>
                <w:szCs w:val="22"/>
              </w:rPr>
              <w:fldChar w:fldCharType="end"/>
            </w:r>
          </w:hyperlink>
        </w:p>
        <w:p w14:paraId="4FAB7FD8" w14:textId="29837439" w:rsidR="005B5B70" w:rsidRPr="005B5B70" w:rsidRDefault="009E5E40">
          <w:pPr>
            <w:pStyle w:val="TOC2"/>
            <w:tabs>
              <w:tab w:val="right" w:leader="dot" w:pos="9465"/>
            </w:tabs>
            <w:rPr>
              <w:rFonts w:ascii="Arial" w:eastAsiaTheme="minorEastAsia" w:hAnsi="Arial" w:cs="Arial"/>
              <w:noProof/>
              <w:sz w:val="22"/>
              <w:szCs w:val="22"/>
              <w:lang w:val="en-GB" w:eastAsia="en-GB"/>
            </w:rPr>
          </w:pPr>
          <w:hyperlink w:anchor="_Toc31396062" w:history="1">
            <w:r w:rsidR="005B5B70" w:rsidRPr="005B5B70">
              <w:rPr>
                <w:rStyle w:val="Hyperlink"/>
                <w:rFonts w:ascii="Arial" w:eastAsia="Arial" w:hAnsi="Arial" w:cs="Arial"/>
                <w:i/>
                <w:noProof/>
                <w:sz w:val="22"/>
                <w:szCs w:val="22"/>
              </w:rPr>
              <w:t>1.1 Purpose of the Guide</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_Toc31396062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3</w:t>
            </w:r>
            <w:r w:rsidR="005B5B70" w:rsidRPr="005B5B70">
              <w:rPr>
                <w:rFonts w:ascii="Arial" w:hAnsi="Arial" w:cs="Arial"/>
                <w:noProof/>
                <w:webHidden/>
                <w:sz w:val="22"/>
                <w:szCs w:val="22"/>
              </w:rPr>
              <w:fldChar w:fldCharType="end"/>
            </w:r>
          </w:hyperlink>
        </w:p>
        <w:p w14:paraId="0154746A" w14:textId="4E68823D" w:rsidR="005B5B70" w:rsidRPr="005B5B70" w:rsidRDefault="009E5E40">
          <w:pPr>
            <w:pStyle w:val="TOC2"/>
            <w:tabs>
              <w:tab w:val="right" w:leader="dot" w:pos="9465"/>
            </w:tabs>
            <w:rPr>
              <w:rFonts w:ascii="Arial" w:eastAsiaTheme="minorEastAsia" w:hAnsi="Arial" w:cs="Arial"/>
              <w:noProof/>
              <w:sz w:val="22"/>
              <w:szCs w:val="22"/>
              <w:lang w:val="en-GB" w:eastAsia="en-GB"/>
            </w:rPr>
          </w:pPr>
          <w:hyperlink w:anchor="_Toc31396063" w:history="1">
            <w:r w:rsidR="005B5B70" w:rsidRPr="005B5B70">
              <w:rPr>
                <w:rStyle w:val="Hyperlink"/>
                <w:rFonts w:ascii="Arial" w:eastAsia="Arial" w:hAnsi="Arial" w:cs="Arial"/>
                <w:i/>
                <w:noProof/>
                <w:sz w:val="22"/>
                <w:szCs w:val="22"/>
              </w:rPr>
              <w:t>1.2 Background</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_Toc31396063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4</w:t>
            </w:r>
            <w:r w:rsidR="005B5B70" w:rsidRPr="005B5B70">
              <w:rPr>
                <w:rFonts w:ascii="Arial" w:hAnsi="Arial" w:cs="Arial"/>
                <w:noProof/>
                <w:webHidden/>
                <w:sz w:val="22"/>
                <w:szCs w:val="22"/>
              </w:rPr>
              <w:fldChar w:fldCharType="end"/>
            </w:r>
          </w:hyperlink>
        </w:p>
        <w:p w14:paraId="2002AC0D" w14:textId="6DEE10D7" w:rsidR="005B5B70" w:rsidRPr="005B5B70" w:rsidRDefault="009E5E40">
          <w:pPr>
            <w:pStyle w:val="TOC2"/>
            <w:tabs>
              <w:tab w:val="right" w:leader="dot" w:pos="9465"/>
            </w:tabs>
            <w:rPr>
              <w:rFonts w:ascii="Arial" w:eastAsiaTheme="minorEastAsia" w:hAnsi="Arial" w:cs="Arial"/>
              <w:noProof/>
              <w:sz w:val="22"/>
              <w:szCs w:val="22"/>
              <w:lang w:val="en-GB" w:eastAsia="en-GB"/>
            </w:rPr>
          </w:pPr>
          <w:hyperlink w:anchor="_Toc31396064" w:history="1">
            <w:r w:rsidR="005B5B70" w:rsidRPr="005B5B70">
              <w:rPr>
                <w:rStyle w:val="Hyperlink"/>
                <w:rFonts w:ascii="Arial" w:eastAsia="Arial" w:hAnsi="Arial" w:cs="Arial"/>
                <w:i/>
                <w:noProof/>
                <w:sz w:val="22"/>
                <w:szCs w:val="22"/>
              </w:rPr>
              <w:t>1.3 Franchise Board Mandate</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_Toc31396064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4</w:t>
            </w:r>
            <w:r w:rsidR="005B5B70" w:rsidRPr="005B5B70">
              <w:rPr>
                <w:rFonts w:ascii="Arial" w:hAnsi="Arial" w:cs="Arial"/>
                <w:noProof/>
                <w:webHidden/>
                <w:sz w:val="22"/>
                <w:szCs w:val="22"/>
              </w:rPr>
              <w:fldChar w:fldCharType="end"/>
            </w:r>
          </w:hyperlink>
        </w:p>
        <w:p w14:paraId="218F2247" w14:textId="2EE77A9C" w:rsidR="005B5B70" w:rsidRPr="005B5B70" w:rsidRDefault="009E5E40">
          <w:pPr>
            <w:pStyle w:val="TOC1"/>
            <w:tabs>
              <w:tab w:val="right" w:leader="dot" w:pos="9465"/>
            </w:tabs>
            <w:rPr>
              <w:rFonts w:ascii="Arial" w:eastAsiaTheme="minorEastAsia" w:hAnsi="Arial" w:cs="Arial"/>
              <w:noProof/>
              <w:sz w:val="22"/>
              <w:szCs w:val="22"/>
              <w:lang w:val="en-GB" w:eastAsia="en-GB"/>
            </w:rPr>
          </w:pPr>
          <w:hyperlink w:anchor="_Toc31396065" w:history="1">
            <w:r w:rsidR="005B5B70" w:rsidRPr="005B5B70">
              <w:rPr>
                <w:rStyle w:val="Hyperlink"/>
                <w:rFonts w:ascii="Arial" w:eastAsia="Arial" w:hAnsi="Arial" w:cs="Arial"/>
                <w:noProof/>
                <w:sz w:val="22"/>
                <w:szCs w:val="22"/>
              </w:rPr>
              <w:t>Chapter 2 - Business Objectives and Expected Benefits</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_Toc31396065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5</w:t>
            </w:r>
            <w:r w:rsidR="005B5B70" w:rsidRPr="005B5B70">
              <w:rPr>
                <w:rFonts w:ascii="Arial" w:hAnsi="Arial" w:cs="Arial"/>
                <w:noProof/>
                <w:webHidden/>
                <w:sz w:val="22"/>
                <w:szCs w:val="22"/>
              </w:rPr>
              <w:fldChar w:fldCharType="end"/>
            </w:r>
          </w:hyperlink>
        </w:p>
        <w:p w14:paraId="0B22BB93" w14:textId="120D64EF" w:rsidR="005B5B70" w:rsidRPr="005B5B70" w:rsidRDefault="009E5E40">
          <w:pPr>
            <w:pStyle w:val="TOC2"/>
            <w:tabs>
              <w:tab w:val="right" w:leader="dot" w:pos="9465"/>
            </w:tabs>
            <w:rPr>
              <w:rFonts w:ascii="Arial" w:eastAsiaTheme="minorEastAsia" w:hAnsi="Arial" w:cs="Arial"/>
              <w:noProof/>
              <w:sz w:val="22"/>
              <w:szCs w:val="22"/>
              <w:lang w:val="en-GB" w:eastAsia="en-GB"/>
            </w:rPr>
          </w:pPr>
          <w:hyperlink w:anchor="_Toc31396066" w:history="1">
            <w:r w:rsidR="005B5B70" w:rsidRPr="005B5B70">
              <w:rPr>
                <w:rStyle w:val="Hyperlink"/>
                <w:rFonts w:ascii="Arial" w:eastAsia="Arial" w:hAnsi="Arial" w:cs="Arial"/>
                <w:i/>
                <w:noProof/>
                <w:sz w:val="22"/>
                <w:szCs w:val="22"/>
              </w:rPr>
              <w:t>2.1 Scope</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_Toc31396066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5</w:t>
            </w:r>
            <w:r w:rsidR="005B5B70" w:rsidRPr="005B5B70">
              <w:rPr>
                <w:rFonts w:ascii="Arial" w:hAnsi="Arial" w:cs="Arial"/>
                <w:noProof/>
                <w:webHidden/>
                <w:sz w:val="22"/>
                <w:szCs w:val="22"/>
              </w:rPr>
              <w:fldChar w:fldCharType="end"/>
            </w:r>
          </w:hyperlink>
        </w:p>
        <w:p w14:paraId="4E82B3F5" w14:textId="5DEC5983" w:rsidR="005B5B70" w:rsidRPr="005B5B70" w:rsidRDefault="009E5E40">
          <w:pPr>
            <w:pStyle w:val="TOC2"/>
            <w:tabs>
              <w:tab w:val="right" w:leader="dot" w:pos="9465"/>
            </w:tabs>
            <w:rPr>
              <w:rFonts w:ascii="Arial" w:eastAsiaTheme="minorEastAsia" w:hAnsi="Arial" w:cs="Arial"/>
              <w:noProof/>
              <w:sz w:val="22"/>
              <w:szCs w:val="22"/>
              <w:lang w:val="en-GB" w:eastAsia="en-GB"/>
            </w:rPr>
          </w:pPr>
          <w:hyperlink w:anchor="_Toc31396067" w:history="1">
            <w:r w:rsidR="005B5B70" w:rsidRPr="005B5B70">
              <w:rPr>
                <w:rStyle w:val="Hyperlink"/>
                <w:rFonts w:ascii="Arial" w:eastAsia="Arial" w:hAnsi="Arial" w:cs="Arial"/>
                <w:i/>
                <w:noProof/>
                <w:sz w:val="22"/>
                <w:szCs w:val="22"/>
              </w:rPr>
              <w:t>2.2 Benefits</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_Toc31396067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6</w:t>
            </w:r>
            <w:r w:rsidR="005B5B70" w:rsidRPr="005B5B70">
              <w:rPr>
                <w:rFonts w:ascii="Arial" w:hAnsi="Arial" w:cs="Arial"/>
                <w:noProof/>
                <w:webHidden/>
                <w:sz w:val="22"/>
                <w:szCs w:val="22"/>
              </w:rPr>
              <w:fldChar w:fldCharType="end"/>
            </w:r>
          </w:hyperlink>
        </w:p>
        <w:p w14:paraId="073E8D05" w14:textId="6C154649" w:rsidR="005B5B70" w:rsidRPr="005B5B70" w:rsidRDefault="009E5E40">
          <w:pPr>
            <w:pStyle w:val="TOC1"/>
            <w:tabs>
              <w:tab w:val="right" w:leader="dot" w:pos="9465"/>
            </w:tabs>
            <w:rPr>
              <w:rFonts w:ascii="Arial" w:eastAsiaTheme="minorEastAsia" w:hAnsi="Arial" w:cs="Arial"/>
              <w:noProof/>
              <w:sz w:val="22"/>
              <w:szCs w:val="22"/>
              <w:lang w:val="en-GB" w:eastAsia="en-GB"/>
            </w:rPr>
          </w:pPr>
          <w:hyperlink w:anchor="_Toc31396068" w:history="1">
            <w:r w:rsidR="005B5B70" w:rsidRPr="005B5B70">
              <w:rPr>
                <w:rStyle w:val="Hyperlink"/>
                <w:rFonts w:ascii="Arial" w:eastAsia="Arial" w:hAnsi="Arial" w:cs="Arial"/>
                <w:noProof/>
                <w:sz w:val="22"/>
                <w:szCs w:val="22"/>
              </w:rPr>
              <w:t>Chapter 3 - Market Reform Contract Layout</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_Toc31396068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7</w:t>
            </w:r>
            <w:r w:rsidR="005B5B70" w:rsidRPr="005B5B70">
              <w:rPr>
                <w:rFonts w:ascii="Arial" w:hAnsi="Arial" w:cs="Arial"/>
                <w:noProof/>
                <w:webHidden/>
                <w:sz w:val="22"/>
                <w:szCs w:val="22"/>
              </w:rPr>
              <w:fldChar w:fldCharType="end"/>
            </w:r>
          </w:hyperlink>
        </w:p>
        <w:p w14:paraId="05B4ADDF" w14:textId="4ADFBC56" w:rsidR="005B5B70" w:rsidRPr="005B5B70" w:rsidRDefault="009E5E40">
          <w:pPr>
            <w:pStyle w:val="TOC2"/>
            <w:tabs>
              <w:tab w:val="right" w:leader="dot" w:pos="9465"/>
            </w:tabs>
            <w:rPr>
              <w:rFonts w:ascii="Arial" w:eastAsiaTheme="minorEastAsia" w:hAnsi="Arial" w:cs="Arial"/>
              <w:noProof/>
              <w:sz w:val="22"/>
              <w:szCs w:val="22"/>
              <w:lang w:val="en-GB" w:eastAsia="en-GB"/>
            </w:rPr>
          </w:pPr>
          <w:hyperlink w:anchor="_Toc31396069" w:history="1">
            <w:r w:rsidR="005B5B70" w:rsidRPr="005B5B70">
              <w:rPr>
                <w:rStyle w:val="Hyperlink"/>
                <w:rFonts w:ascii="Arial" w:eastAsia="Arial" w:hAnsi="Arial" w:cs="Arial"/>
                <w:i/>
                <w:noProof/>
                <w:sz w:val="22"/>
                <w:szCs w:val="22"/>
              </w:rPr>
              <w:t>3.1 Document Format/Construction, Order and use of Headings</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_Toc31396069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7</w:t>
            </w:r>
            <w:r w:rsidR="005B5B70" w:rsidRPr="005B5B70">
              <w:rPr>
                <w:rFonts w:ascii="Arial" w:hAnsi="Arial" w:cs="Arial"/>
                <w:noProof/>
                <w:webHidden/>
                <w:sz w:val="22"/>
                <w:szCs w:val="22"/>
              </w:rPr>
              <w:fldChar w:fldCharType="end"/>
            </w:r>
          </w:hyperlink>
        </w:p>
        <w:p w14:paraId="7F7EE833" w14:textId="7EC37542" w:rsidR="005B5B70" w:rsidRPr="005B5B70" w:rsidRDefault="009E5E40">
          <w:pPr>
            <w:pStyle w:val="TOC2"/>
            <w:tabs>
              <w:tab w:val="right" w:leader="dot" w:pos="9465"/>
            </w:tabs>
            <w:rPr>
              <w:rFonts w:ascii="Arial" w:eastAsiaTheme="minorEastAsia" w:hAnsi="Arial" w:cs="Arial"/>
              <w:noProof/>
              <w:sz w:val="22"/>
              <w:szCs w:val="22"/>
              <w:lang w:val="en-GB" w:eastAsia="en-GB"/>
            </w:rPr>
          </w:pPr>
          <w:hyperlink w:anchor="_Toc31396070" w:history="1">
            <w:r w:rsidR="005B5B70" w:rsidRPr="005B5B70">
              <w:rPr>
                <w:rStyle w:val="Hyperlink"/>
                <w:rFonts w:ascii="Arial" w:eastAsia="Arial" w:hAnsi="Arial" w:cs="Arial"/>
                <w:i/>
                <w:noProof/>
                <w:sz w:val="22"/>
                <w:szCs w:val="22"/>
              </w:rPr>
              <w:t>3.2 Dictionary of MRC Headings</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_Toc31396070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8</w:t>
            </w:r>
            <w:r w:rsidR="005B5B70" w:rsidRPr="005B5B70">
              <w:rPr>
                <w:rFonts w:ascii="Arial" w:hAnsi="Arial" w:cs="Arial"/>
                <w:noProof/>
                <w:webHidden/>
                <w:sz w:val="22"/>
                <w:szCs w:val="22"/>
              </w:rPr>
              <w:fldChar w:fldCharType="end"/>
            </w:r>
          </w:hyperlink>
        </w:p>
        <w:p w14:paraId="429EE277" w14:textId="767959E0" w:rsidR="005B5B70" w:rsidRPr="005B5B70" w:rsidRDefault="009E5E40">
          <w:pPr>
            <w:pStyle w:val="TOC2"/>
            <w:tabs>
              <w:tab w:val="right" w:leader="dot" w:pos="9465"/>
            </w:tabs>
            <w:rPr>
              <w:rFonts w:ascii="Arial" w:eastAsiaTheme="minorEastAsia" w:hAnsi="Arial" w:cs="Arial"/>
              <w:noProof/>
              <w:sz w:val="22"/>
              <w:szCs w:val="22"/>
              <w:lang w:val="en-GB" w:eastAsia="en-GB"/>
            </w:rPr>
          </w:pPr>
          <w:hyperlink w:anchor="_Toc31396071" w:history="1">
            <w:r w:rsidR="005B5B70" w:rsidRPr="005B5B70">
              <w:rPr>
                <w:rStyle w:val="Hyperlink"/>
                <w:rFonts w:ascii="Arial" w:eastAsia="Arial" w:hAnsi="Arial" w:cs="Arial"/>
                <w:i/>
                <w:noProof/>
                <w:sz w:val="22"/>
                <w:szCs w:val="22"/>
              </w:rPr>
              <w:t>3.3 Layout of Document</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_Toc31396071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8</w:t>
            </w:r>
            <w:r w:rsidR="005B5B70" w:rsidRPr="005B5B70">
              <w:rPr>
                <w:rFonts w:ascii="Arial" w:hAnsi="Arial" w:cs="Arial"/>
                <w:noProof/>
                <w:webHidden/>
                <w:sz w:val="22"/>
                <w:szCs w:val="22"/>
              </w:rPr>
              <w:fldChar w:fldCharType="end"/>
            </w:r>
          </w:hyperlink>
        </w:p>
        <w:p w14:paraId="6462C579" w14:textId="63D258A7" w:rsidR="005B5B70" w:rsidRPr="005B5B70" w:rsidRDefault="009E5E40">
          <w:pPr>
            <w:pStyle w:val="TOC2"/>
            <w:tabs>
              <w:tab w:val="right" w:leader="dot" w:pos="9465"/>
            </w:tabs>
            <w:rPr>
              <w:rFonts w:ascii="Arial" w:eastAsiaTheme="minorEastAsia" w:hAnsi="Arial" w:cs="Arial"/>
              <w:noProof/>
              <w:sz w:val="22"/>
              <w:szCs w:val="22"/>
              <w:lang w:val="en-GB" w:eastAsia="en-GB"/>
            </w:rPr>
          </w:pPr>
          <w:hyperlink w:anchor="_Toc31396072" w:history="1">
            <w:r w:rsidR="005B5B70" w:rsidRPr="005B5B70">
              <w:rPr>
                <w:rStyle w:val="Hyperlink"/>
                <w:rFonts w:ascii="Arial" w:eastAsia="Arial" w:hAnsi="Arial" w:cs="Arial"/>
                <w:i/>
                <w:noProof/>
                <w:sz w:val="22"/>
                <w:szCs w:val="22"/>
              </w:rPr>
              <w:t>3.4 Considerations When Using Electronic Placing</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_Toc31396072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8</w:t>
            </w:r>
            <w:r w:rsidR="005B5B70" w:rsidRPr="005B5B70">
              <w:rPr>
                <w:rFonts w:ascii="Arial" w:hAnsi="Arial" w:cs="Arial"/>
                <w:noProof/>
                <w:webHidden/>
                <w:sz w:val="22"/>
                <w:szCs w:val="22"/>
              </w:rPr>
              <w:fldChar w:fldCharType="end"/>
            </w:r>
          </w:hyperlink>
        </w:p>
        <w:p w14:paraId="3C3E8F6B" w14:textId="6AF6DCC0" w:rsidR="005B5B70" w:rsidRPr="005B5B70" w:rsidRDefault="009E5E40">
          <w:pPr>
            <w:pStyle w:val="TOC2"/>
            <w:tabs>
              <w:tab w:val="right" w:leader="dot" w:pos="9465"/>
            </w:tabs>
            <w:rPr>
              <w:rFonts w:ascii="Arial" w:eastAsiaTheme="minorEastAsia" w:hAnsi="Arial" w:cs="Arial"/>
              <w:noProof/>
              <w:sz w:val="22"/>
              <w:szCs w:val="22"/>
              <w:lang w:val="en-GB" w:eastAsia="en-GB"/>
            </w:rPr>
          </w:pPr>
          <w:hyperlink w:anchor="_Toc31396073" w:history="1">
            <w:r w:rsidR="005B5B70" w:rsidRPr="005B5B70">
              <w:rPr>
                <w:rStyle w:val="Hyperlink"/>
                <w:rFonts w:ascii="Arial" w:eastAsia="Arial" w:hAnsi="Arial" w:cs="Arial"/>
                <w:i/>
                <w:noProof/>
                <w:sz w:val="22"/>
                <w:szCs w:val="22"/>
              </w:rPr>
              <w:t>3.5 General Guidance</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_Toc31396073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9</w:t>
            </w:r>
            <w:r w:rsidR="005B5B70" w:rsidRPr="005B5B70">
              <w:rPr>
                <w:rFonts w:ascii="Arial" w:hAnsi="Arial" w:cs="Arial"/>
                <w:noProof/>
                <w:webHidden/>
                <w:sz w:val="22"/>
                <w:szCs w:val="22"/>
              </w:rPr>
              <w:fldChar w:fldCharType="end"/>
            </w:r>
          </w:hyperlink>
        </w:p>
        <w:p w14:paraId="4710DB41" w14:textId="085FC2EB" w:rsidR="005B5B70" w:rsidRPr="005B5B70" w:rsidRDefault="009E5E40">
          <w:pPr>
            <w:pStyle w:val="TOC2"/>
            <w:tabs>
              <w:tab w:val="right" w:leader="dot" w:pos="9465"/>
            </w:tabs>
            <w:rPr>
              <w:rFonts w:ascii="Arial" w:eastAsiaTheme="minorEastAsia" w:hAnsi="Arial" w:cs="Arial"/>
              <w:noProof/>
              <w:sz w:val="22"/>
              <w:szCs w:val="22"/>
              <w:lang w:val="en-GB" w:eastAsia="en-GB"/>
            </w:rPr>
          </w:pPr>
          <w:hyperlink w:anchor="_Toc31396074" w:history="1">
            <w:r w:rsidR="005B5B70" w:rsidRPr="005B5B70">
              <w:rPr>
                <w:rStyle w:val="Hyperlink"/>
                <w:rFonts w:ascii="Arial" w:eastAsia="Arial" w:hAnsi="Arial" w:cs="Arial"/>
                <w:i/>
                <w:noProof/>
                <w:sz w:val="22"/>
                <w:szCs w:val="22"/>
              </w:rPr>
              <w:t>3.6 Detailed MRC Documentation</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_Toc31396074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9</w:t>
            </w:r>
            <w:r w:rsidR="005B5B70" w:rsidRPr="005B5B70">
              <w:rPr>
                <w:rFonts w:ascii="Arial" w:hAnsi="Arial" w:cs="Arial"/>
                <w:noProof/>
                <w:webHidden/>
                <w:sz w:val="22"/>
                <w:szCs w:val="22"/>
              </w:rPr>
              <w:fldChar w:fldCharType="end"/>
            </w:r>
          </w:hyperlink>
        </w:p>
        <w:p w14:paraId="6CB82F37" w14:textId="1ADD5477" w:rsidR="005B5B70" w:rsidRPr="005B5B70" w:rsidRDefault="009E5E40">
          <w:pPr>
            <w:pStyle w:val="TOC2"/>
            <w:tabs>
              <w:tab w:val="right" w:leader="dot" w:pos="9465"/>
            </w:tabs>
            <w:rPr>
              <w:rFonts w:ascii="Arial" w:eastAsiaTheme="minorEastAsia" w:hAnsi="Arial" w:cs="Arial"/>
              <w:noProof/>
              <w:sz w:val="22"/>
              <w:szCs w:val="22"/>
              <w:lang w:val="en-GB" w:eastAsia="en-GB"/>
            </w:rPr>
          </w:pPr>
          <w:hyperlink w:anchor="_Toc31396075" w:history="1">
            <w:r w:rsidR="005B5B70" w:rsidRPr="005B5B70">
              <w:rPr>
                <w:rStyle w:val="Hyperlink"/>
                <w:rFonts w:ascii="Arial" w:eastAsia="Arial" w:hAnsi="Arial" w:cs="Arial"/>
                <w:i/>
                <w:noProof/>
                <w:sz w:val="22"/>
                <w:szCs w:val="22"/>
              </w:rPr>
              <w:t>3.7 Further Information</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_Toc31396075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10</w:t>
            </w:r>
            <w:r w:rsidR="005B5B70" w:rsidRPr="005B5B70">
              <w:rPr>
                <w:rFonts w:ascii="Arial" w:hAnsi="Arial" w:cs="Arial"/>
                <w:noProof/>
                <w:webHidden/>
                <w:sz w:val="22"/>
                <w:szCs w:val="22"/>
              </w:rPr>
              <w:fldChar w:fldCharType="end"/>
            </w:r>
          </w:hyperlink>
        </w:p>
        <w:p w14:paraId="70F852AE" w14:textId="29B89C3A" w:rsidR="005B5B70" w:rsidRPr="005B5B70" w:rsidRDefault="009E5E40">
          <w:pPr>
            <w:pStyle w:val="TOC1"/>
            <w:tabs>
              <w:tab w:val="right" w:leader="dot" w:pos="9465"/>
            </w:tabs>
            <w:rPr>
              <w:rFonts w:ascii="Arial" w:eastAsiaTheme="minorEastAsia" w:hAnsi="Arial" w:cs="Arial"/>
              <w:noProof/>
              <w:sz w:val="22"/>
              <w:szCs w:val="22"/>
              <w:lang w:val="en-GB" w:eastAsia="en-GB"/>
            </w:rPr>
          </w:pPr>
          <w:hyperlink w:anchor="_Toc31396076" w:history="1">
            <w:r w:rsidR="005B5B70" w:rsidRPr="005B5B70">
              <w:rPr>
                <w:rStyle w:val="Hyperlink"/>
                <w:rFonts w:ascii="Arial" w:eastAsia="Arial" w:hAnsi="Arial" w:cs="Arial"/>
                <w:noProof/>
                <w:sz w:val="22"/>
                <w:szCs w:val="22"/>
              </w:rPr>
              <w:t>Chapter 4 - RISK DETAILS Guidance</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_Toc31396076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11</w:t>
            </w:r>
            <w:r w:rsidR="005B5B70" w:rsidRPr="005B5B70">
              <w:rPr>
                <w:rFonts w:ascii="Arial" w:hAnsi="Arial" w:cs="Arial"/>
                <w:noProof/>
                <w:webHidden/>
                <w:sz w:val="22"/>
                <w:szCs w:val="22"/>
              </w:rPr>
              <w:fldChar w:fldCharType="end"/>
            </w:r>
          </w:hyperlink>
        </w:p>
        <w:p w14:paraId="0188C73D" w14:textId="13E58E1B" w:rsidR="005B5B70" w:rsidRPr="005B5B70" w:rsidRDefault="009E5E40">
          <w:pPr>
            <w:pStyle w:val="TOC2"/>
            <w:tabs>
              <w:tab w:val="right" w:leader="dot" w:pos="9465"/>
            </w:tabs>
            <w:rPr>
              <w:rFonts w:ascii="Arial" w:eastAsiaTheme="minorEastAsia" w:hAnsi="Arial" w:cs="Arial"/>
              <w:noProof/>
              <w:sz w:val="22"/>
              <w:szCs w:val="22"/>
              <w:lang w:val="en-GB" w:eastAsia="en-GB"/>
            </w:rPr>
          </w:pPr>
          <w:hyperlink w:anchor="_Toc31396077" w:history="1">
            <w:r w:rsidR="005B5B70" w:rsidRPr="005B5B70">
              <w:rPr>
                <w:rStyle w:val="Hyperlink"/>
                <w:rFonts w:ascii="Arial" w:eastAsia="Arial" w:hAnsi="Arial" w:cs="Arial"/>
                <w:i/>
                <w:noProof/>
                <w:sz w:val="22"/>
                <w:szCs w:val="22"/>
              </w:rPr>
              <w:t>4.1 General Guidance</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_Toc31396077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11</w:t>
            </w:r>
            <w:r w:rsidR="005B5B70" w:rsidRPr="005B5B70">
              <w:rPr>
                <w:rFonts w:ascii="Arial" w:hAnsi="Arial" w:cs="Arial"/>
                <w:noProof/>
                <w:webHidden/>
                <w:sz w:val="22"/>
                <w:szCs w:val="22"/>
              </w:rPr>
              <w:fldChar w:fldCharType="end"/>
            </w:r>
          </w:hyperlink>
        </w:p>
        <w:p w14:paraId="77502388" w14:textId="7A096720" w:rsidR="005B5B70" w:rsidRPr="005B5B70" w:rsidRDefault="009E5E40">
          <w:pPr>
            <w:pStyle w:val="TOC2"/>
            <w:tabs>
              <w:tab w:val="right" w:leader="dot" w:pos="9465"/>
            </w:tabs>
            <w:rPr>
              <w:rFonts w:ascii="Arial" w:eastAsiaTheme="minorEastAsia" w:hAnsi="Arial" w:cs="Arial"/>
              <w:noProof/>
              <w:sz w:val="22"/>
              <w:szCs w:val="22"/>
              <w:lang w:val="en-GB" w:eastAsia="en-GB"/>
            </w:rPr>
          </w:pPr>
          <w:hyperlink w:anchor="_Toc31396078" w:history="1">
            <w:r w:rsidR="005B5B70" w:rsidRPr="005B5B70">
              <w:rPr>
                <w:rStyle w:val="Hyperlink"/>
                <w:rFonts w:ascii="Arial" w:eastAsia="Arial" w:hAnsi="Arial" w:cs="Arial"/>
                <w:i/>
                <w:noProof/>
                <w:sz w:val="22"/>
                <w:szCs w:val="22"/>
              </w:rPr>
              <w:t>4.2 Guidance on Specific Fields</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_Toc31396078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11</w:t>
            </w:r>
            <w:r w:rsidR="005B5B70" w:rsidRPr="005B5B70">
              <w:rPr>
                <w:rFonts w:ascii="Arial" w:hAnsi="Arial" w:cs="Arial"/>
                <w:noProof/>
                <w:webHidden/>
                <w:sz w:val="22"/>
                <w:szCs w:val="22"/>
              </w:rPr>
              <w:fldChar w:fldCharType="end"/>
            </w:r>
          </w:hyperlink>
        </w:p>
        <w:p w14:paraId="58701756" w14:textId="2E57EA2D" w:rsidR="005B5B70" w:rsidRPr="005B5B70" w:rsidRDefault="009E5E40">
          <w:pPr>
            <w:pStyle w:val="TOC1"/>
            <w:tabs>
              <w:tab w:val="right" w:leader="dot" w:pos="9465"/>
            </w:tabs>
            <w:rPr>
              <w:rFonts w:ascii="Arial" w:eastAsiaTheme="minorEastAsia" w:hAnsi="Arial" w:cs="Arial"/>
              <w:noProof/>
              <w:sz w:val="22"/>
              <w:szCs w:val="22"/>
              <w:lang w:val="en-GB" w:eastAsia="en-GB"/>
            </w:rPr>
          </w:pPr>
          <w:hyperlink w:anchor="_Toc31396079" w:history="1">
            <w:r w:rsidR="005B5B70" w:rsidRPr="005B5B70">
              <w:rPr>
                <w:rStyle w:val="Hyperlink"/>
                <w:rFonts w:ascii="Arial" w:eastAsia="Arial" w:hAnsi="Arial" w:cs="Arial"/>
                <w:noProof/>
                <w:sz w:val="22"/>
                <w:szCs w:val="22"/>
              </w:rPr>
              <w:t>Chapter 5 – INFORMATION Guidance</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_Toc31396079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17</w:t>
            </w:r>
            <w:r w:rsidR="005B5B70" w:rsidRPr="005B5B70">
              <w:rPr>
                <w:rFonts w:ascii="Arial" w:hAnsi="Arial" w:cs="Arial"/>
                <w:noProof/>
                <w:webHidden/>
                <w:sz w:val="22"/>
                <w:szCs w:val="22"/>
              </w:rPr>
              <w:fldChar w:fldCharType="end"/>
            </w:r>
          </w:hyperlink>
        </w:p>
        <w:p w14:paraId="5F3C1814" w14:textId="3AFB1011" w:rsidR="005B5B70" w:rsidRPr="005B5B70" w:rsidRDefault="009E5E40">
          <w:pPr>
            <w:pStyle w:val="TOC2"/>
            <w:tabs>
              <w:tab w:val="right" w:leader="dot" w:pos="9465"/>
            </w:tabs>
            <w:rPr>
              <w:rFonts w:ascii="Arial" w:eastAsiaTheme="minorEastAsia" w:hAnsi="Arial" w:cs="Arial"/>
              <w:noProof/>
              <w:sz w:val="22"/>
              <w:szCs w:val="22"/>
              <w:lang w:val="en-GB" w:eastAsia="en-GB"/>
            </w:rPr>
          </w:pPr>
          <w:hyperlink w:anchor="_Toc31396080" w:history="1">
            <w:r w:rsidR="005B5B70" w:rsidRPr="005B5B70">
              <w:rPr>
                <w:rStyle w:val="Hyperlink"/>
                <w:rFonts w:ascii="Arial" w:eastAsia="Arial" w:hAnsi="Arial" w:cs="Arial"/>
                <w:i/>
                <w:noProof/>
                <w:sz w:val="22"/>
                <w:szCs w:val="22"/>
              </w:rPr>
              <w:t>5.1 General Guidance</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_Toc31396080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17</w:t>
            </w:r>
            <w:r w:rsidR="005B5B70" w:rsidRPr="005B5B70">
              <w:rPr>
                <w:rFonts w:ascii="Arial" w:hAnsi="Arial" w:cs="Arial"/>
                <w:noProof/>
                <w:webHidden/>
                <w:sz w:val="22"/>
                <w:szCs w:val="22"/>
              </w:rPr>
              <w:fldChar w:fldCharType="end"/>
            </w:r>
          </w:hyperlink>
        </w:p>
        <w:p w14:paraId="1F74AF4E" w14:textId="5193D651" w:rsidR="005B5B70" w:rsidRPr="005B5B70" w:rsidRDefault="009E5E40">
          <w:pPr>
            <w:pStyle w:val="TOC1"/>
            <w:tabs>
              <w:tab w:val="right" w:leader="dot" w:pos="9465"/>
            </w:tabs>
            <w:rPr>
              <w:rFonts w:ascii="Arial" w:eastAsiaTheme="minorEastAsia" w:hAnsi="Arial" w:cs="Arial"/>
              <w:noProof/>
              <w:sz w:val="22"/>
              <w:szCs w:val="22"/>
              <w:lang w:val="en-GB" w:eastAsia="en-GB"/>
            </w:rPr>
          </w:pPr>
          <w:hyperlink w:anchor="_Toc31396081" w:history="1">
            <w:r w:rsidR="005B5B70" w:rsidRPr="005B5B70">
              <w:rPr>
                <w:rStyle w:val="Hyperlink"/>
                <w:rFonts w:ascii="Arial" w:eastAsia="Arial" w:hAnsi="Arial" w:cs="Arial"/>
                <w:noProof/>
                <w:sz w:val="22"/>
                <w:szCs w:val="22"/>
              </w:rPr>
              <w:t>Chapter 6 – SECURITY DETAILS Guidance</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_Toc31396081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18</w:t>
            </w:r>
            <w:r w:rsidR="005B5B70" w:rsidRPr="005B5B70">
              <w:rPr>
                <w:rFonts w:ascii="Arial" w:hAnsi="Arial" w:cs="Arial"/>
                <w:noProof/>
                <w:webHidden/>
                <w:sz w:val="22"/>
                <w:szCs w:val="22"/>
              </w:rPr>
              <w:fldChar w:fldCharType="end"/>
            </w:r>
          </w:hyperlink>
        </w:p>
        <w:p w14:paraId="5A75F65C" w14:textId="04797500" w:rsidR="005B5B70" w:rsidRPr="005B5B70" w:rsidRDefault="009E5E40">
          <w:pPr>
            <w:pStyle w:val="TOC2"/>
            <w:tabs>
              <w:tab w:val="right" w:leader="dot" w:pos="9465"/>
            </w:tabs>
            <w:rPr>
              <w:rFonts w:ascii="Arial" w:eastAsiaTheme="minorEastAsia" w:hAnsi="Arial" w:cs="Arial"/>
              <w:noProof/>
              <w:sz w:val="22"/>
              <w:szCs w:val="22"/>
              <w:lang w:val="en-GB" w:eastAsia="en-GB"/>
            </w:rPr>
          </w:pPr>
          <w:hyperlink w:anchor="_Toc31396082" w:history="1">
            <w:r w:rsidR="005B5B70" w:rsidRPr="005B5B70">
              <w:rPr>
                <w:rStyle w:val="Hyperlink"/>
                <w:rFonts w:ascii="Arial" w:eastAsia="Arial" w:hAnsi="Arial" w:cs="Arial"/>
                <w:i/>
                <w:noProof/>
                <w:sz w:val="22"/>
                <w:szCs w:val="22"/>
              </w:rPr>
              <w:t>6.1 General Guidance</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_Toc31396082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18</w:t>
            </w:r>
            <w:r w:rsidR="005B5B70" w:rsidRPr="005B5B70">
              <w:rPr>
                <w:rFonts w:ascii="Arial" w:hAnsi="Arial" w:cs="Arial"/>
                <w:noProof/>
                <w:webHidden/>
                <w:sz w:val="22"/>
                <w:szCs w:val="22"/>
              </w:rPr>
              <w:fldChar w:fldCharType="end"/>
            </w:r>
          </w:hyperlink>
        </w:p>
        <w:p w14:paraId="7A791C02" w14:textId="4B063E40" w:rsidR="005B5B70" w:rsidRPr="005B5B70" w:rsidRDefault="009E5E40">
          <w:pPr>
            <w:pStyle w:val="TOC2"/>
            <w:tabs>
              <w:tab w:val="right" w:leader="dot" w:pos="9465"/>
            </w:tabs>
            <w:rPr>
              <w:rFonts w:ascii="Arial" w:eastAsiaTheme="minorEastAsia" w:hAnsi="Arial" w:cs="Arial"/>
              <w:noProof/>
              <w:sz w:val="22"/>
              <w:szCs w:val="22"/>
              <w:lang w:val="en-GB" w:eastAsia="en-GB"/>
            </w:rPr>
          </w:pPr>
          <w:hyperlink w:anchor="_Toc31396083" w:history="1">
            <w:r w:rsidR="005B5B70" w:rsidRPr="005B5B70">
              <w:rPr>
                <w:rStyle w:val="Hyperlink"/>
                <w:rFonts w:ascii="Arial" w:eastAsia="Arial" w:hAnsi="Arial" w:cs="Arial"/>
                <w:i/>
                <w:noProof/>
                <w:sz w:val="22"/>
                <w:szCs w:val="22"/>
              </w:rPr>
              <w:t>6.2 Guidance on Specific Fields</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_Toc31396083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18</w:t>
            </w:r>
            <w:r w:rsidR="005B5B70" w:rsidRPr="005B5B70">
              <w:rPr>
                <w:rFonts w:ascii="Arial" w:hAnsi="Arial" w:cs="Arial"/>
                <w:noProof/>
                <w:webHidden/>
                <w:sz w:val="22"/>
                <w:szCs w:val="22"/>
              </w:rPr>
              <w:fldChar w:fldCharType="end"/>
            </w:r>
          </w:hyperlink>
        </w:p>
        <w:p w14:paraId="13346AD8" w14:textId="0DD4F195" w:rsidR="005B5B70" w:rsidRPr="005B5B70" w:rsidRDefault="009E5E40">
          <w:pPr>
            <w:pStyle w:val="TOC1"/>
            <w:tabs>
              <w:tab w:val="right" w:leader="dot" w:pos="9465"/>
            </w:tabs>
            <w:rPr>
              <w:rFonts w:ascii="Arial" w:eastAsiaTheme="minorEastAsia" w:hAnsi="Arial" w:cs="Arial"/>
              <w:noProof/>
              <w:sz w:val="22"/>
              <w:szCs w:val="22"/>
              <w:lang w:val="en-GB" w:eastAsia="en-GB"/>
            </w:rPr>
          </w:pPr>
          <w:hyperlink w:anchor="_Toc31396084" w:history="1">
            <w:r w:rsidR="005B5B70" w:rsidRPr="005B5B70">
              <w:rPr>
                <w:rStyle w:val="Hyperlink"/>
                <w:rFonts w:ascii="Arial" w:eastAsia="Arial" w:hAnsi="Arial" w:cs="Arial"/>
                <w:noProof/>
                <w:sz w:val="22"/>
                <w:szCs w:val="22"/>
              </w:rPr>
              <w:t>Chapter 7 – SUBSCRIPTION AGREEMENT Guidance</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_Toc31396084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20</w:t>
            </w:r>
            <w:r w:rsidR="005B5B70" w:rsidRPr="005B5B70">
              <w:rPr>
                <w:rFonts w:ascii="Arial" w:hAnsi="Arial" w:cs="Arial"/>
                <w:noProof/>
                <w:webHidden/>
                <w:sz w:val="22"/>
                <w:szCs w:val="22"/>
              </w:rPr>
              <w:fldChar w:fldCharType="end"/>
            </w:r>
          </w:hyperlink>
        </w:p>
        <w:p w14:paraId="5CF3AC85" w14:textId="09F79C24" w:rsidR="005B5B70" w:rsidRPr="005B5B70" w:rsidRDefault="009E5E40">
          <w:pPr>
            <w:pStyle w:val="TOC2"/>
            <w:tabs>
              <w:tab w:val="right" w:leader="dot" w:pos="9465"/>
            </w:tabs>
            <w:rPr>
              <w:rFonts w:ascii="Arial" w:eastAsiaTheme="minorEastAsia" w:hAnsi="Arial" w:cs="Arial"/>
              <w:noProof/>
              <w:sz w:val="22"/>
              <w:szCs w:val="22"/>
              <w:lang w:val="en-GB" w:eastAsia="en-GB"/>
            </w:rPr>
          </w:pPr>
          <w:hyperlink w:anchor="_Toc31396085" w:history="1">
            <w:r w:rsidR="005B5B70" w:rsidRPr="005B5B70">
              <w:rPr>
                <w:rStyle w:val="Hyperlink"/>
                <w:rFonts w:ascii="Arial" w:eastAsia="Arial" w:hAnsi="Arial" w:cs="Arial"/>
                <w:i/>
                <w:noProof/>
                <w:sz w:val="22"/>
                <w:szCs w:val="22"/>
              </w:rPr>
              <w:t>7.1 General Guidance</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_Toc31396085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20</w:t>
            </w:r>
            <w:r w:rsidR="005B5B70" w:rsidRPr="005B5B70">
              <w:rPr>
                <w:rFonts w:ascii="Arial" w:hAnsi="Arial" w:cs="Arial"/>
                <w:noProof/>
                <w:webHidden/>
                <w:sz w:val="22"/>
                <w:szCs w:val="22"/>
              </w:rPr>
              <w:fldChar w:fldCharType="end"/>
            </w:r>
          </w:hyperlink>
        </w:p>
        <w:p w14:paraId="0B2E522C" w14:textId="2658C792" w:rsidR="005B5B70" w:rsidRPr="005B5B70" w:rsidRDefault="009E5E40">
          <w:pPr>
            <w:pStyle w:val="TOC2"/>
            <w:tabs>
              <w:tab w:val="right" w:leader="dot" w:pos="9465"/>
            </w:tabs>
            <w:rPr>
              <w:rFonts w:ascii="Arial" w:eastAsiaTheme="minorEastAsia" w:hAnsi="Arial" w:cs="Arial"/>
              <w:noProof/>
              <w:sz w:val="22"/>
              <w:szCs w:val="22"/>
              <w:lang w:val="en-GB" w:eastAsia="en-GB"/>
            </w:rPr>
          </w:pPr>
          <w:hyperlink w:anchor="_Toc31396086" w:history="1">
            <w:r w:rsidR="005B5B70" w:rsidRPr="005B5B70">
              <w:rPr>
                <w:rStyle w:val="Hyperlink"/>
                <w:rFonts w:ascii="Arial" w:eastAsia="Arial" w:hAnsi="Arial" w:cs="Arial"/>
                <w:i/>
                <w:noProof/>
                <w:sz w:val="22"/>
                <w:szCs w:val="22"/>
              </w:rPr>
              <w:t>7.2 Guidance on Specific Fields</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_Toc31396086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21</w:t>
            </w:r>
            <w:r w:rsidR="005B5B70" w:rsidRPr="005B5B70">
              <w:rPr>
                <w:rFonts w:ascii="Arial" w:hAnsi="Arial" w:cs="Arial"/>
                <w:noProof/>
                <w:webHidden/>
                <w:sz w:val="22"/>
                <w:szCs w:val="22"/>
              </w:rPr>
              <w:fldChar w:fldCharType="end"/>
            </w:r>
          </w:hyperlink>
        </w:p>
        <w:p w14:paraId="0B130C06" w14:textId="39CE8B0A" w:rsidR="005B5B70" w:rsidRPr="005B5B70" w:rsidRDefault="009E5E40">
          <w:pPr>
            <w:pStyle w:val="TOC1"/>
            <w:tabs>
              <w:tab w:val="right" w:leader="dot" w:pos="9465"/>
            </w:tabs>
            <w:rPr>
              <w:rFonts w:ascii="Arial" w:eastAsiaTheme="minorEastAsia" w:hAnsi="Arial" w:cs="Arial"/>
              <w:noProof/>
              <w:sz w:val="22"/>
              <w:szCs w:val="22"/>
              <w:lang w:val="en-GB" w:eastAsia="en-GB"/>
            </w:rPr>
          </w:pPr>
          <w:hyperlink w:anchor="_Toc31396087" w:history="1">
            <w:r w:rsidR="005B5B70" w:rsidRPr="005B5B70">
              <w:rPr>
                <w:rStyle w:val="Hyperlink"/>
                <w:rFonts w:ascii="Arial" w:eastAsia="Arial" w:hAnsi="Arial" w:cs="Arial"/>
                <w:noProof/>
                <w:sz w:val="22"/>
                <w:szCs w:val="22"/>
              </w:rPr>
              <w:t>Chapter 8 – FISCAL AND REGULATORY Guidance</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_Toc31396087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24</w:t>
            </w:r>
            <w:r w:rsidR="005B5B70" w:rsidRPr="005B5B70">
              <w:rPr>
                <w:rFonts w:ascii="Arial" w:hAnsi="Arial" w:cs="Arial"/>
                <w:noProof/>
                <w:webHidden/>
                <w:sz w:val="22"/>
                <w:szCs w:val="22"/>
              </w:rPr>
              <w:fldChar w:fldCharType="end"/>
            </w:r>
          </w:hyperlink>
        </w:p>
        <w:p w14:paraId="74C0F1D5" w14:textId="21C354C2" w:rsidR="005B5B70" w:rsidRPr="005B5B70" w:rsidRDefault="009E5E40">
          <w:pPr>
            <w:pStyle w:val="TOC2"/>
            <w:tabs>
              <w:tab w:val="right" w:leader="dot" w:pos="9465"/>
            </w:tabs>
            <w:rPr>
              <w:rFonts w:ascii="Arial" w:eastAsiaTheme="minorEastAsia" w:hAnsi="Arial" w:cs="Arial"/>
              <w:noProof/>
              <w:sz w:val="22"/>
              <w:szCs w:val="22"/>
              <w:lang w:val="en-GB" w:eastAsia="en-GB"/>
            </w:rPr>
          </w:pPr>
          <w:hyperlink w:anchor="_Toc31396088" w:history="1">
            <w:r w:rsidR="005B5B70" w:rsidRPr="005B5B70">
              <w:rPr>
                <w:rStyle w:val="Hyperlink"/>
                <w:rFonts w:ascii="Arial" w:eastAsia="Arial" w:hAnsi="Arial" w:cs="Arial"/>
                <w:i/>
                <w:noProof/>
                <w:sz w:val="22"/>
                <w:szCs w:val="22"/>
              </w:rPr>
              <w:t>8.1 General Guidance</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_Toc31396088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24</w:t>
            </w:r>
            <w:r w:rsidR="005B5B70" w:rsidRPr="005B5B70">
              <w:rPr>
                <w:rFonts w:ascii="Arial" w:hAnsi="Arial" w:cs="Arial"/>
                <w:noProof/>
                <w:webHidden/>
                <w:sz w:val="22"/>
                <w:szCs w:val="22"/>
              </w:rPr>
              <w:fldChar w:fldCharType="end"/>
            </w:r>
          </w:hyperlink>
        </w:p>
        <w:p w14:paraId="290A664D" w14:textId="10D75D7D" w:rsidR="005B5B70" w:rsidRPr="005B5B70" w:rsidRDefault="009E5E40">
          <w:pPr>
            <w:pStyle w:val="TOC2"/>
            <w:tabs>
              <w:tab w:val="right" w:leader="dot" w:pos="9465"/>
            </w:tabs>
            <w:rPr>
              <w:rFonts w:ascii="Arial" w:eastAsiaTheme="minorEastAsia" w:hAnsi="Arial" w:cs="Arial"/>
              <w:noProof/>
              <w:sz w:val="22"/>
              <w:szCs w:val="22"/>
              <w:lang w:val="en-GB" w:eastAsia="en-GB"/>
            </w:rPr>
          </w:pPr>
          <w:hyperlink w:anchor="_Toc31396089" w:history="1">
            <w:r w:rsidR="005B5B70" w:rsidRPr="005B5B70">
              <w:rPr>
                <w:rStyle w:val="Hyperlink"/>
                <w:rFonts w:ascii="Arial" w:eastAsia="Arial" w:hAnsi="Arial" w:cs="Arial"/>
                <w:i/>
                <w:noProof/>
                <w:sz w:val="22"/>
                <w:szCs w:val="22"/>
              </w:rPr>
              <w:t>8.2 Guidance on Specific Fields</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_Toc31396089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24</w:t>
            </w:r>
            <w:r w:rsidR="005B5B70" w:rsidRPr="005B5B70">
              <w:rPr>
                <w:rFonts w:ascii="Arial" w:hAnsi="Arial" w:cs="Arial"/>
                <w:noProof/>
                <w:webHidden/>
                <w:sz w:val="22"/>
                <w:szCs w:val="22"/>
              </w:rPr>
              <w:fldChar w:fldCharType="end"/>
            </w:r>
          </w:hyperlink>
        </w:p>
        <w:p w14:paraId="0F035D6F" w14:textId="3AAC1CC7" w:rsidR="005B5B70" w:rsidRPr="005B5B70" w:rsidRDefault="009E5E40">
          <w:pPr>
            <w:pStyle w:val="TOC1"/>
            <w:tabs>
              <w:tab w:val="right" w:leader="dot" w:pos="9465"/>
            </w:tabs>
            <w:rPr>
              <w:rFonts w:ascii="Arial" w:eastAsiaTheme="minorEastAsia" w:hAnsi="Arial" w:cs="Arial"/>
              <w:noProof/>
              <w:sz w:val="22"/>
              <w:szCs w:val="22"/>
              <w:lang w:val="en-GB" w:eastAsia="en-GB"/>
            </w:rPr>
          </w:pPr>
          <w:hyperlink w:anchor="_Toc31396090" w:history="1">
            <w:r w:rsidR="005B5B70" w:rsidRPr="005B5B70">
              <w:rPr>
                <w:rStyle w:val="Hyperlink"/>
                <w:rFonts w:ascii="Arial" w:eastAsia="Arial" w:hAnsi="Arial" w:cs="Arial"/>
                <w:noProof/>
                <w:sz w:val="22"/>
                <w:szCs w:val="22"/>
              </w:rPr>
              <w:t>Chapter 9 – BROKER REMUNERATION AND DEDUCTIONS Guidance</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_Toc31396090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29</w:t>
            </w:r>
            <w:r w:rsidR="005B5B70" w:rsidRPr="005B5B70">
              <w:rPr>
                <w:rFonts w:ascii="Arial" w:hAnsi="Arial" w:cs="Arial"/>
                <w:noProof/>
                <w:webHidden/>
                <w:sz w:val="22"/>
                <w:szCs w:val="22"/>
              </w:rPr>
              <w:fldChar w:fldCharType="end"/>
            </w:r>
          </w:hyperlink>
        </w:p>
        <w:p w14:paraId="0F242D6A" w14:textId="52EE78C9" w:rsidR="005B5B70" w:rsidRPr="005B5B70" w:rsidRDefault="009E5E40">
          <w:pPr>
            <w:pStyle w:val="TOC2"/>
            <w:tabs>
              <w:tab w:val="right" w:leader="dot" w:pos="9465"/>
            </w:tabs>
            <w:rPr>
              <w:rFonts w:ascii="Arial" w:eastAsiaTheme="minorEastAsia" w:hAnsi="Arial" w:cs="Arial"/>
              <w:noProof/>
              <w:sz w:val="22"/>
              <w:szCs w:val="22"/>
              <w:lang w:val="en-GB" w:eastAsia="en-GB"/>
            </w:rPr>
          </w:pPr>
          <w:hyperlink w:anchor="_Toc31396091" w:history="1">
            <w:r w:rsidR="005B5B70" w:rsidRPr="005B5B70">
              <w:rPr>
                <w:rStyle w:val="Hyperlink"/>
                <w:rFonts w:ascii="Arial" w:eastAsia="Arial" w:hAnsi="Arial" w:cs="Arial"/>
                <w:i/>
                <w:noProof/>
                <w:sz w:val="22"/>
                <w:szCs w:val="22"/>
              </w:rPr>
              <w:t>9.1 General Guidance</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_Toc31396091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29</w:t>
            </w:r>
            <w:r w:rsidR="005B5B70" w:rsidRPr="005B5B70">
              <w:rPr>
                <w:rFonts w:ascii="Arial" w:hAnsi="Arial" w:cs="Arial"/>
                <w:noProof/>
                <w:webHidden/>
                <w:sz w:val="22"/>
                <w:szCs w:val="22"/>
              </w:rPr>
              <w:fldChar w:fldCharType="end"/>
            </w:r>
          </w:hyperlink>
        </w:p>
        <w:p w14:paraId="79EEF6EC" w14:textId="0DD8A052" w:rsidR="005B5B70" w:rsidRPr="005B5B70" w:rsidRDefault="009E5E40">
          <w:pPr>
            <w:pStyle w:val="TOC2"/>
            <w:tabs>
              <w:tab w:val="right" w:leader="dot" w:pos="9465"/>
            </w:tabs>
            <w:rPr>
              <w:rFonts w:ascii="Arial" w:eastAsiaTheme="minorEastAsia" w:hAnsi="Arial" w:cs="Arial"/>
              <w:noProof/>
              <w:sz w:val="22"/>
              <w:szCs w:val="22"/>
              <w:lang w:val="en-GB" w:eastAsia="en-GB"/>
            </w:rPr>
          </w:pPr>
          <w:hyperlink w:anchor="_Toc31396092" w:history="1">
            <w:r w:rsidR="005B5B70" w:rsidRPr="005B5B70">
              <w:rPr>
                <w:rStyle w:val="Hyperlink"/>
                <w:rFonts w:ascii="Arial" w:eastAsia="Arial" w:hAnsi="Arial" w:cs="Arial"/>
                <w:i/>
                <w:noProof/>
                <w:sz w:val="22"/>
                <w:szCs w:val="22"/>
              </w:rPr>
              <w:t>9.2 Guidance on Specific Fields</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_Toc31396092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29</w:t>
            </w:r>
            <w:r w:rsidR="005B5B70" w:rsidRPr="005B5B70">
              <w:rPr>
                <w:rFonts w:ascii="Arial" w:hAnsi="Arial" w:cs="Arial"/>
                <w:noProof/>
                <w:webHidden/>
                <w:sz w:val="22"/>
                <w:szCs w:val="22"/>
              </w:rPr>
              <w:fldChar w:fldCharType="end"/>
            </w:r>
          </w:hyperlink>
        </w:p>
        <w:p w14:paraId="5F83BD82" w14:textId="593BA55A" w:rsidR="005B5B70" w:rsidRPr="005B5B70" w:rsidRDefault="009E5E40">
          <w:pPr>
            <w:pStyle w:val="TOC1"/>
            <w:tabs>
              <w:tab w:val="right" w:leader="dot" w:pos="9465"/>
            </w:tabs>
            <w:rPr>
              <w:rFonts w:ascii="Arial" w:eastAsiaTheme="minorEastAsia" w:hAnsi="Arial" w:cs="Arial"/>
              <w:noProof/>
              <w:sz w:val="22"/>
              <w:szCs w:val="22"/>
              <w:lang w:val="en-GB" w:eastAsia="en-GB"/>
            </w:rPr>
          </w:pPr>
          <w:hyperlink w:anchor="_Toc31396093" w:history="1">
            <w:r w:rsidR="005B5B70" w:rsidRPr="005B5B70">
              <w:rPr>
                <w:rStyle w:val="Hyperlink"/>
                <w:rFonts w:ascii="Arial" w:eastAsia="Arial" w:hAnsi="Arial" w:cs="Arial"/>
                <w:noProof/>
                <w:sz w:val="22"/>
                <w:szCs w:val="22"/>
              </w:rPr>
              <w:t>Appendix 1 – Risk Details – Usage of Headings</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_Toc31396093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30</w:t>
            </w:r>
            <w:r w:rsidR="005B5B70" w:rsidRPr="005B5B70">
              <w:rPr>
                <w:rFonts w:ascii="Arial" w:hAnsi="Arial" w:cs="Arial"/>
                <w:noProof/>
                <w:webHidden/>
                <w:sz w:val="22"/>
                <w:szCs w:val="22"/>
              </w:rPr>
              <w:fldChar w:fldCharType="end"/>
            </w:r>
          </w:hyperlink>
        </w:p>
        <w:p w14:paraId="5C0A1524" w14:textId="1272098B" w:rsidR="005B5B70" w:rsidRPr="005B5B70" w:rsidRDefault="009E5E40">
          <w:pPr>
            <w:pStyle w:val="TOC1"/>
            <w:tabs>
              <w:tab w:val="right" w:leader="dot" w:pos="9465"/>
            </w:tabs>
            <w:rPr>
              <w:rFonts w:ascii="Arial" w:eastAsiaTheme="minorEastAsia" w:hAnsi="Arial" w:cs="Arial"/>
              <w:noProof/>
              <w:sz w:val="22"/>
              <w:szCs w:val="22"/>
              <w:lang w:val="en-GB" w:eastAsia="en-GB"/>
            </w:rPr>
          </w:pPr>
          <w:hyperlink w:anchor="_Toc31396094" w:history="1">
            <w:r w:rsidR="005B5B70" w:rsidRPr="005B5B70">
              <w:rPr>
                <w:rStyle w:val="Hyperlink"/>
                <w:rFonts w:ascii="Arial" w:eastAsia="Arial" w:hAnsi="Arial" w:cs="Arial"/>
                <w:noProof/>
                <w:sz w:val="22"/>
                <w:szCs w:val="22"/>
              </w:rPr>
              <w:t>Appendix 2 – MRC Examples</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_Toc31396094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31</w:t>
            </w:r>
            <w:r w:rsidR="005B5B70" w:rsidRPr="005B5B70">
              <w:rPr>
                <w:rFonts w:ascii="Arial" w:hAnsi="Arial" w:cs="Arial"/>
                <w:noProof/>
                <w:webHidden/>
                <w:sz w:val="22"/>
                <w:szCs w:val="22"/>
              </w:rPr>
              <w:fldChar w:fldCharType="end"/>
            </w:r>
          </w:hyperlink>
        </w:p>
        <w:p w14:paraId="09D9FC05" w14:textId="574CD373" w:rsidR="005B5B70" w:rsidRPr="005B5B70" w:rsidRDefault="009E5E40">
          <w:pPr>
            <w:pStyle w:val="TOC1"/>
            <w:tabs>
              <w:tab w:val="right" w:leader="dot" w:pos="9465"/>
            </w:tabs>
            <w:rPr>
              <w:rFonts w:ascii="Arial" w:eastAsiaTheme="minorEastAsia" w:hAnsi="Arial" w:cs="Arial"/>
              <w:noProof/>
              <w:sz w:val="22"/>
              <w:szCs w:val="22"/>
              <w:lang w:val="en-GB" w:eastAsia="en-GB"/>
            </w:rPr>
          </w:pPr>
          <w:hyperlink w:anchor="_Toc31396095" w:history="1">
            <w:r w:rsidR="005B5B70" w:rsidRPr="005B5B70">
              <w:rPr>
                <w:rStyle w:val="Hyperlink"/>
                <w:rFonts w:ascii="Arial" w:eastAsia="Arial" w:hAnsi="Arial" w:cs="Arial"/>
                <w:noProof/>
                <w:sz w:val="22"/>
                <w:szCs w:val="22"/>
              </w:rPr>
              <w:t>Appendix 3 – BIPAR Principles</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_Toc31396095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61</w:t>
            </w:r>
            <w:r w:rsidR="005B5B70" w:rsidRPr="005B5B70">
              <w:rPr>
                <w:rFonts w:ascii="Arial" w:hAnsi="Arial" w:cs="Arial"/>
                <w:noProof/>
                <w:webHidden/>
                <w:sz w:val="22"/>
                <w:szCs w:val="22"/>
              </w:rPr>
              <w:fldChar w:fldCharType="end"/>
            </w:r>
          </w:hyperlink>
        </w:p>
        <w:p w14:paraId="0AA5FB8D" w14:textId="1F622761" w:rsidR="005B5B70" w:rsidRPr="005B5B70" w:rsidRDefault="009E5E40">
          <w:pPr>
            <w:pStyle w:val="TOC1"/>
            <w:tabs>
              <w:tab w:val="right" w:leader="dot" w:pos="9465"/>
            </w:tabs>
            <w:rPr>
              <w:rFonts w:ascii="Arial" w:eastAsiaTheme="minorEastAsia" w:hAnsi="Arial" w:cs="Arial"/>
              <w:noProof/>
              <w:sz w:val="22"/>
              <w:szCs w:val="22"/>
              <w:lang w:val="en-GB" w:eastAsia="en-GB"/>
            </w:rPr>
          </w:pPr>
          <w:hyperlink w:anchor="_Toc31396096" w:history="1">
            <w:r w:rsidR="005B5B70" w:rsidRPr="005B5B70">
              <w:rPr>
                <w:rStyle w:val="Hyperlink"/>
                <w:rFonts w:ascii="Arial" w:eastAsia="Arial" w:hAnsi="Arial" w:cs="Arial"/>
                <w:noProof/>
                <w:sz w:val="22"/>
                <w:szCs w:val="22"/>
              </w:rPr>
              <w:t>Appendix 4 – Document Revision / Change History</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_Toc31396096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62</w:t>
            </w:r>
            <w:r w:rsidR="005B5B70" w:rsidRPr="005B5B70">
              <w:rPr>
                <w:rFonts w:ascii="Arial" w:hAnsi="Arial" w:cs="Arial"/>
                <w:noProof/>
                <w:webHidden/>
                <w:sz w:val="22"/>
                <w:szCs w:val="22"/>
              </w:rPr>
              <w:fldChar w:fldCharType="end"/>
            </w:r>
          </w:hyperlink>
        </w:p>
        <w:p w14:paraId="1CAFF863" w14:textId="34C4D2A7" w:rsidR="005B5B70" w:rsidRPr="005B5B70" w:rsidRDefault="009E5E40">
          <w:pPr>
            <w:pStyle w:val="TOC1"/>
            <w:tabs>
              <w:tab w:val="right" w:leader="dot" w:pos="9465"/>
            </w:tabs>
            <w:rPr>
              <w:rFonts w:ascii="Arial" w:eastAsiaTheme="minorEastAsia" w:hAnsi="Arial" w:cs="Arial"/>
              <w:noProof/>
              <w:sz w:val="22"/>
              <w:szCs w:val="22"/>
              <w:lang w:val="en-GB" w:eastAsia="en-GB"/>
            </w:rPr>
          </w:pPr>
          <w:hyperlink w:anchor="_Toc31396097" w:history="1">
            <w:r w:rsidR="005B5B70" w:rsidRPr="005B5B70">
              <w:rPr>
                <w:rStyle w:val="Hyperlink"/>
                <w:rFonts w:ascii="Arial" w:eastAsia="Arial" w:hAnsi="Arial" w:cs="Arial"/>
                <w:noProof/>
                <w:sz w:val="22"/>
                <w:szCs w:val="22"/>
              </w:rPr>
              <w:t>Appendix 6 – Non proportional Excess of Loss Reinsurance Jacket</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_Toc31396097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63</w:t>
            </w:r>
            <w:r w:rsidR="005B5B70" w:rsidRPr="005B5B70">
              <w:rPr>
                <w:rFonts w:ascii="Arial" w:hAnsi="Arial" w:cs="Arial"/>
                <w:noProof/>
                <w:webHidden/>
                <w:sz w:val="22"/>
                <w:szCs w:val="22"/>
              </w:rPr>
              <w:fldChar w:fldCharType="end"/>
            </w:r>
          </w:hyperlink>
        </w:p>
        <w:p w14:paraId="25D8AF3B" w14:textId="7EAABD74" w:rsidR="005B5B70" w:rsidRPr="005B5B70" w:rsidRDefault="009E5E40">
          <w:pPr>
            <w:pStyle w:val="TOC1"/>
            <w:tabs>
              <w:tab w:val="right" w:leader="dot" w:pos="9465"/>
            </w:tabs>
            <w:rPr>
              <w:rFonts w:ascii="Arial" w:eastAsiaTheme="minorEastAsia" w:hAnsi="Arial" w:cs="Arial"/>
              <w:noProof/>
              <w:sz w:val="22"/>
              <w:szCs w:val="22"/>
              <w:lang w:val="en-GB" w:eastAsia="en-GB"/>
            </w:rPr>
          </w:pPr>
          <w:hyperlink w:anchor="_Toc31396098" w:history="1">
            <w:r w:rsidR="005B5B70" w:rsidRPr="005B5B70">
              <w:rPr>
                <w:rStyle w:val="Hyperlink"/>
                <w:rFonts w:ascii="Arial" w:eastAsia="Arial" w:hAnsi="Arial" w:cs="Arial"/>
                <w:noProof/>
                <w:sz w:val="22"/>
                <w:szCs w:val="22"/>
              </w:rPr>
              <w:t>Appendix 7 – Lloyd’s Brussels Contract Addendum (LBCA)</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_Toc31396098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67</w:t>
            </w:r>
            <w:r w:rsidR="005B5B70" w:rsidRPr="005B5B70">
              <w:rPr>
                <w:rFonts w:ascii="Arial" w:hAnsi="Arial" w:cs="Arial"/>
                <w:noProof/>
                <w:webHidden/>
                <w:sz w:val="22"/>
                <w:szCs w:val="22"/>
              </w:rPr>
              <w:fldChar w:fldCharType="end"/>
            </w:r>
          </w:hyperlink>
        </w:p>
        <w:p w14:paraId="04C725EE" w14:textId="7A5896F5" w:rsidR="005B5B70" w:rsidRPr="005B5B70" w:rsidRDefault="009E5E40">
          <w:pPr>
            <w:pStyle w:val="TOC1"/>
            <w:tabs>
              <w:tab w:val="right" w:leader="dot" w:pos="9465"/>
            </w:tabs>
            <w:rPr>
              <w:rFonts w:ascii="Arial" w:eastAsiaTheme="minorEastAsia" w:hAnsi="Arial" w:cs="Arial"/>
              <w:noProof/>
              <w:sz w:val="22"/>
              <w:szCs w:val="22"/>
              <w:lang w:val="en-GB" w:eastAsia="en-GB"/>
            </w:rPr>
          </w:pPr>
          <w:hyperlink w:anchor="_Toc31396099" w:history="1">
            <w:r w:rsidR="005B5B70" w:rsidRPr="005B5B70">
              <w:rPr>
                <w:rStyle w:val="Hyperlink"/>
                <w:rFonts w:ascii="Arial" w:eastAsia="Arial" w:hAnsi="Arial" w:cs="Arial"/>
                <w:noProof/>
                <w:sz w:val="22"/>
                <w:szCs w:val="22"/>
              </w:rPr>
              <w:t>Appendix 8 – Mid Term Alterations</w:t>
            </w:r>
            <w:r w:rsidR="005B5B70" w:rsidRPr="005B5B70">
              <w:rPr>
                <w:rFonts w:ascii="Arial" w:hAnsi="Arial" w:cs="Arial"/>
                <w:noProof/>
                <w:webHidden/>
                <w:sz w:val="22"/>
                <w:szCs w:val="22"/>
              </w:rPr>
              <w:tab/>
            </w:r>
            <w:r w:rsidR="005B5B70" w:rsidRPr="005B5B70">
              <w:rPr>
                <w:rFonts w:ascii="Arial" w:hAnsi="Arial" w:cs="Arial"/>
                <w:noProof/>
                <w:webHidden/>
                <w:sz w:val="22"/>
                <w:szCs w:val="22"/>
              </w:rPr>
              <w:fldChar w:fldCharType="begin"/>
            </w:r>
            <w:r w:rsidR="005B5B70" w:rsidRPr="005B5B70">
              <w:rPr>
                <w:rFonts w:ascii="Arial" w:hAnsi="Arial" w:cs="Arial"/>
                <w:noProof/>
                <w:webHidden/>
                <w:sz w:val="22"/>
                <w:szCs w:val="22"/>
              </w:rPr>
              <w:instrText xml:space="preserve"> PAGEREF _Toc31396099 \h </w:instrText>
            </w:r>
            <w:r w:rsidR="005B5B70" w:rsidRPr="005B5B70">
              <w:rPr>
                <w:rFonts w:ascii="Arial" w:hAnsi="Arial" w:cs="Arial"/>
                <w:noProof/>
                <w:webHidden/>
                <w:sz w:val="22"/>
                <w:szCs w:val="22"/>
              </w:rPr>
            </w:r>
            <w:r w:rsidR="005B5B70" w:rsidRPr="005B5B70">
              <w:rPr>
                <w:rFonts w:ascii="Arial" w:hAnsi="Arial" w:cs="Arial"/>
                <w:noProof/>
                <w:webHidden/>
                <w:sz w:val="22"/>
                <w:szCs w:val="22"/>
              </w:rPr>
              <w:fldChar w:fldCharType="separate"/>
            </w:r>
            <w:r w:rsidR="00FB1F1F">
              <w:rPr>
                <w:rFonts w:ascii="Arial" w:hAnsi="Arial" w:cs="Arial"/>
                <w:noProof/>
                <w:webHidden/>
                <w:sz w:val="22"/>
                <w:szCs w:val="22"/>
              </w:rPr>
              <w:t>76</w:t>
            </w:r>
            <w:r w:rsidR="005B5B70" w:rsidRPr="005B5B70">
              <w:rPr>
                <w:rFonts w:ascii="Arial" w:hAnsi="Arial" w:cs="Arial"/>
                <w:noProof/>
                <w:webHidden/>
                <w:sz w:val="22"/>
                <w:szCs w:val="22"/>
              </w:rPr>
              <w:fldChar w:fldCharType="end"/>
            </w:r>
          </w:hyperlink>
        </w:p>
        <w:p w14:paraId="2E75D727" w14:textId="6FE582EE" w:rsidR="00592C29" w:rsidRPr="005B5B70" w:rsidRDefault="005B5B70" w:rsidP="005B5B70">
          <w:r w:rsidRPr="005B5B70">
            <w:rPr>
              <w:rFonts w:ascii="Arial" w:hAnsi="Arial" w:cs="Arial"/>
              <w:b/>
              <w:bCs/>
              <w:noProof/>
              <w:sz w:val="22"/>
              <w:szCs w:val="22"/>
            </w:rPr>
            <w:fldChar w:fldCharType="end"/>
          </w:r>
        </w:p>
      </w:sdtContent>
    </w:sdt>
    <w:p w14:paraId="180E3769" w14:textId="77777777" w:rsidR="005B5B70" w:rsidRDefault="005B5B70">
      <w:pPr>
        <w:spacing w:after="200" w:line="276" w:lineRule="auto"/>
        <w:rPr>
          <w:sz w:val="22"/>
          <w:szCs w:val="22"/>
        </w:rPr>
        <w:sectPr w:rsidR="005B5B70" w:rsidSect="005B5B70">
          <w:footerReference w:type="default" r:id="rId9"/>
          <w:pgSz w:w="11906" w:h="16838"/>
          <w:pgMar w:top="851" w:right="991" w:bottom="1135" w:left="1440" w:header="708" w:footer="708" w:gutter="0"/>
          <w:cols w:space="708"/>
        </w:sectPr>
      </w:pPr>
    </w:p>
    <w:p w14:paraId="15B2A1AE" w14:textId="77777777" w:rsidR="00592C29" w:rsidRDefault="0048296D" w:rsidP="00716601">
      <w:pPr>
        <w:pStyle w:val="Heading1"/>
        <w:rPr>
          <w:sz w:val="40"/>
          <w:szCs w:val="40"/>
        </w:rPr>
      </w:pPr>
      <w:bookmarkStart w:id="0" w:name="_Toc21706626"/>
      <w:bookmarkStart w:id="1" w:name="_Toc31396061"/>
      <w:r>
        <w:rPr>
          <w:rFonts w:ascii="Arial" w:eastAsia="Arial" w:hAnsi="Arial" w:cs="Arial"/>
          <w:color w:val="0070C0"/>
          <w:sz w:val="40"/>
          <w:szCs w:val="40"/>
        </w:rPr>
        <w:lastRenderedPageBreak/>
        <w:t>Chapter 1 - Introduction</w:t>
      </w:r>
      <w:bookmarkEnd w:id="0"/>
      <w:bookmarkEnd w:id="1"/>
    </w:p>
    <w:p w14:paraId="00F155C0" w14:textId="77777777" w:rsidR="00592C29" w:rsidRDefault="00592C29">
      <w:pPr>
        <w:rPr>
          <w:sz w:val="22"/>
          <w:szCs w:val="22"/>
        </w:rPr>
      </w:pPr>
    </w:p>
    <w:p w14:paraId="45734971" w14:textId="77777777" w:rsidR="00592C29" w:rsidRDefault="0048296D">
      <w:pPr>
        <w:pStyle w:val="Heading2"/>
        <w:rPr>
          <w:sz w:val="28"/>
          <w:szCs w:val="28"/>
        </w:rPr>
      </w:pPr>
      <w:bookmarkStart w:id="2" w:name="_Toc21706627"/>
      <w:bookmarkStart w:id="3" w:name="_Toc31396062"/>
      <w:r>
        <w:rPr>
          <w:rFonts w:ascii="Arial" w:eastAsia="Arial" w:hAnsi="Arial" w:cs="Arial"/>
          <w:i/>
          <w:color w:val="0070C0"/>
          <w:sz w:val="28"/>
          <w:szCs w:val="28"/>
        </w:rPr>
        <w:t>1.1 Purpose of the Guide</w:t>
      </w:r>
      <w:bookmarkEnd w:id="2"/>
      <w:bookmarkEnd w:id="3"/>
    </w:p>
    <w:p w14:paraId="72D551B6" w14:textId="77777777" w:rsidR="00592C29" w:rsidRDefault="00592C29">
      <w:pPr>
        <w:rPr>
          <w:sz w:val="22"/>
          <w:szCs w:val="22"/>
        </w:rPr>
      </w:pPr>
    </w:p>
    <w:p w14:paraId="7CAC9A5D" w14:textId="259A2891" w:rsidR="00592C29" w:rsidRDefault="0048296D">
      <w:pPr>
        <w:spacing w:before="120"/>
        <w:ind w:left="720"/>
        <w:jc w:val="both"/>
        <w:rPr>
          <w:sz w:val="22"/>
          <w:szCs w:val="22"/>
        </w:rPr>
      </w:pPr>
      <w:r>
        <w:rPr>
          <w:rFonts w:ascii="Arial" w:eastAsia="Arial" w:hAnsi="Arial" w:cs="Arial"/>
          <w:sz w:val="22"/>
          <w:szCs w:val="22"/>
        </w:rPr>
        <w:t>This document has been produced by Lloyd’s, in conjunction with the Lloyd’s Market Association (LMA), as Lloyd’s Supplementary Guidance to assist the market with the creation of Market Reform Contracts (MRCs) in respect of insurance (both primary and excess layers) and (facultative and non-proportional excess of loss) reinsurance risks underwritten by Lloyd’s Brussels with effect from 01 January 2019. With the exception of risks emanating from Germany, non-proportional excess of loss reinsurance business may continue to be written on syndicate paper under WTO rules, even in the event of a “no deal” or transitional arrangements.</w:t>
      </w:r>
    </w:p>
    <w:p w14:paraId="296C9501" w14:textId="77777777" w:rsidR="00592C29" w:rsidRDefault="0048296D">
      <w:pPr>
        <w:spacing w:before="120"/>
        <w:ind w:left="720"/>
        <w:jc w:val="both"/>
        <w:rPr>
          <w:sz w:val="22"/>
          <w:szCs w:val="22"/>
        </w:rPr>
      </w:pPr>
      <w:r>
        <w:rPr>
          <w:rFonts w:ascii="Arial" w:eastAsia="Arial" w:hAnsi="Arial" w:cs="Arial"/>
          <w:sz w:val="22"/>
          <w:szCs w:val="22"/>
        </w:rPr>
        <w:t xml:space="preserve">All risks underwritten by Lloyd’s Brussels (by Lloyd’s Underwriters on behalf of Lloyd’s Brussels (including non-proportional excess of loss reinsurance, to the extent that the market needs to place such reinsurance with Lloyd’s Brussels) </w:t>
      </w:r>
      <w:r>
        <w:rPr>
          <w:rFonts w:ascii="Arial" w:eastAsia="Arial" w:hAnsi="Arial" w:cs="Arial"/>
          <w:sz w:val="22"/>
          <w:szCs w:val="22"/>
          <w:u w:val="single"/>
        </w:rPr>
        <w:t>must</w:t>
      </w:r>
      <w:r>
        <w:rPr>
          <w:rFonts w:ascii="Arial" w:eastAsia="Arial" w:hAnsi="Arial" w:cs="Arial"/>
          <w:sz w:val="22"/>
          <w:szCs w:val="22"/>
        </w:rPr>
        <w:t xml:space="preserve"> be presented on an MRC format, to enable the relevant risk information to be transferred to Lloyd’s Brussels by means of Structured Data Capture (SDC) within the agreed time frames.  </w:t>
      </w:r>
    </w:p>
    <w:p w14:paraId="459D04F4" w14:textId="261316D2" w:rsidR="00592C29" w:rsidRPr="008C4D9F" w:rsidRDefault="0048296D">
      <w:pPr>
        <w:numPr>
          <w:ilvl w:val="0"/>
          <w:numId w:val="1"/>
        </w:numPr>
        <w:pBdr>
          <w:left w:val="none" w:sz="0" w:space="7" w:color="auto"/>
        </w:pBdr>
        <w:spacing w:before="120"/>
        <w:ind w:left="1440" w:hanging="430"/>
        <w:jc w:val="both"/>
        <w:rPr>
          <w:sz w:val="22"/>
          <w:szCs w:val="22"/>
        </w:rPr>
      </w:pPr>
      <w:r>
        <w:rPr>
          <w:rFonts w:ascii="Arial" w:eastAsia="Arial" w:hAnsi="Arial" w:cs="Arial"/>
          <w:sz w:val="22"/>
          <w:szCs w:val="22"/>
        </w:rPr>
        <w:t xml:space="preserve">Where non-proportional excess of loss reinsurance business is currently “MRC exempt” and cannot be altered to make it MRC compliant, exempt MRCs may continue to be used, provided that the core information is included in a ‘jacket’ around the submission, to enable auto-extraction of required data by SDC without significant re-keying. Details of what is required to be included in the ‘jacket’, </w:t>
      </w:r>
      <w:r w:rsidRPr="008C4D9F">
        <w:rPr>
          <w:rFonts w:ascii="Arial" w:eastAsia="Arial" w:hAnsi="Arial" w:cs="Arial"/>
          <w:sz w:val="22"/>
          <w:szCs w:val="22"/>
        </w:rPr>
        <w:t>together with an example are included within Appendix 6.</w:t>
      </w:r>
    </w:p>
    <w:p w14:paraId="63D111EC" w14:textId="77777777" w:rsidR="00592C29" w:rsidRPr="008C4D9F" w:rsidRDefault="0048296D">
      <w:pPr>
        <w:numPr>
          <w:ilvl w:val="0"/>
          <w:numId w:val="1"/>
        </w:numPr>
        <w:pBdr>
          <w:left w:val="none" w:sz="0" w:space="7" w:color="auto"/>
        </w:pBdr>
        <w:spacing w:before="120"/>
        <w:ind w:left="1440" w:hanging="430"/>
        <w:jc w:val="both"/>
        <w:rPr>
          <w:sz w:val="22"/>
          <w:szCs w:val="22"/>
        </w:rPr>
      </w:pPr>
      <w:r w:rsidRPr="008C4D9F">
        <w:rPr>
          <w:rFonts w:ascii="Arial" w:eastAsia="Arial" w:hAnsi="Arial" w:cs="Arial"/>
          <w:sz w:val="22"/>
          <w:szCs w:val="22"/>
        </w:rPr>
        <w:t xml:space="preserve">Where the Lloyd’s Market is a “follower” on a non-Lloyd’s led placement, the LMA9170 Lloyd’s Brussels Contract Addendum (LBCA) has been developed to effect the minimum changes required to be compliant with Lloyd’s and Lloyd’s Brussels </w:t>
      </w:r>
      <w:proofErr w:type="spellStart"/>
      <w:r w:rsidRPr="008C4D9F">
        <w:rPr>
          <w:rFonts w:ascii="Arial" w:eastAsia="Arial" w:hAnsi="Arial" w:cs="Arial"/>
          <w:sz w:val="22"/>
          <w:szCs w:val="22"/>
        </w:rPr>
        <w:t>sectionalised</w:t>
      </w:r>
      <w:proofErr w:type="spellEnd"/>
      <w:r w:rsidRPr="008C4D9F">
        <w:rPr>
          <w:rFonts w:ascii="Arial" w:eastAsia="Arial" w:hAnsi="Arial" w:cs="Arial"/>
          <w:sz w:val="22"/>
          <w:szCs w:val="22"/>
        </w:rPr>
        <w:t xml:space="preserve"> MRC requirements. The purpose of this is to provide clarity to following markets and, where a Lloyd’s participant is not the Slip Leader, the LBCA provides an easy solution to effecting the necessary amendments to ensure contract certainty.  This LBCA is </w:t>
      </w:r>
      <w:r w:rsidRPr="008C4D9F">
        <w:rPr>
          <w:rFonts w:ascii="Arial" w:eastAsia="Arial" w:hAnsi="Arial" w:cs="Arial"/>
          <w:sz w:val="22"/>
          <w:szCs w:val="22"/>
          <w:u w:val="single" w:color="B5082E"/>
        </w:rPr>
        <w:t>only</w:t>
      </w:r>
      <w:r w:rsidRPr="008C4D9F">
        <w:rPr>
          <w:rFonts w:ascii="Arial" w:eastAsia="Arial" w:hAnsi="Arial" w:cs="Arial"/>
          <w:sz w:val="22"/>
          <w:szCs w:val="22"/>
        </w:rPr>
        <w:t xml:space="preserve"> for use where there is both EEA and non-EEA exposure within a placement. For more information on the LMA9170/LBCA, refer to Appendix 7.</w:t>
      </w:r>
    </w:p>
    <w:p w14:paraId="66A9652C" w14:textId="77777777" w:rsidR="00592C29" w:rsidRPr="008C4D9F" w:rsidRDefault="0048296D">
      <w:pPr>
        <w:spacing w:before="120"/>
        <w:ind w:left="720"/>
        <w:jc w:val="both"/>
        <w:rPr>
          <w:sz w:val="22"/>
          <w:szCs w:val="22"/>
        </w:rPr>
      </w:pPr>
      <w:r w:rsidRPr="008C4D9F">
        <w:rPr>
          <w:rFonts w:ascii="Arial" w:eastAsia="Arial" w:hAnsi="Arial" w:cs="Arial"/>
          <w:sz w:val="22"/>
          <w:szCs w:val="22"/>
        </w:rPr>
        <w:t>Where appropriate, the terms insurance, insurer</w:t>
      </w:r>
      <w:r>
        <w:rPr>
          <w:rFonts w:ascii="Arial" w:eastAsia="Arial" w:hAnsi="Arial" w:cs="Arial"/>
          <w:sz w:val="22"/>
          <w:szCs w:val="22"/>
        </w:rPr>
        <w:t xml:space="preserve"> and insured used throughout this document are intended to apply equally to reinsurance, reinsurer and reinsured. </w:t>
      </w:r>
    </w:p>
    <w:p w14:paraId="0B9B2C0B" w14:textId="2A6EDACE" w:rsidR="00592C29" w:rsidRPr="008C4D9F" w:rsidRDefault="0048296D">
      <w:pPr>
        <w:spacing w:before="120"/>
        <w:ind w:left="720"/>
        <w:jc w:val="both"/>
        <w:rPr>
          <w:sz w:val="22"/>
          <w:szCs w:val="22"/>
        </w:rPr>
      </w:pPr>
      <w:r w:rsidRPr="008C4D9F">
        <w:rPr>
          <w:rFonts w:ascii="Arial" w:eastAsia="Arial" w:hAnsi="Arial" w:cs="Arial"/>
          <w:sz w:val="22"/>
          <w:szCs w:val="22"/>
        </w:rPr>
        <w:t>This document does not seek to repeat the content of the ‘Market Reform Contract Open Market Implementation Guide’ v2.0, which is already in existence to define the MRC standard, including the layout and content of a standard form, but should be read in conjunction with it and the accompanying MRC Data Dictionary  v2.0 (</w:t>
      </w:r>
      <w:r w:rsidR="008C4D9F" w:rsidRPr="008C4D9F">
        <w:rPr>
          <w:rFonts w:ascii="Arial" w:eastAsia="Arial" w:hAnsi="Arial" w:cs="Arial"/>
          <w:sz w:val="22"/>
          <w:szCs w:val="22"/>
        </w:rPr>
        <w:t>F</w:t>
      </w:r>
      <w:r w:rsidRPr="008C4D9F">
        <w:rPr>
          <w:rFonts w:ascii="Arial" w:eastAsia="Arial" w:hAnsi="Arial" w:cs="Arial"/>
          <w:sz w:val="22"/>
          <w:szCs w:val="22"/>
        </w:rPr>
        <w:t>ebruary 2020)</w:t>
      </w:r>
      <w:r w:rsidR="008C4D9F" w:rsidRPr="008C4D9F">
        <w:rPr>
          <w:rFonts w:ascii="Arial" w:eastAsia="Arial" w:hAnsi="Arial" w:cs="Arial"/>
          <w:sz w:val="22"/>
          <w:szCs w:val="22"/>
        </w:rPr>
        <w:t>.</w:t>
      </w:r>
    </w:p>
    <w:p w14:paraId="5AF55A6A" w14:textId="45AFBC62" w:rsidR="00592C29" w:rsidRPr="008C4D9F" w:rsidRDefault="0048296D">
      <w:pPr>
        <w:spacing w:before="120"/>
        <w:ind w:left="720"/>
        <w:jc w:val="both"/>
        <w:rPr>
          <w:sz w:val="22"/>
          <w:szCs w:val="22"/>
        </w:rPr>
      </w:pPr>
      <w:r w:rsidRPr="008C4D9F">
        <w:rPr>
          <w:rFonts w:ascii="Arial" w:eastAsia="Arial" w:hAnsi="Arial" w:cs="Arial"/>
          <w:sz w:val="22"/>
          <w:szCs w:val="22"/>
        </w:rPr>
        <w:t>Wherever possible, the numbering used, e.g. for paragraph headings, in this document replicates the numbering system within the Market Reform Contract Open Market Implementation Guide’ v2.0.  Where there is no supplementary guidance, the paragraph/section within this document has been left intentionally blank.</w:t>
      </w:r>
    </w:p>
    <w:p w14:paraId="119A8C19" w14:textId="77777777" w:rsidR="00592C29" w:rsidRPr="008C4D9F" w:rsidRDefault="0048296D">
      <w:pPr>
        <w:spacing w:before="120"/>
        <w:ind w:left="720"/>
        <w:jc w:val="both"/>
        <w:rPr>
          <w:sz w:val="22"/>
          <w:szCs w:val="22"/>
        </w:rPr>
      </w:pPr>
      <w:r w:rsidRPr="008C4D9F">
        <w:rPr>
          <w:rFonts w:ascii="Arial" w:eastAsia="Arial" w:hAnsi="Arial" w:cs="Arial"/>
          <w:sz w:val="22"/>
          <w:szCs w:val="22"/>
        </w:rPr>
        <w:t>Separate supplementary guidance has been produced to sit alongside the MRC Binding Authority Guidance and MRC Line slips Guidance.</w:t>
      </w:r>
    </w:p>
    <w:p w14:paraId="70FD4AA9" w14:textId="3C9888EE" w:rsidR="00592C29" w:rsidRPr="00FE2161" w:rsidRDefault="0048296D">
      <w:pPr>
        <w:spacing w:before="120"/>
        <w:ind w:left="720"/>
        <w:jc w:val="both"/>
        <w:rPr>
          <w:rFonts w:ascii="Arial" w:hAnsi="Arial" w:cs="Arial"/>
          <w:sz w:val="22"/>
          <w:szCs w:val="22"/>
        </w:rPr>
      </w:pPr>
      <w:r w:rsidRPr="008C4D9F">
        <w:rPr>
          <w:rFonts w:ascii="Arial" w:eastAsia="Arial" w:hAnsi="Arial" w:cs="Arial"/>
          <w:sz w:val="22"/>
          <w:szCs w:val="22"/>
        </w:rPr>
        <w:t xml:space="preserve">For further information regarding the operation of Lloyd’s Brussels itself, reference should be made to the Lloyd’s Brexit Toolkit </w:t>
      </w:r>
      <w:r w:rsidR="00B7796A">
        <w:rPr>
          <w:rFonts w:ascii="Arial" w:eastAsia="Arial" w:hAnsi="Arial" w:cs="Arial"/>
          <w:sz w:val="22"/>
          <w:szCs w:val="22"/>
        </w:rPr>
        <w:t xml:space="preserve">accessible via </w:t>
      </w:r>
      <w:r w:rsidR="00560F7E">
        <w:rPr>
          <w:rFonts w:ascii="Arial" w:eastAsia="Arial" w:hAnsi="Arial" w:cs="Arial"/>
          <w:sz w:val="22"/>
          <w:szCs w:val="22"/>
        </w:rPr>
        <w:t xml:space="preserve">Crystal </w:t>
      </w:r>
      <w:r w:rsidRPr="008C4D9F">
        <w:rPr>
          <w:rFonts w:ascii="Arial" w:eastAsia="Arial" w:hAnsi="Arial" w:cs="Arial"/>
          <w:sz w:val="22"/>
          <w:szCs w:val="22"/>
        </w:rPr>
        <w:t>and/or questions directed to</w:t>
      </w:r>
      <w:r>
        <w:rPr>
          <w:rFonts w:ascii="Arial" w:eastAsia="Arial" w:hAnsi="Arial" w:cs="Arial"/>
          <w:sz w:val="22"/>
          <w:szCs w:val="22"/>
        </w:rPr>
        <w:t xml:space="preserve"> </w:t>
      </w:r>
      <w:hyperlink r:id="rId10" w:history="1">
        <w:r w:rsidRPr="00560F7E">
          <w:rPr>
            <w:rFonts w:ascii="Arial" w:eastAsia="Arial" w:hAnsi="Arial" w:cs="Arial"/>
            <w:color w:val="0000FF"/>
            <w:sz w:val="22"/>
            <w:szCs w:val="22"/>
            <w:u w:val="single" w:color="B5082E"/>
          </w:rPr>
          <w:t>lloydsbrussels@lloyds.com</w:t>
        </w:r>
      </w:hyperlink>
      <w:r>
        <w:rPr>
          <w:rFonts w:ascii="Arial" w:eastAsia="Arial" w:hAnsi="Arial" w:cs="Arial"/>
          <w:sz w:val="22"/>
          <w:szCs w:val="22"/>
        </w:rPr>
        <w:t>. Information on Lloyd’s Brussels, its licensing, regulatory and compliance requirements is contained in Crystal</w:t>
      </w:r>
      <w:r w:rsidR="00560F7E">
        <w:rPr>
          <w:rFonts w:ascii="Arial" w:eastAsia="Arial" w:hAnsi="Arial" w:cs="Arial"/>
          <w:sz w:val="22"/>
          <w:szCs w:val="22"/>
        </w:rPr>
        <w:t xml:space="preserve"> </w:t>
      </w:r>
      <w:r>
        <w:rPr>
          <w:rFonts w:ascii="Arial" w:eastAsia="Arial" w:hAnsi="Arial" w:cs="Arial"/>
          <w:sz w:val="22"/>
          <w:szCs w:val="22"/>
        </w:rPr>
        <w:t xml:space="preserve">- </w:t>
      </w:r>
      <w:hyperlink r:id="rId11" w:history="1">
        <w:r w:rsidR="00FE2161" w:rsidRPr="00FE2161">
          <w:rPr>
            <w:rFonts w:ascii="Arial" w:eastAsia="Arial" w:hAnsi="Arial" w:cs="Arial"/>
            <w:color w:val="0000EE"/>
            <w:sz w:val="22"/>
            <w:szCs w:val="22"/>
            <w:u w:val="single" w:color="0000EE"/>
          </w:rPr>
          <w:t>www.lloyds.com/tools-and-systems/crystal</w:t>
        </w:r>
      </w:hyperlink>
    </w:p>
    <w:p w14:paraId="4EFE0F09" w14:textId="77777777" w:rsidR="00592C29" w:rsidRDefault="00592C29">
      <w:pPr>
        <w:rPr>
          <w:sz w:val="22"/>
          <w:szCs w:val="22"/>
        </w:rPr>
      </w:pPr>
    </w:p>
    <w:p w14:paraId="0393BCAA" w14:textId="77777777" w:rsidR="00592C29" w:rsidRDefault="0048296D">
      <w:pPr>
        <w:pStyle w:val="Heading2"/>
        <w:rPr>
          <w:sz w:val="28"/>
          <w:szCs w:val="28"/>
        </w:rPr>
      </w:pPr>
      <w:bookmarkStart w:id="4" w:name="_Toc21706628"/>
      <w:bookmarkStart w:id="5" w:name="_Toc31396063"/>
      <w:r>
        <w:rPr>
          <w:rFonts w:ascii="Arial" w:eastAsia="Arial" w:hAnsi="Arial" w:cs="Arial"/>
          <w:i/>
          <w:color w:val="0070C0"/>
          <w:sz w:val="28"/>
          <w:szCs w:val="28"/>
        </w:rPr>
        <w:t>1.2 Background</w:t>
      </w:r>
      <w:bookmarkEnd w:id="4"/>
      <w:bookmarkEnd w:id="5"/>
    </w:p>
    <w:p w14:paraId="55B98AEA" w14:textId="77777777" w:rsidR="00592C29" w:rsidRDefault="00592C29">
      <w:pPr>
        <w:rPr>
          <w:sz w:val="22"/>
          <w:szCs w:val="22"/>
        </w:rPr>
      </w:pPr>
    </w:p>
    <w:p w14:paraId="4A1325F3" w14:textId="1E31FE9F" w:rsidR="00592C29" w:rsidRPr="0017197A" w:rsidRDefault="0048296D">
      <w:pPr>
        <w:spacing w:before="120"/>
        <w:ind w:left="720"/>
        <w:jc w:val="both"/>
        <w:rPr>
          <w:sz w:val="22"/>
          <w:szCs w:val="22"/>
        </w:rPr>
      </w:pPr>
      <w:r w:rsidRPr="0017197A">
        <w:rPr>
          <w:rFonts w:ascii="Arial" w:eastAsia="Arial" w:hAnsi="Arial" w:cs="Arial"/>
          <w:sz w:val="22"/>
          <w:szCs w:val="22"/>
        </w:rPr>
        <w:t>Article 50 was invoked on 29 March 2017, so the UK was originally due to leave the EU on 29 March 2019. The Brexit date has subsequently been deferred (initially to 31 October 2019 and subsequently) to 31 January 2020.</w:t>
      </w:r>
    </w:p>
    <w:p w14:paraId="5BA3A72E" w14:textId="7F01CF42" w:rsidR="00592C29" w:rsidRPr="0017197A" w:rsidRDefault="0048296D">
      <w:pPr>
        <w:spacing w:before="120"/>
        <w:ind w:left="720"/>
        <w:jc w:val="both"/>
        <w:rPr>
          <w:sz w:val="22"/>
          <w:szCs w:val="22"/>
        </w:rPr>
      </w:pPr>
      <w:r w:rsidRPr="0017197A">
        <w:rPr>
          <w:rFonts w:ascii="Arial" w:eastAsia="Arial" w:hAnsi="Arial" w:cs="Arial"/>
          <w:sz w:val="22"/>
          <w:szCs w:val="22"/>
        </w:rPr>
        <w:t xml:space="preserve">Until Brexit, insurance undertakings in the UK are </w:t>
      </w:r>
      <w:proofErr w:type="spellStart"/>
      <w:r w:rsidRPr="0017197A">
        <w:rPr>
          <w:rFonts w:ascii="Arial" w:eastAsia="Arial" w:hAnsi="Arial" w:cs="Arial"/>
          <w:sz w:val="22"/>
          <w:szCs w:val="22"/>
        </w:rPr>
        <w:t>authorised</w:t>
      </w:r>
      <w:proofErr w:type="spellEnd"/>
      <w:r w:rsidRPr="0017197A">
        <w:rPr>
          <w:rFonts w:ascii="Arial" w:eastAsia="Arial" w:hAnsi="Arial" w:cs="Arial"/>
          <w:sz w:val="22"/>
          <w:szCs w:val="22"/>
        </w:rPr>
        <w:t xml:space="preserve"> to access business located in the EEA on a “freedom of services” or under the “right of establishment” through the EU passporting system. Once the UK has left the EU, Lloyd’s underwriters will lose their passporting rights and they will not be </w:t>
      </w:r>
      <w:proofErr w:type="spellStart"/>
      <w:r w:rsidRPr="0017197A">
        <w:rPr>
          <w:rFonts w:ascii="Arial" w:eastAsia="Arial" w:hAnsi="Arial" w:cs="Arial"/>
          <w:sz w:val="22"/>
          <w:szCs w:val="22"/>
        </w:rPr>
        <w:t>authorised</w:t>
      </w:r>
      <w:proofErr w:type="spellEnd"/>
      <w:r w:rsidRPr="0017197A">
        <w:rPr>
          <w:rFonts w:ascii="Arial" w:eastAsia="Arial" w:hAnsi="Arial" w:cs="Arial"/>
          <w:sz w:val="22"/>
          <w:szCs w:val="22"/>
        </w:rPr>
        <w:t xml:space="preserve"> to carry on (re)insurance business for risks located in the EEA.</w:t>
      </w:r>
    </w:p>
    <w:p w14:paraId="305169A0" w14:textId="674B2127" w:rsidR="00592C29" w:rsidRPr="0017197A" w:rsidRDefault="0048296D">
      <w:pPr>
        <w:spacing w:before="120"/>
        <w:ind w:left="720"/>
        <w:jc w:val="both"/>
        <w:rPr>
          <w:sz w:val="22"/>
          <w:szCs w:val="22"/>
        </w:rPr>
      </w:pPr>
      <w:r w:rsidRPr="0017197A">
        <w:rPr>
          <w:rFonts w:ascii="Arial" w:eastAsia="Arial" w:hAnsi="Arial" w:cs="Arial"/>
          <w:sz w:val="22"/>
          <w:szCs w:val="22"/>
        </w:rPr>
        <w:t>As part of the planning for the solution to allow continuation of access to Lloyd’s for affected clients and certainty to the market, a key consideration was giving a specific date for implementation of the new approach. To achieve this and take into account the January renewal period, the date of 01 January 2019 was decided upon as the “cut off” date for the use of Lloyd’s syndicates for EEA business, i.e. for risks incepting on or after 01 January 2019.</w:t>
      </w:r>
    </w:p>
    <w:p w14:paraId="3E4DF7C4" w14:textId="1D6E4C7C" w:rsidR="00592C29" w:rsidRPr="0017197A" w:rsidRDefault="0048296D">
      <w:pPr>
        <w:spacing w:before="120"/>
        <w:ind w:left="720"/>
        <w:jc w:val="both"/>
        <w:rPr>
          <w:sz w:val="22"/>
          <w:szCs w:val="22"/>
        </w:rPr>
      </w:pPr>
      <w:r w:rsidRPr="0017197A">
        <w:rPr>
          <w:rFonts w:ascii="Arial" w:eastAsia="Arial" w:hAnsi="Arial" w:cs="Arial"/>
          <w:sz w:val="22"/>
          <w:szCs w:val="22"/>
        </w:rPr>
        <w:t xml:space="preserve">Irrespective of any transitional arrangements that may be put in place, Lloyd’s set up Lloyd’s Insurance Company S.A. (known as Lloyd’s Brussels). This is an insurance company that is a </w:t>
      </w:r>
      <w:r w:rsidRPr="0017197A">
        <w:rPr>
          <w:rFonts w:ascii="Arial" w:eastAsia="Arial" w:hAnsi="Arial" w:cs="Arial"/>
          <w:sz w:val="22"/>
          <w:szCs w:val="22"/>
          <w:u w:val="single"/>
        </w:rPr>
        <w:t>subsidiary</w:t>
      </w:r>
      <w:r w:rsidRPr="0017197A">
        <w:rPr>
          <w:rFonts w:ascii="Arial" w:eastAsia="Arial" w:hAnsi="Arial" w:cs="Arial"/>
          <w:sz w:val="22"/>
          <w:szCs w:val="22"/>
        </w:rPr>
        <w:t xml:space="preserve"> of the Corporation. It was </w:t>
      </w:r>
      <w:proofErr w:type="spellStart"/>
      <w:r w:rsidRPr="0017197A">
        <w:rPr>
          <w:rFonts w:ascii="Arial" w:eastAsia="Arial" w:hAnsi="Arial" w:cs="Arial"/>
          <w:sz w:val="22"/>
          <w:szCs w:val="22"/>
        </w:rPr>
        <w:t>authorised</w:t>
      </w:r>
      <w:proofErr w:type="spellEnd"/>
      <w:r w:rsidRPr="0017197A">
        <w:rPr>
          <w:rFonts w:ascii="Arial" w:eastAsia="Arial" w:hAnsi="Arial" w:cs="Arial"/>
          <w:sz w:val="22"/>
          <w:szCs w:val="22"/>
        </w:rPr>
        <w:t xml:space="preserve"> to underwrite non-life insurance and non-life (facultative and non-proportional excess of loss) reinsurance risks located in the EEA for policies incepting on or after 01 January 2019. </w:t>
      </w:r>
    </w:p>
    <w:p w14:paraId="5026EF79" w14:textId="33B05FE1" w:rsidR="00592C29" w:rsidRPr="0017197A" w:rsidRDefault="0048296D">
      <w:pPr>
        <w:spacing w:before="120"/>
        <w:ind w:left="720"/>
        <w:jc w:val="both"/>
        <w:rPr>
          <w:sz w:val="22"/>
          <w:szCs w:val="22"/>
        </w:rPr>
      </w:pPr>
      <w:r w:rsidRPr="0017197A">
        <w:rPr>
          <w:rFonts w:ascii="Arial" w:eastAsia="Arial" w:hAnsi="Arial" w:cs="Arial"/>
          <w:sz w:val="22"/>
          <w:szCs w:val="22"/>
        </w:rPr>
        <w:t>Lloyd’s Brussels is therefore able to underwrite and process</w:t>
      </w:r>
    </w:p>
    <w:p w14:paraId="00BDC390" w14:textId="248A3ADA" w:rsidR="00592C29" w:rsidRDefault="0048296D">
      <w:pPr>
        <w:numPr>
          <w:ilvl w:val="0"/>
          <w:numId w:val="2"/>
        </w:numPr>
        <w:pBdr>
          <w:left w:val="none" w:sz="0" w:space="7" w:color="auto"/>
        </w:pBdr>
        <w:spacing w:before="120"/>
        <w:ind w:left="1440" w:hanging="430"/>
        <w:jc w:val="both"/>
        <w:rPr>
          <w:sz w:val="22"/>
          <w:szCs w:val="22"/>
        </w:rPr>
      </w:pPr>
      <w:r>
        <w:rPr>
          <w:rFonts w:ascii="Arial" w:eastAsia="Arial" w:hAnsi="Arial" w:cs="Arial"/>
          <w:sz w:val="22"/>
          <w:szCs w:val="22"/>
        </w:rPr>
        <w:t xml:space="preserve">facultative reinsurance and non-proportional excess of loss treaty reinsurance </w:t>
      </w:r>
      <w:r w:rsidR="0017197A">
        <w:rPr>
          <w:rFonts w:ascii="Arial" w:eastAsia="Arial" w:hAnsi="Arial" w:cs="Arial"/>
          <w:sz w:val="22"/>
          <w:szCs w:val="22"/>
        </w:rPr>
        <w:t>from 01</w:t>
      </w:r>
      <w:r>
        <w:rPr>
          <w:rFonts w:ascii="Arial" w:eastAsia="Arial" w:hAnsi="Arial" w:cs="Arial"/>
          <w:sz w:val="22"/>
          <w:szCs w:val="22"/>
        </w:rPr>
        <w:t xml:space="preserve"> January 2019 across all markets in the EEA; and</w:t>
      </w:r>
    </w:p>
    <w:p w14:paraId="0B040D2F" w14:textId="66C24A02" w:rsidR="00592C29" w:rsidRPr="0017197A" w:rsidRDefault="0048296D" w:rsidP="0017197A">
      <w:pPr>
        <w:numPr>
          <w:ilvl w:val="0"/>
          <w:numId w:val="2"/>
        </w:numPr>
        <w:pBdr>
          <w:left w:val="none" w:sz="0" w:space="7" w:color="auto"/>
        </w:pBdr>
        <w:spacing w:before="120" w:after="240"/>
        <w:ind w:left="1440" w:hanging="431"/>
        <w:jc w:val="both"/>
        <w:rPr>
          <w:sz w:val="22"/>
          <w:szCs w:val="22"/>
        </w:rPr>
      </w:pPr>
      <w:r>
        <w:rPr>
          <w:rFonts w:ascii="Arial" w:eastAsia="Arial" w:hAnsi="Arial" w:cs="Arial"/>
          <w:sz w:val="22"/>
          <w:szCs w:val="22"/>
        </w:rPr>
        <w:t xml:space="preserve">proportional treaty reinsurance from 1 March 2019, subject to a specific set of technical conditions being met. This bespoke solution will only be available for managing agents processing treaty in a similar way to delegated authority and which are able to meet specific technical requirements (details of which are </w:t>
      </w:r>
      <w:r w:rsidRPr="0017197A">
        <w:rPr>
          <w:rFonts w:ascii="Arial" w:eastAsia="Arial" w:hAnsi="Arial" w:cs="Arial"/>
          <w:sz w:val="22"/>
          <w:szCs w:val="22"/>
        </w:rPr>
        <w:t>provided within “Lloyd’s Brussels Update”, dated 03 December 2018)</w:t>
      </w:r>
      <w:r w:rsidR="0017197A" w:rsidRPr="0017197A">
        <w:rPr>
          <w:rFonts w:ascii="Arial" w:eastAsia="Arial" w:hAnsi="Arial" w:cs="Arial"/>
          <w:sz w:val="22"/>
          <w:szCs w:val="22"/>
        </w:rPr>
        <w:t>.</w:t>
      </w:r>
    </w:p>
    <w:p w14:paraId="4AEEC0DD" w14:textId="34815BF8" w:rsidR="00592C29" w:rsidRPr="0017197A" w:rsidRDefault="0048296D">
      <w:pPr>
        <w:spacing w:before="120" w:after="240"/>
        <w:ind w:left="720"/>
        <w:jc w:val="both"/>
        <w:rPr>
          <w:sz w:val="22"/>
          <w:szCs w:val="22"/>
        </w:rPr>
      </w:pPr>
      <w:r w:rsidRPr="0017197A">
        <w:rPr>
          <w:rFonts w:ascii="Arial" w:eastAsia="Arial" w:hAnsi="Arial" w:cs="Arial"/>
          <w:sz w:val="22"/>
          <w:szCs w:val="22"/>
        </w:rPr>
        <w:t>The EEA countries include Austria, Belgium, Bulgaria, Czech Republic, Cyprus, Denmark, Estonia, Finland, France, Germany, Greece, Hungary, Iceland, Ireland, Italy, Latvia, Liechtenstein, Lithuania, Luxembourg, Malta, Netherlands, Norway, Poland, Portugal, Romania, Slovakia, Slovenia, Spain and Sweden.</w:t>
      </w:r>
    </w:p>
    <w:p w14:paraId="4469BF3E" w14:textId="7B7C06A9" w:rsidR="00592C29" w:rsidRPr="0017197A" w:rsidRDefault="0048296D">
      <w:pPr>
        <w:spacing w:before="120"/>
        <w:ind w:left="720"/>
        <w:jc w:val="both"/>
        <w:rPr>
          <w:sz w:val="22"/>
          <w:szCs w:val="22"/>
        </w:rPr>
      </w:pPr>
      <w:r w:rsidRPr="0017197A">
        <w:rPr>
          <w:rFonts w:ascii="Arial" w:eastAsia="Arial" w:hAnsi="Arial" w:cs="Arial"/>
          <w:sz w:val="22"/>
          <w:szCs w:val="22"/>
        </w:rPr>
        <w:t xml:space="preserve">Details of Lloyd’s Brussels’ </w:t>
      </w:r>
      <w:proofErr w:type="spellStart"/>
      <w:r w:rsidRPr="0017197A">
        <w:rPr>
          <w:rFonts w:ascii="Arial" w:eastAsia="Arial" w:hAnsi="Arial" w:cs="Arial"/>
          <w:sz w:val="22"/>
          <w:szCs w:val="22"/>
        </w:rPr>
        <w:t>authorisation</w:t>
      </w:r>
      <w:proofErr w:type="spellEnd"/>
      <w:r w:rsidRPr="0017197A">
        <w:rPr>
          <w:rFonts w:ascii="Arial" w:eastAsia="Arial" w:hAnsi="Arial" w:cs="Arial"/>
          <w:sz w:val="22"/>
          <w:szCs w:val="22"/>
        </w:rPr>
        <w:t xml:space="preserve"> is available on Crystal. Lloyd’s Brussels is licensed to write risks located in the UK, Monaco, and all other 29 EEA member states. </w:t>
      </w:r>
    </w:p>
    <w:p w14:paraId="27DA8903" w14:textId="77777777" w:rsidR="00592C29" w:rsidRPr="0017197A" w:rsidRDefault="0048296D">
      <w:pPr>
        <w:spacing w:before="120"/>
        <w:ind w:left="720"/>
        <w:jc w:val="both"/>
        <w:rPr>
          <w:sz w:val="22"/>
          <w:szCs w:val="22"/>
        </w:rPr>
      </w:pPr>
      <w:r w:rsidRPr="0017197A">
        <w:rPr>
          <w:rFonts w:ascii="Arial" w:eastAsia="Arial" w:hAnsi="Arial" w:cs="Arial"/>
          <w:sz w:val="22"/>
          <w:szCs w:val="22"/>
        </w:rPr>
        <w:t xml:space="preserve">Lloyd’s Brussels is </w:t>
      </w:r>
      <w:proofErr w:type="spellStart"/>
      <w:r w:rsidRPr="0017197A">
        <w:rPr>
          <w:rFonts w:ascii="Arial" w:eastAsia="Arial" w:hAnsi="Arial" w:cs="Arial"/>
          <w:sz w:val="22"/>
          <w:szCs w:val="22"/>
        </w:rPr>
        <w:t>authorised</w:t>
      </w:r>
      <w:proofErr w:type="spellEnd"/>
      <w:r w:rsidRPr="0017197A">
        <w:rPr>
          <w:rFonts w:ascii="Arial" w:eastAsia="Arial" w:hAnsi="Arial" w:cs="Arial"/>
          <w:sz w:val="22"/>
          <w:szCs w:val="22"/>
        </w:rPr>
        <w:t xml:space="preserve"> and regulated by the National Bank of Belgium (NBB) and regulated by the Financial Services &amp; Markets Authority (FSMA).</w:t>
      </w:r>
    </w:p>
    <w:p w14:paraId="05C7099E" w14:textId="77777777" w:rsidR="00592C29" w:rsidRDefault="00592C29">
      <w:pPr>
        <w:rPr>
          <w:sz w:val="22"/>
          <w:szCs w:val="22"/>
        </w:rPr>
      </w:pPr>
    </w:p>
    <w:p w14:paraId="3FC8977D" w14:textId="77777777" w:rsidR="00592C29" w:rsidRDefault="0048296D">
      <w:pPr>
        <w:pStyle w:val="Heading2"/>
        <w:rPr>
          <w:sz w:val="28"/>
          <w:szCs w:val="28"/>
        </w:rPr>
      </w:pPr>
      <w:bookmarkStart w:id="6" w:name="_Toc21706629"/>
      <w:bookmarkStart w:id="7" w:name="_Toc31396064"/>
      <w:r>
        <w:rPr>
          <w:rFonts w:ascii="Arial" w:eastAsia="Arial" w:hAnsi="Arial" w:cs="Arial"/>
          <w:i/>
          <w:color w:val="0070C0"/>
          <w:sz w:val="28"/>
          <w:szCs w:val="28"/>
        </w:rPr>
        <w:t>1.3 Franchise Board Mandate</w:t>
      </w:r>
      <w:bookmarkEnd w:id="6"/>
      <w:bookmarkEnd w:id="7"/>
    </w:p>
    <w:p w14:paraId="0D686CE1" w14:textId="77777777" w:rsidR="00592C29" w:rsidRDefault="00592C29" w:rsidP="00716601">
      <w:pPr>
        <w:rPr>
          <w:sz w:val="22"/>
          <w:szCs w:val="22"/>
        </w:rPr>
      </w:pPr>
    </w:p>
    <w:p w14:paraId="48B903EA" w14:textId="7CD8001F" w:rsidR="00117569" w:rsidRDefault="0048296D" w:rsidP="00117569">
      <w:pPr>
        <w:spacing w:before="120"/>
        <w:ind w:left="720"/>
        <w:jc w:val="both"/>
        <w:rPr>
          <w:rFonts w:ascii="Arial" w:eastAsia="Arial" w:hAnsi="Arial" w:cs="Arial"/>
          <w:i/>
          <w:iCs/>
          <w:sz w:val="22"/>
          <w:szCs w:val="22"/>
        </w:rPr>
      </w:pPr>
      <w:r>
        <w:rPr>
          <w:rFonts w:ascii="Arial" w:eastAsia="Arial" w:hAnsi="Arial" w:cs="Arial"/>
          <w:i/>
          <w:iCs/>
          <w:sz w:val="22"/>
          <w:szCs w:val="22"/>
        </w:rPr>
        <w:t xml:space="preserve">{intentionally left blank} </w:t>
      </w:r>
      <w:r w:rsidR="00117569">
        <w:rPr>
          <w:rFonts w:ascii="Arial" w:eastAsia="Arial" w:hAnsi="Arial" w:cs="Arial"/>
          <w:i/>
          <w:iCs/>
          <w:sz w:val="22"/>
          <w:szCs w:val="22"/>
        </w:rPr>
        <w:br w:type="page"/>
      </w:r>
    </w:p>
    <w:p w14:paraId="157BD759" w14:textId="77777777" w:rsidR="00592C29" w:rsidRDefault="0048296D">
      <w:pPr>
        <w:pStyle w:val="Heading1"/>
        <w:rPr>
          <w:sz w:val="40"/>
          <w:szCs w:val="40"/>
        </w:rPr>
      </w:pPr>
      <w:bookmarkStart w:id="8" w:name="_Toc21706630"/>
      <w:bookmarkStart w:id="9" w:name="_Toc31396065"/>
      <w:r>
        <w:rPr>
          <w:rFonts w:ascii="Arial" w:eastAsia="Arial" w:hAnsi="Arial" w:cs="Arial"/>
          <w:color w:val="0070C0"/>
          <w:sz w:val="40"/>
          <w:szCs w:val="40"/>
        </w:rPr>
        <w:lastRenderedPageBreak/>
        <w:t>Chapter 2 - Business Objectives and Expected Benefits</w:t>
      </w:r>
      <w:bookmarkEnd w:id="8"/>
      <w:bookmarkEnd w:id="9"/>
    </w:p>
    <w:p w14:paraId="4B011D77" w14:textId="77777777" w:rsidR="00592C29" w:rsidRDefault="00592C29">
      <w:pPr>
        <w:rPr>
          <w:sz w:val="22"/>
          <w:szCs w:val="22"/>
        </w:rPr>
      </w:pPr>
    </w:p>
    <w:p w14:paraId="04D4378D" w14:textId="77777777" w:rsidR="00592C29" w:rsidRDefault="0048296D">
      <w:pPr>
        <w:pStyle w:val="Heading2"/>
        <w:rPr>
          <w:sz w:val="28"/>
          <w:szCs w:val="28"/>
        </w:rPr>
      </w:pPr>
      <w:bookmarkStart w:id="10" w:name="_Toc21706631"/>
      <w:bookmarkStart w:id="11" w:name="_Toc31396066"/>
      <w:r>
        <w:rPr>
          <w:rFonts w:ascii="Arial" w:eastAsia="Arial" w:hAnsi="Arial" w:cs="Arial"/>
          <w:i/>
          <w:color w:val="0070C0"/>
          <w:sz w:val="28"/>
          <w:szCs w:val="28"/>
        </w:rPr>
        <w:t>2.1 Scope</w:t>
      </w:r>
      <w:bookmarkEnd w:id="10"/>
      <w:bookmarkEnd w:id="11"/>
    </w:p>
    <w:p w14:paraId="5C63BD1D" w14:textId="77777777" w:rsidR="00592C29" w:rsidRDefault="00592C29">
      <w:pPr>
        <w:rPr>
          <w:sz w:val="22"/>
          <w:szCs w:val="22"/>
        </w:rPr>
      </w:pPr>
    </w:p>
    <w:p w14:paraId="795AF7C5" w14:textId="6CEC70E7" w:rsidR="00592C29" w:rsidRPr="004A37EE" w:rsidRDefault="0048296D">
      <w:pPr>
        <w:spacing w:before="120"/>
        <w:ind w:left="720"/>
        <w:jc w:val="both"/>
        <w:rPr>
          <w:sz w:val="22"/>
          <w:szCs w:val="22"/>
        </w:rPr>
      </w:pPr>
      <w:r w:rsidRPr="004A37EE">
        <w:rPr>
          <w:rFonts w:ascii="Arial" w:eastAsia="Arial" w:hAnsi="Arial" w:cs="Arial"/>
          <w:sz w:val="22"/>
          <w:szCs w:val="22"/>
        </w:rPr>
        <w:t>Lloyd’s Brussels has entered into an Outsourcing Agreement with each managing agent. Under this agreement, Lloyd’s Brussels has delegated authority to the managing agent to undertake underwriting, claims and other activities on its behalf. The outsourcing agreements took effect from 01 January 2019.</w:t>
      </w:r>
    </w:p>
    <w:p w14:paraId="31E03289" w14:textId="18A600EC" w:rsidR="00592C29" w:rsidRPr="004A37EE" w:rsidRDefault="0048296D">
      <w:pPr>
        <w:spacing w:before="120"/>
        <w:ind w:left="720"/>
        <w:jc w:val="both"/>
        <w:rPr>
          <w:sz w:val="22"/>
          <w:szCs w:val="22"/>
        </w:rPr>
      </w:pPr>
      <w:r w:rsidRPr="004A37EE">
        <w:rPr>
          <w:rFonts w:ascii="Arial" w:eastAsia="Arial" w:hAnsi="Arial" w:cs="Arial"/>
          <w:sz w:val="22"/>
          <w:szCs w:val="22"/>
        </w:rPr>
        <w:t xml:space="preserve">Under the Outsourcing Agreement, managing agents are also permitted to appoint </w:t>
      </w:r>
      <w:proofErr w:type="spellStart"/>
      <w:r w:rsidRPr="004A37EE">
        <w:rPr>
          <w:rFonts w:ascii="Arial" w:eastAsia="Arial" w:hAnsi="Arial" w:cs="Arial"/>
          <w:sz w:val="22"/>
          <w:szCs w:val="22"/>
        </w:rPr>
        <w:t>coverholders</w:t>
      </w:r>
      <w:proofErr w:type="spellEnd"/>
      <w:r w:rsidRPr="004A37EE">
        <w:rPr>
          <w:rFonts w:ascii="Arial" w:eastAsia="Arial" w:hAnsi="Arial" w:cs="Arial"/>
          <w:sz w:val="22"/>
          <w:szCs w:val="22"/>
        </w:rPr>
        <w:t xml:space="preserve"> on behalf of Lloyd’s Brussels.  (Lloyd’s Brussels enters into a </w:t>
      </w:r>
      <w:proofErr w:type="spellStart"/>
      <w:r w:rsidRPr="004A37EE">
        <w:rPr>
          <w:rFonts w:ascii="Arial" w:eastAsia="Arial" w:hAnsi="Arial" w:cs="Arial"/>
          <w:sz w:val="22"/>
          <w:szCs w:val="22"/>
        </w:rPr>
        <w:t>Coverholder</w:t>
      </w:r>
      <w:proofErr w:type="spellEnd"/>
      <w:r w:rsidRPr="004A37EE">
        <w:rPr>
          <w:rFonts w:ascii="Arial" w:eastAsia="Arial" w:hAnsi="Arial" w:cs="Arial"/>
          <w:sz w:val="22"/>
          <w:szCs w:val="22"/>
        </w:rPr>
        <w:t xml:space="preserve"> Appointment Agreement with </w:t>
      </w:r>
      <w:proofErr w:type="spellStart"/>
      <w:r w:rsidRPr="004A37EE">
        <w:rPr>
          <w:rFonts w:ascii="Arial" w:eastAsia="Arial" w:hAnsi="Arial" w:cs="Arial"/>
          <w:sz w:val="22"/>
          <w:szCs w:val="22"/>
        </w:rPr>
        <w:t>Coverholders</w:t>
      </w:r>
      <w:proofErr w:type="spellEnd"/>
      <w:r w:rsidRPr="004A37EE">
        <w:rPr>
          <w:rFonts w:ascii="Arial" w:eastAsia="Arial" w:hAnsi="Arial" w:cs="Arial"/>
          <w:sz w:val="22"/>
          <w:szCs w:val="22"/>
        </w:rPr>
        <w:t>, using agreement “LBS0001A”, facilitated by the managing agent). Separate supplementary guidance has been produced to sit alongside the MRC Binding Authority Guidance to cover these arrangements.</w:t>
      </w:r>
    </w:p>
    <w:p w14:paraId="00FF6FE4" w14:textId="337E0AEB" w:rsidR="00592C29" w:rsidRPr="004A37EE" w:rsidRDefault="0048296D">
      <w:pPr>
        <w:spacing w:before="120"/>
        <w:ind w:left="720"/>
        <w:jc w:val="both"/>
        <w:rPr>
          <w:sz w:val="22"/>
          <w:szCs w:val="22"/>
        </w:rPr>
      </w:pPr>
      <w:r w:rsidRPr="004A37EE">
        <w:rPr>
          <w:rFonts w:ascii="Arial" w:eastAsia="Arial" w:hAnsi="Arial" w:cs="Arial"/>
          <w:sz w:val="22"/>
          <w:szCs w:val="22"/>
        </w:rPr>
        <w:t>By means of a 100% Quota Share Treaty Agreement, all risks (re)insured by Lloyd’s Brussels  are automatically and simultaneously reinsured or retroceded back to Lloyd’s Underwriters.</w:t>
      </w:r>
    </w:p>
    <w:p w14:paraId="62742131" w14:textId="3760696B" w:rsidR="00592C29" w:rsidRPr="004A37EE" w:rsidRDefault="0048296D">
      <w:pPr>
        <w:spacing w:before="120"/>
        <w:ind w:left="720"/>
        <w:jc w:val="both"/>
        <w:rPr>
          <w:sz w:val="22"/>
          <w:szCs w:val="22"/>
        </w:rPr>
      </w:pPr>
      <w:r w:rsidRPr="004A37EE">
        <w:rPr>
          <w:rFonts w:ascii="Arial" w:eastAsia="Arial" w:hAnsi="Arial" w:cs="Arial"/>
          <w:sz w:val="22"/>
          <w:szCs w:val="22"/>
        </w:rPr>
        <w:t xml:space="preserve">In this way, Lloyd’s syndicates are able (via Lloyd’s Brussels) to continue to access EEA risks post-Brexit, whilst enabling underwriters to work with the same partners (brokers and </w:t>
      </w:r>
      <w:proofErr w:type="spellStart"/>
      <w:r w:rsidRPr="004A37EE">
        <w:rPr>
          <w:rFonts w:ascii="Arial" w:eastAsia="Arial" w:hAnsi="Arial" w:cs="Arial"/>
          <w:sz w:val="22"/>
          <w:szCs w:val="22"/>
        </w:rPr>
        <w:t>Coverholders</w:t>
      </w:r>
      <w:proofErr w:type="spellEnd"/>
      <w:r w:rsidRPr="004A37EE">
        <w:rPr>
          <w:rFonts w:ascii="Arial" w:eastAsia="Arial" w:hAnsi="Arial" w:cs="Arial"/>
          <w:sz w:val="22"/>
          <w:szCs w:val="22"/>
        </w:rPr>
        <w:t>) with as little impact as possible on market processes and procedures. It should be noted that UK risks may be written by Lloyd’s Brussels or by Lloyd’s syndicates.</w:t>
      </w:r>
    </w:p>
    <w:p w14:paraId="1C2A4AD1" w14:textId="68D403A8" w:rsidR="00592C29" w:rsidRPr="004A37EE" w:rsidRDefault="0048296D">
      <w:pPr>
        <w:spacing w:before="120"/>
        <w:ind w:left="720"/>
        <w:jc w:val="both"/>
        <w:rPr>
          <w:sz w:val="22"/>
          <w:szCs w:val="22"/>
        </w:rPr>
      </w:pPr>
      <w:r w:rsidRPr="004A37EE">
        <w:rPr>
          <w:rFonts w:ascii="Arial" w:eastAsia="Arial" w:hAnsi="Arial" w:cs="Arial"/>
          <w:sz w:val="22"/>
          <w:szCs w:val="22"/>
        </w:rPr>
        <w:t>Lloyd’s syndicates are able to continue to underwrite risks in countries where Lloyd’s Brussels is licensed using an MRC, but the main differences are:</w:t>
      </w:r>
    </w:p>
    <w:p w14:paraId="1D84F617" w14:textId="3304F258" w:rsidR="00592C29" w:rsidRPr="004A37EE" w:rsidRDefault="0048296D">
      <w:pPr>
        <w:numPr>
          <w:ilvl w:val="0"/>
          <w:numId w:val="3"/>
        </w:numPr>
        <w:pBdr>
          <w:left w:val="none" w:sz="0" w:space="7" w:color="auto"/>
        </w:pBdr>
        <w:spacing w:before="120"/>
        <w:ind w:left="1080" w:hanging="430"/>
        <w:jc w:val="both"/>
        <w:rPr>
          <w:sz w:val="22"/>
          <w:szCs w:val="22"/>
        </w:rPr>
      </w:pPr>
      <w:r w:rsidRPr="004A37EE">
        <w:rPr>
          <w:rFonts w:ascii="Arial" w:eastAsia="Arial" w:hAnsi="Arial" w:cs="Arial"/>
          <w:sz w:val="22"/>
          <w:szCs w:val="22"/>
        </w:rPr>
        <w:t>Lloyd’s Insurance Company S.A. is the insurer, instead of the syndicate (as the syndicate will no longer be licensed);</w:t>
      </w:r>
    </w:p>
    <w:p w14:paraId="10E192BF" w14:textId="35A61369" w:rsidR="00592C29" w:rsidRPr="004A37EE" w:rsidRDefault="0048296D">
      <w:pPr>
        <w:numPr>
          <w:ilvl w:val="0"/>
          <w:numId w:val="3"/>
        </w:numPr>
        <w:pBdr>
          <w:left w:val="none" w:sz="0" w:space="7" w:color="auto"/>
        </w:pBdr>
        <w:spacing w:before="120"/>
        <w:ind w:left="1080" w:hanging="430"/>
        <w:jc w:val="both"/>
        <w:rPr>
          <w:sz w:val="22"/>
          <w:szCs w:val="22"/>
        </w:rPr>
      </w:pPr>
      <w:r w:rsidRPr="004A37EE">
        <w:rPr>
          <w:rFonts w:ascii="Arial" w:eastAsia="Arial" w:hAnsi="Arial" w:cs="Arial"/>
          <w:sz w:val="22"/>
          <w:szCs w:val="22"/>
        </w:rPr>
        <w:t>Syndicates will have a separate Lloyd’s Brussels stamp and need to ensure that they use this stamp when underwriting risks located in the EEA. The Lloyd’s Brussels stamp will also identify the reinsuring syndicate in addition to Lloyd’s Brussels;</w:t>
      </w:r>
    </w:p>
    <w:p w14:paraId="38C75A51" w14:textId="3F436B4D" w:rsidR="00592C29" w:rsidRPr="004A37EE" w:rsidRDefault="0048296D">
      <w:pPr>
        <w:numPr>
          <w:ilvl w:val="0"/>
          <w:numId w:val="3"/>
        </w:numPr>
        <w:pBdr>
          <w:left w:val="none" w:sz="0" w:space="7" w:color="auto"/>
        </w:pBdr>
        <w:spacing w:before="120"/>
        <w:ind w:left="1080" w:hanging="430"/>
        <w:jc w:val="both"/>
        <w:rPr>
          <w:sz w:val="22"/>
          <w:szCs w:val="22"/>
        </w:rPr>
      </w:pPr>
      <w:r w:rsidRPr="004A37EE">
        <w:rPr>
          <w:rFonts w:ascii="Arial" w:eastAsia="Arial" w:hAnsi="Arial" w:cs="Arial"/>
          <w:sz w:val="22"/>
          <w:szCs w:val="22"/>
        </w:rPr>
        <w:t>Where a policy document (Insurer Contract Documentation) is required, for the EEA risks this will be a Lloyd’s Insurance Company S.A. policy. Other Insurer Contract Documentation can also still be used as per A.16 within the original MRC implementation guide.</w:t>
      </w:r>
    </w:p>
    <w:p w14:paraId="52E0A05A" w14:textId="77777777" w:rsidR="00592C29" w:rsidRPr="004A37EE" w:rsidRDefault="0048296D">
      <w:pPr>
        <w:spacing w:before="120"/>
        <w:ind w:left="720"/>
        <w:jc w:val="both"/>
        <w:rPr>
          <w:sz w:val="22"/>
          <w:szCs w:val="22"/>
        </w:rPr>
      </w:pPr>
      <w:r w:rsidRPr="004A37EE">
        <w:rPr>
          <w:rFonts w:ascii="Arial" w:eastAsia="Arial" w:hAnsi="Arial" w:cs="Arial"/>
          <w:sz w:val="22"/>
          <w:szCs w:val="22"/>
        </w:rPr>
        <w:t xml:space="preserve">Placements that include risks in countries where Lloyd’s Brussels is unlicensed will have to be priced separately and the MRC will need to be split, or have separate sections, accordingly. The Lloyd’s Brussels licensed section (or separate MRC) must be bound using the outsourced Managing agents Lloyd’s Brussels stamp with the remainder under the syndicate stamp. Different contractual terms and conditions may also apply, dependent upon the location of risk. </w:t>
      </w:r>
    </w:p>
    <w:p w14:paraId="12376F95" w14:textId="27546C47" w:rsidR="00592C29" w:rsidRPr="004A37EE" w:rsidRDefault="0048296D" w:rsidP="00716601">
      <w:pPr>
        <w:spacing w:before="120"/>
        <w:ind w:left="720"/>
        <w:jc w:val="both"/>
        <w:rPr>
          <w:sz w:val="22"/>
          <w:szCs w:val="22"/>
        </w:rPr>
      </w:pPr>
      <w:r w:rsidRPr="004A37EE">
        <w:rPr>
          <w:rFonts w:ascii="Arial" w:eastAsia="Arial" w:hAnsi="Arial" w:cs="Arial"/>
          <w:sz w:val="22"/>
          <w:szCs w:val="22"/>
        </w:rPr>
        <w:t>To enable identification of the requirement to use Lloyd’s Brussels, and to assist in the creation of split/</w:t>
      </w:r>
      <w:proofErr w:type="spellStart"/>
      <w:r w:rsidRPr="004A37EE">
        <w:rPr>
          <w:rFonts w:ascii="Arial" w:eastAsia="Arial" w:hAnsi="Arial" w:cs="Arial"/>
          <w:sz w:val="22"/>
          <w:szCs w:val="22"/>
        </w:rPr>
        <w:t>sectionalised</w:t>
      </w:r>
      <w:proofErr w:type="spellEnd"/>
      <w:r w:rsidRPr="004A37EE">
        <w:rPr>
          <w:rFonts w:ascii="Arial" w:eastAsia="Arial" w:hAnsi="Arial" w:cs="Arial"/>
          <w:sz w:val="22"/>
          <w:szCs w:val="22"/>
        </w:rPr>
        <w:t xml:space="preserve"> MRC post Brexit, a mandatory heading (</w:t>
      </w:r>
      <w:r w:rsidRPr="004A37EE">
        <w:rPr>
          <w:rFonts w:ascii="Arial" w:eastAsia="Arial" w:hAnsi="Arial" w:cs="Arial"/>
          <w:b/>
          <w:bCs/>
          <w:sz w:val="22"/>
          <w:szCs w:val="22"/>
        </w:rPr>
        <w:t>E.3 Regulatory Risk Location</w:t>
      </w:r>
      <w:r w:rsidRPr="004A37EE">
        <w:rPr>
          <w:rFonts w:ascii="Arial" w:eastAsia="Arial" w:hAnsi="Arial" w:cs="Arial"/>
          <w:sz w:val="22"/>
          <w:szCs w:val="22"/>
        </w:rPr>
        <w:t>) was added to the MRC standard format (and guidance introduced within the Fiscal &amp; Regulatory Section of the MRC) with effect from September 2018.</w:t>
      </w:r>
    </w:p>
    <w:p w14:paraId="73C056C8" w14:textId="660C9638" w:rsidR="00592C29" w:rsidRPr="004A37EE" w:rsidRDefault="0048296D">
      <w:pPr>
        <w:spacing w:before="120"/>
        <w:ind w:left="720"/>
        <w:jc w:val="both"/>
        <w:rPr>
          <w:sz w:val="22"/>
          <w:szCs w:val="22"/>
        </w:rPr>
      </w:pPr>
      <w:r w:rsidRPr="004A37EE">
        <w:rPr>
          <w:rFonts w:ascii="Arial" w:eastAsia="Arial" w:hAnsi="Arial" w:cs="Arial"/>
          <w:sz w:val="22"/>
          <w:szCs w:val="22"/>
        </w:rPr>
        <w:t>Whilst the heading was introduced with effect from September 2018, the requirement to identify the regulatory risk location is a long-standing requirement, as is the process by which location of risk must be determined prior to compilation of the (split/</w:t>
      </w:r>
      <w:proofErr w:type="spellStart"/>
      <w:r w:rsidRPr="004A37EE">
        <w:rPr>
          <w:rFonts w:ascii="Arial" w:eastAsia="Arial" w:hAnsi="Arial" w:cs="Arial"/>
          <w:sz w:val="22"/>
          <w:szCs w:val="22"/>
        </w:rPr>
        <w:t>sectionalised</w:t>
      </w:r>
      <w:proofErr w:type="spellEnd"/>
      <w:r w:rsidRPr="004A37EE">
        <w:rPr>
          <w:rFonts w:ascii="Arial" w:eastAsia="Arial" w:hAnsi="Arial" w:cs="Arial"/>
          <w:sz w:val="22"/>
          <w:szCs w:val="22"/>
        </w:rPr>
        <w:t xml:space="preserve">) MRC. </w:t>
      </w:r>
    </w:p>
    <w:p w14:paraId="34CE2494" w14:textId="231507B2" w:rsidR="00592C29" w:rsidRPr="004A37EE" w:rsidRDefault="0048296D">
      <w:pPr>
        <w:spacing w:before="120"/>
        <w:ind w:left="720"/>
        <w:jc w:val="both"/>
        <w:rPr>
          <w:sz w:val="22"/>
          <w:szCs w:val="22"/>
        </w:rPr>
      </w:pPr>
      <w:r w:rsidRPr="004A37EE">
        <w:rPr>
          <w:rFonts w:ascii="Arial" w:eastAsia="Arial" w:hAnsi="Arial" w:cs="Arial"/>
          <w:sz w:val="22"/>
          <w:szCs w:val="22"/>
        </w:rPr>
        <w:lastRenderedPageBreak/>
        <w:t>A far greater emphasis will be placed upon Regulatory Risk Location post Brexit and there needs to be clear distinction made between location of risk and related but very different pieces of information (e.g. insured’s domicile/address, situation/territorial scope) contained elsewhere within the MRC.</w:t>
      </w:r>
    </w:p>
    <w:p w14:paraId="635E0739" w14:textId="1D028218" w:rsidR="00592C29" w:rsidRPr="004A37EE" w:rsidRDefault="0048296D">
      <w:pPr>
        <w:spacing w:before="120"/>
        <w:ind w:left="720"/>
        <w:jc w:val="both"/>
        <w:rPr>
          <w:sz w:val="22"/>
          <w:szCs w:val="22"/>
        </w:rPr>
      </w:pPr>
      <w:r w:rsidRPr="004A37EE">
        <w:rPr>
          <w:rFonts w:ascii="Arial" w:eastAsia="Arial" w:hAnsi="Arial" w:cs="Arial"/>
          <w:sz w:val="22"/>
          <w:szCs w:val="22"/>
        </w:rPr>
        <w:t>For further guidance on Regulatory Risk Location, see guidance on heading E.3 (within Chapter 8) below.</w:t>
      </w:r>
    </w:p>
    <w:p w14:paraId="2947FE29" w14:textId="77777777" w:rsidR="00592C29" w:rsidRPr="004A37EE" w:rsidRDefault="00592C29">
      <w:pPr>
        <w:rPr>
          <w:sz w:val="22"/>
          <w:szCs w:val="22"/>
        </w:rPr>
      </w:pPr>
    </w:p>
    <w:p w14:paraId="49EE2650" w14:textId="77777777" w:rsidR="00592C29" w:rsidRDefault="0048296D">
      <w:pPr>
        <w:pStyle w:val="Heading2"/>
        <w:rPr>
          <w:sz w:val="28"/>
          <w:szCs w:val="28"/>
        </w:rPr>
      </w:pPr>
      <w:bookmarkStart w:id="12" w:name="_Toc21706632"/>
      <w:bookmarkStart w:id="13" w:name="_Toc31396067"/>
      <w:r>
        <w:rPr>
          <w:rFonts w:ascii="Arial" w:eastAsia="Arial" w:hAnsi="Arial" w:cs="Arial"/>
          <w:i/>
          <w:color w:val="0070C0"/>
          <w:sz w:val="28"/>
          <w:szCs w:val="28"/>
        </w:rPr>
        <w:t>2.2 Benefits</w:t>
      </w:r>
      <w:bookmarkEnd w:id="12"/>
      <w:bookmarkEnd w:id="13"/>
    </w:p>
    <w:p w14:paraId="5040A679" w14:textId="77777777" w:rsidR="00592C29" w:rsidRDefault="00592C29">
      <w:pPr>
        <w:rPr>
          <w:sz w:val="22"/>
          <w:szCs w:val="22"/>
        </w:rPr>
      </w:pPr>
    </w:p>
    <w:p w14:paraId="5B3F60DF" w14:textId="77777777" w:rsidR="00592C29" w:rsidRDefault="0048296D">
      <w:pPr>
        <w:spacing w:before="120"/>
        <w:ind w:left="720"/>
        <w:jc w:val="both"/>
        <w:rPr>
          <w:sz w:val="22"/>
          <w:szCs w:val="22"/>
        </w:rPr>
      </w:pPr>
      <w:r>
        <w:rPr>
          <w:rFonts w:ascii="Arial" w:eastAsia="Arial" w:hAnsi="Arial" w:cs="Arial"/>
          <w:sz w:val="22"/>
          <w:szCs w:val="22"/>
        </w:rPr>
        <w:t>This Guidance is intended to assist the market in the production of split/</w:t>
      </w:r>
      <w:proofErr w:type="spellStart"/>
      <w:r>
        <w:rPr>
          <w:rFonts w:ascii="Arial" w:eastAsia="Arial" w:hAnsi="Arial" w:cs="Arial"/>
          <w:sz w:val="22"/>
          <w:szCs w:val="22"/>
        </w:rPr>
        <w:t>sectionalised</w:t>
      </w:r>
      <w:proofErr w:type="spellEnd"/>
      <w:r>
        <w:rPr>
          <w:rFonts w:ascii="Arial" w:eastAsia="Arial" w:hAnsi="Arial" w:cs="Arial"/>
          <w:sz w:val="22"/>
          <w:szCs w:val="22"/>
        </w:rPr>
        <w:t xml:space="preserve"> MRC for Lloyd’s Brussels / Non-Lloyd’s Brussels risks.</w:t>
      </w:r>
    </w:p>
    <w:p w14:paraId="297440F3" w14:textId="77777777" w:rsidR="00592C29" w:rsidRDefault="0048296D">
      <w:pPr>
        <w:spacing w:before="120"/>
        <w:ind w:left="720"/>
        <w:jc w:val="both"/>
        <w:rPr>
          <w:sz w:val="22"/>
          <w:szCs w:val="22"/>
        </w:rPr>
      </w:pPr>
      <w:r>
        <w:rPr>
          <w:rFonts w:ascii="Arial" w:eastAsia="Arial" w:hAnsi="Arial" w:cs="Arial"/>
          <w:sz w:val="22"/>
          <w:szCs w:val="22"/>
        </w:rPr>
        <w:t>A standard layout for split/</w:t>
      </w:r>
      <w:proofErr w:type="spellStart"/>
      <w:r>
        <w:rPr>
          <w:rFonts w:ascii="Arial" w:eastAsia="Arial" w:hAnsi="Arial" w:cs="Arial"/>
          <w:sz w:val="22"/>
          <w:szCs w:val="22"/>
        </w:rPr>
        <w:t>sectionalised</w:t>
      </w:r>
      <w:proofErr w:type="spellEnd"/>
      <w:r>
        <w:rPr>
          <w:rFonts w:ascii="Arial" w:eastAsia="Arial" w:hAnsi="Arial" w:cs="Arial"/>
          <w:sz w:val="22"/>
          <w:szCs w:val="22"/>
        </w:rPr>
        <w:t xml:space="preserve"> MRC: </w:t>
      </w:r>
    </w:p>
    <w:p w14:paraId="6BEC805E" w14:textId="77777777" w:rsidR="00592C29" w:rsidRPr="00AB53D2" w:rsidRDefault="0048296D">
      <w:pPr>
        <w:numPr>
          <w:ilvl w:val="0"/>
          <w:numId w:val="4"/>
        </w:numPr>
        <w:pBdr>
          <w:left w:val="none" w:sz="0" w:space="7" w:color="auto"/>
        </w:pBdr>
        <w:spacing w:before="120"/>
        <w:ind w:left="1080" w:hanging="430"/>
        <w:jc w:val="both"/>
        <w:rPr>
          <w:color w:val="0070C0"/>
          <w:sz w:val="22"/>
          <w:szCs w:val="22"/>
        </w:rPr>
      </w:pPr>
      <w:r>
        <w:rPr>
          <w:rFonts w:ascii="Arial" w:eastAsia="Arial" w:hAnsi="Arial" w:cs="Arial"/>
          <w:color w:val="000000"/>
          <w:sz w:val="22"/>
          <w:szCs w:val="22"/>
        </w:rPr>
        <w:t>Provides a consistent approach and format for clients;</w:t>
      </w:r>
    </w:p>
    <w:p w14:paraId="6B058B09" w14:textId="77777777" w:rsidR="00592C29" w:rsidRPr="00AB53D2" w:rsidRDefault="0048296D">
      <w:pPr>
        <w:numPr>
          <w:ilvl w:val="0"/>
          <w:numId w:val="4"/>
        </w:numPr>
        <w:pBdr>
          <w:left w:val="none" w:sz="0" w:space="7" w:color="auto"/>
        </w:pBdr>
        <w:spacing w:before="120"/>
        <w:ind w:left="1080" w:hanging="430"/>
        <w:jc w:val="both"/>
        <w:rPr>
          <w:color w:val="0070C0"/>
          <w:sz w:val="22"/>
          <w:szCs w:val="22"/>
        </w:rPr>
      </w:pPr>
      <w:r>
        <w:rPr>
          <w:rFonts w:ascii="Arial" w:eastAsia="Arial" w:hAnsi="Arial" w:cs="Arial"/>
          <w:color w:val="000000"/>
          <w:sz w:val="22"/>
          <w:szCs w:val="22"/>
        </w:rPr>
        <w:t>makes the operational requirements of Lloyd’s Brussels as efficient as possible;</w:t>
      </w:r>
    </w:p>
    <w:p w14:paraId="4EB3BFE5" w14:textId="77777777" w:rsidR="00592C29" w:rsidRPr="00AB53D2" w:rsidRDefault="0048296D">
      <w:pPr>
        <w:numPr>
          <w:ilvl w:val="0"/>
          <w:numId w:val="4"/>
        </w:numPr>
        <w:pBdr>
          <w:left w:val="none" w:sz="0" w:space="7" w:color="auto"/>
        </w:pBdr>
        <w:spacing w:before="120"/>
        <w:ind w:left="1080" w:hanging="430"/>
        <w:rPr>
          <w:color w:val="0070C0"/>
          <w:sz w:val="22"/>
          <w:szCs w:val="22"/>
        </w:rPr>
      </w:pPr>
      <w:r>
        <w:rPr>
          <w:rFonts w:ascii="Arial" w:eastAsia="Arial" w:hAnsi="Arial" w:cs="Arial"/>
          <w:color w:val="000000"/>
          <w:sz w:val="22"/>
          <w:szCs w:val="22"/>
        </w:rPr>
        <w:t xml:space="preserve">makes subsequent processes more efficient (e.g. downstream processing via the bureau and administration, creation of contract documentation </w:t>
      </w:r>
      <w:proofErr w:type="spellStart"/>
      <w:r>
        <w:rPr>
          <w:rFonts w:ascii="Arial" w:eastAsia="Arial" w:hAnsi="Arial" w:cs="Arial"/>
          <w:color w:val="000000"/>
          <w:sz w:val="22"/>
          <w:szCs w:val="22"/>
        </w:rPr>
        <w:t>etc</w:t>
      </w:r>
      <w:proofErr w:type="spellEnd"/>
      <w:r>
        <w:rPr>
          <w:rFonts w:ascii="Arial" w:eastAsia="Arial" w:hAnsi="Arial" w:cs="Arial"/>
          <w:color w:val="000000"/>
          <w:sz w:val="22"/>
          <w:szCs w:val="22"/>
        </w:rPr>
        <w:t>).</w:t>
      </w:r>
    </w:p>
    <w:p w14:paraId="7E0B51DD" w14:textId="77777777" w:rsidR="004A37EE" w:rsidRDefault="004A37EE">
      <w:pPr>
        <w:spacing w:before="120"/>
        <w:ind w:left="720"/>
        <w:jc w:val="both"/>
        <w:rPr>
          <w:rFonts w:ascii="Arial" w:eastAsia="Arial" w:hAnsi="Arial" w:cs="Arial"/>
          <w:sz w:val="22"/>
          <w:szCs w:val="22"/>
        </w:rPr>
      </w:pPr>
    </w:p>
    <w:p w14:paraId="60D5961F" w14:textId="04459FAD" w:rsidR="00592C29" w:rsidRPr="004A37EE" w:rsidRDefault="0048296D">
      <w:pPr>
        <w:spacing w:before="120"/>
        <w:ind w:left="720"/>
        <w:jc w:val="both"/>
        <w:rPr>
          <w:sz w:val="22"/>
          <w:szCs w:val="22"/>
        </w:rPr>
      </w:pPr>
      <w:r w:rsidRPr="004A37EE">
        <w:rPr>
          <w:rFonts w:ascii="Arial" w:eastAsia="Arial" w:hAnsi="Arial" w:cs="Arial"/>
          <w:sz w:val="22"/>
          <w:szCs w:val="22"/>
        </w:rPr>
        <w:t>Where the risk is 100% EEA, placed with Lloyd’s Brussels, the main MRC Guidance ‘Market Reform Contract Open Market Implementation Guide’ v2.0 should be followed.</w:t>
      </w:r>
    </w:p>
    <w:p w14:paraId="7CED0C9C" w14:textId="77777777" w:rsidR="00592C29" w:rsidRDefault="0048296D">
      <w:pPr>
        <w:spacing w:before="120"/>
        <w:ind w:left="1080"/>
        <w:jc w:val="both"/>
        <w:rPr>
          <w:sz w:val="22"/>
          <w:szCs w:val="22"/>
        </w:rPr>
      </w:pPr>
      <w:r>
        <w:rPr>
          <w:sz w:val="22"/>
          <w:szCs w:val="22"/>
        </w:rPr>
        <w:br w:type="page"/>
      </w:r>
    </w:p>
    <w:p w14:paraId="2D09A559" w14:textId="77777777" w:rsidR="00592C29" w:rsidRDefault="0048296D">
      <w:pPr>
        <w:pStyle w:val="Heading1"/>
        <w:rPr>
          <w:sz w:val="40"/>
          <w:szCs w:val="40"/>
        </w:rPr>
      </w:pPr>
      <w:bookmarkStart w:id="14" w:name="_Toc21706633"/>
      <w:bookmarkStart w:id="15" w:name="_Toc31396068"/>
      <w:r>
        <w:rPr>
          <w:rFonts w:ascii="Arial" w:eastAsia="Arial" w:hAnsi="Arial" w:cs="Arial"/>
          <w:color w:val="0070C0"/>
          <w:sz w:val="40"/>
          <w:szCs w:val="40"/>
        </w:rPr>
        <w:lastRenderedPageBreak/>
        <w:t>Chapter 3 - Market Reform Contract Layout</w:t>
      </w:r>
      <w:bookmarkEnd w:id="14"/>
      <w:bookmarkEnd w:id="15"/>
    </w:p>
    <w:p w14:paraId="661917BA" w14:textId="77777777" w:rsidR="00592C29" w:rsidRDefault="00592C29">
      <w:pPr>
        <w:rPr>
          <w:sz w:val="22"/>
          <w:szCs w:val="22"/>
        </w:rPr>
      </w:pPr>
    </w:p>
    <w:p w14:paraId="6BB036F3" w14:textId="77777777" w:rsidR="00592C29" w:rsidRDefault="0048296D">
      <w:pPr>
        <w:pStyle w:val="Heading2"/>
        <w:rPr>
          <w:sz w:val="28"/>
          <w:szCs w:val="28"/>
        </w:rPr>
      </w:pPr>
      <w:bookmarkStart w:id="16" w:name="_Toc21706634"/>
      <w:bookmarkStart w:id="17" w:name="_Toc31396069"/>
      <w:r>
        <w:rPr>
          <w:rFonts w:ascii="Arial" w:eastAsia="Arial" w:hAnsi="Arial" w:cs="Arial"/>
          <w:i/>
          <w:color w:val="0070C0"/>
          <w:sz w:val="28"/>
          <w:szCs w:val="28"/>
        </w:rPr>
        <w:t>3.1 Document Format/Construction, Order and use of Headings</w:t>
      </w:r>
      <w:bookmarkEnd w:id="16"/>
      <w:bookmarkEnd w:id="17"/>
    </w:p>
    <w:p w14:paraId="6238F632" w14:textId="77777777" w:rsidR="00592C29" w:rsidRDefault="0048296D">
      <w:pPr>
        <w:spacing w:before="120"/>
        <w:jc w:val="both"/>
        <w:rPr>
          <w:sz w:val="22"/>
          <w:szCs w:val="22"/>
        </w:rPr>
      </w:pPr>
      <w:r>
        <w:rPr>
          <w:rFonts w:ascii="Arial" w:eastAsia="Arial" w:hAnsi="Arial" w:cs="Arial"/>
          <w:sz w:val="22"/>
          <w:szCs w:val="22"/>
        </w:rPr>
        <w:t xml:space="preserve"> </w:t>
      </w:r>
    </w:p>
    <w:p w14:paraId="3E49C7FC" w14:textId="77777777" w:rsidR="00592C29" w:rsidRDefault="0048296D">
      <w:pPr>
        <w:spacing w:before="120"/>
        <w:ind w:left="709"/>
        <w:jc w:val="both"/>
        <w:rPr>
          <w:sz w:val="22"/>
          <w:szCs w:val="22"/>
        </w:rPr>
      </w:pPr>
      <w:r>
        <w:rPr>
          <w:rFonts w:ascii="Arial" w:eastAsia="Arial" w:hAnsi="Arial" w:cs="Arial"/>
          <w:sz w:val="22"/>
          <w:szCs w:val="22"/>
        </w:rPr>
        <w:t>As indicated above, all risks written by Lloyd’s Brussels must be presented on an MRC format. Risks that include both EEA and non-EEA exposures will have to be priced separately and the MRC will need to be ‘split’, or have separate sections, accordingly.</w:t>
      </w:r>
    </w:p>
    <w:p w14:paraId="2F89F700" w14:textId="77777777" w:rsidR="00592C29" w:rsidRDefault="0048296D">
      <w:pPr>
        <w:spacing w:before="120"/>
        <w:ind w:left="709"/>
        <w:jc w:val="both"/>
        <w:rPr>
          <w:sz w:val="22"/>
          <w:szCs w:val="22"/>
        </w:rPr>
      </w:pPr>
      <w:r>
        <w:rPr>
          <w:rFonts w:ascii="Arial" w:eastAsia="Arial" w:hAnsi="Arial" w:cs="Arial"/>
          <w:sz w:val="22"/>
          <w:szCs w:val="22"/>
        </w:rPr>
        <w:t>There are 3 different approaches that may be adopted:</w:t>
      </w:r>
    </w:p>
    <w:p w14:paraId="5AD5766B" w14:textId="1A69C7C9" w:rsidR="00592C29" w:rsidRPr="00AB53D2" w:rsidRDefault="0048296D">
      <w:pPr>
        <w:numPr>
          <w:ilvl w:val="0"/>
          <w:numId w:val="5"/>
        </w:numPr>
        <w:pBdr>
          <w:left w:val="none" w:sz="0" w:space="7" w:color="auto"/>
        </w:pBdr>
        <w:spacing w:before="120"/>
        <w:ind w:left="1080" w:hanging="430"/>
        <w:jc w:val="both"/>
        <w:rPr>
          <w:color w:val="0070C0"/>
          <w:sz w:val="22"/>
          <w:szCs w:val="22"/>
        </w:rPr>
      </w:pPr>
      <w:r>
        <w:rPr>
          <w:rFonts w:ascii="Arial" w:eastAsia="Arial" w:hAnsi="Arial" w:cs="Arial"/>
          <w:color w:val="000000"/>
          <w:sz w:val="22"/>
          <w:szCs w:val="22"/>
        </w:rPr>
        <w:t xml:space="preserve">Splitting the premium for EEA (including </w:t>
      </w:r>
      <w:r w:rsidRPr="007B7A82">
        <w:rPr>
          <w:rFonts w:ascii="Arial" w:eastAsia="Arial" w:hAnsi="Arial" w:cs="Arial"/>
          <w:sz w:val="22"/>
          <w:szCs w:val="22"/>
        </w:rPr>
        <w:t>Monaco where appropriate) and non-EEA risks with separate market sheets for each set of licensed insurers (Lloyd’s Brussels / Lloyd’s Syndicates) Note: UK can</w:t>
      </w:r>
      <w:r>
        <w:rPr>
          <w:rFonts w:ascii="Arial" w:eastAsia="Arial" w:hAnsi="Arial" w:cs="Arial"/>
          <w:color w:val="000000"/>
          <w:sz w:val="22"/>
          <w:szCs w:val="22"/>
        </w:rPr>
        <w:t xml:space="preserve"> be underwritten by Lloyd’s Brussels or syndicates;</w:t>
      </w:r>
    </w:p>
    <w:p w14:paraId="4A2CC249" w14:textId="11163C40" w:rsidR="00592C29" w:rsidRPr="00AB53D2" w:rsidRDefault="0048296D">
      <w:pPr>
        <w:numPr>
          <w:ilvl w:val="0"/>
          <w:numId w:val="5"/>
        </w:numPr>
        <w:pBdr>
          <w:left w:val="none" w:sz="0" w:space="7" w:color="auto"/>
        </w:pBdr>
        <w:spacing w:before="120"/>
        <w:ind w:left="1080" w:hanging="430"/>
        <w:jc w:val="both"/>
        <w:rPr>
          <w:color w:val="0070C0"/>
          <w:sz w:val="22"/>
          <w:szCs w:val="22"/>
        </w:rPr>
      </w:pPr>
      <w:r>
        <w:rPr>
          <w:rFonts w:ascii="Arial" w:eastAsia="Arial" w:hAnsi="Arial" w:cs="Arial"/>
          <w:color w:val="000000"/>
          <w:sz w:val="22"/>
          <w:szCs w:val="22"/>
        </w:rPr>
        <w:t>Using the current market approach for sectioning an MRC – A) for EEA (including Monaco</w:t>
      </w:r>
      <w:r w:rsidRPr="007B7A82">
        <w:rPr>
          <w:rFonts w:ascii="Arial" w:eastAsia="Arial" w:hAnsi="Arial" w:cs="Arial"/>
          <w:sz w:val="22"/>
          <w:szCs w:val="22"/>
        </w:rPr>
        <w:t xml:space="preserve">)  risks and B) for non-EEA risks (where different terms and conditions apply to the EEA and </w:t>
      </w:r>
      <w:r w:rsidR="00B44623" w:rsidRPr="007B7A82">
        <w:rPr>
          <w:rFonts w:ascii="Arial" w:eastAsia="Arial" w:hAnsi="Arial" w:cs="Arial"/>
          <w:sz w:val="22"/>
          <w:szCs w:val="22"/>
        </w:rPr>
        <w:t>non-EEA</w:t>
      </w:r>
      <w:r w:rsidRPr="007B7A82">
        <w:rPr>
          <w:rFonts w:ascii="Arial" w:eastAsia="Arial" w:hAnsi="Arial" w:cs="Arial"/>
          <w:sz w:val="22"/>
          <w:szCs w:val="22"/>
        </w:rPr>
        <w:t xml:space="preserve"> sections);</w:t>
      </w:r>
    </w:p>
    <w:p w14:paraId="32263513" w14:textId="0ED45A9B" w:rsidR="00592C29" w:rsidRPr="00AB53D2" w:rsidRDefault="0048296D">
      <w:pPr>
        <w:numPr>
          <w:ilvl w:val="0"/>
          <w:numId w:val="5"/>
        </w:numPr>
        <w:pBdr>
          <w:left w:val="none" w:sz="0" w:space="7" w:color="auto"/>
        </w:pBdr>
        <w:spacing w:before="120"/>
        <w:ind w:left="1080" w:hanging="430"/>
        <w:jc w:val="both"/>
        <w:rPr>
          <w:color w:val="0070C0"/>
          <w:sz w:val="22"/>
          <w:szCs w:val="22"/>
        </w:rPr>
      </w:pPr>
      <w:r>
        <w:rPr>
          <w:rFonts w:ascii="Arial" w:eastAsia="Arial" w:hAnsi="Arial" w:cs="Arial"/>
          <w:color w:val="000000"/>
          <w:sz w:val="22"/>
          <w:szCs w:val="22"/>
        </w:rPr>
        <w:t xml:space="preserve">Two totally separate MRCs for EEA (including </w:t>
      </w:r>
      <w:r w:rsidRPr="007B7A82">
        <w:rPr>
          <w:rFonts w:ascii="Arial" w:eastAsia="Arial" w:hAnsi="Arial" w:cs="Arial"/>
          <w:sz w:val="22"/>
          <w:szCs w:val="22"/>
        </w:rPr>
        <w:t>Monaco)  and</w:t>
      </w:r>
      <w:r>
        <w:rPr>
          <w:rFonts w:ascii="Arial" w:eastAsia="Arial" w:hAnsi="Arial" w:cs="Arial"/>
          <w:color w:val="000000"/>
          <w:sz w:val="22"/>
          <w:szCs w:val="22"/>
        </w:rPr>
        <w:t xml:space="preserve"> non-EEA risks, </w:t>
      </w:r>
    </w:p>
    <w:p w14:paraId="7ECEE979" w14:textId="77777777" w:rsidR="00592C29" w:rsidRDefault="0048296D">
      <w:pPr>
        <w:spacing w:before="120"/>
        <w:ind w:left="1080"/>
        <w:jc w:val="both"/>
        <w:rPr>
          <w:sz w:val="22"/>
          <w:szCs w:val="22"/>
        </w:rPr>
      </w:pPr>
      <w:r>
        <w:rPr>
          <w:rFonts w:ascii="Arial" w:eastAsia="Arial" w:hAnsi="Arial" w:cs="Arial"/>
          <w:sz w:val="22"/>
          <w:szCs w:val="22"/>
        </w:rPr>
        <w:t>Each of these approaches will require appropriate interlocking language for “global” placements.</w:t>
      </w:r>
    </w:p>
    <w:p w14:paraId="62DFC369" w14:textId="03A4A256" w:rsidR="00592C29" w:rsidRDefault="0048296D">
      <w:pPr>
        <w:spacing w:before="120"/>
        <w:ind w:left="1080"/>
        <w:jc w:val="both"/>
        <w:rPr>
          <w:sz w:val="22"/>
          <w:szCs w:val="22"/>
        </w:rPr>
      </w:pPr>
      <w:r>
        <w:rPr>
          <w:rFonts w:ascii="Arial" w:eastAsia="Arial" w:hAnsi="Arial" w:cs="Arial"/>
          <w:sz w:val="22"/>
          <w:szCs w:val="22"/>
        </w:rPr>
        <w:t xml:space="preserve">The language used to identify the territorial splits aligning with the licensed insurers </w:t>
      </w:r>
      <w:r w:rsidRPr="007B7A82">
        <w:rPr>
          <w:rFonts w:ascii="Arial" w:eastAsia="Arial" w:hAnsi="Arial" w:cs="Arial"/>
          <w:b/>
          <w:bCs/>
          <w:sz w:val="22"/>
          <w:szCs w:val="22"/>
        </w:rPr>
        <w:t>must</w:t>
      </w:r>
      <w:r w:rsidRPr="007B7A82">
        <w:rPr>
          <w:rFonts w:ascii="Arial" w:eastAsia="Arial" w:hAnsi="Arial" w:cs="Arial"/>
          <w:sz w:val="22"/>
          <w:szCs w:val="22"/>
        </w:rPr>
        <w:t xml:space="preserve"> be articulated in the formats shown in the samples contained within Appendix 2. This allows the automated data capture of the risks for the Brussels subsidiary to take place.</w:t>
      </w:r>
    </w:p>
    <w:p w14:paraId="3D58881C" w14:textId="77777777" w:rsidR="00592C29" w:rsidRDefault="00592C29">
      <w:pPr>
        <w:spacing w:before="120"/>
        <w:ind w:left="720"/>
        <w:jc w:val="both"/>
        <w:rPr>
          <w:sz w:val="22"/>
          <w:szCs w:val="22"/>
        </w:rPr>
      </w:pPr>
    </w:p>
    <w:p w14:paraId="086A6268" w14:textId="055E76FA" w:rsidR="00592C29" w:rsidRDefault="0048296D">
      <w:pPr>
        <w:spacing w:before="120"/>
        <w:ind w:left="720"/>
        <w:jc w:val="both"/>
        <w:rPr>
          <w:sz w:val="22"/>
          <w:szCs w:val="22"/>
        </w:rPr>
      </w:pPr>
      <w:r>
        <w:rPr>
          <w:rFonts w:ascii="Arial" w:eastAsia="Arial" w:hAnsi="Arial" w:cs="Arial"/>
          <w:sz w:val="22"/>
          <w:szCs w:val="22"/>
        </w:rPr>
        <w:t xml:space="preserve">In </w:t>
      </w:r>
      <w:r w:rsidRPr="007B7A82">
        <w:rPr>
          <w:rFonts w:ascii="Arial" w:eastAsia="Arial" w:hAnsi="Arial" w:cs="Arial"/>
          <w:sz w:val="22"/>
          <w:szCs w:val="22"/>
        </w:rPr>
        <w:t>each case, the existing standard layout, as set out in the Market Reform Contract Open Market Implementation Guide v2.0, is still to be used, whereby the MRC is made up of six parts:</w:t>
      </w:r>
    </w:p>
    <w:p w14:paraId="744DE727" w14:textId="77777777" w:rsidR="00592C29" w:rsidRPr="00AB53D2" w:rsidRDefault="0048296D">
      <w:pPr>
        <w:numPr>
          <w:ilvl w:val="0"/>
          <w:numId w:val="6"/>
        </w:numPr>
        <w:pBdr>
          <w:left w:val="none" w:sz="0" w:space="7" w:color="auto"/>
        </w:pBdr>
        <w:spacing w:before="120"/>
        <w:ind w:left="1080" w:hanging="430"/>
        <w:jc w:val="both"/>
        <w:rPr>
          <w:color w:val="0070C0"/>
          <w:sz w:val="22"/>
          <w:szCs w:val="22"/>
        </w:rPr>
      </w:pPr>
      <w:r>
        <w:rPr>
          <w:rFonts w:ascii="Arial" w:eastAsia="Arial" w:hAnsi="Arial" w:cs="Arial"/>
          <w:b/>
          <w:bCs/>
          <w:color w:val="000000"/>
          <w:sz w:val="22"/>
          <w:szCs w:val="22"/>
        </w:rPr>
        <w:t>Risk Details</w:t>
      </w:r>
      <w:r>
        <w:rPr>
          <w:rFonts w:ascii="Arial" w:eastAsia="Arial" w:hAnsi="Arial" w:cs="Arial"/>
          <w:color w:val="000000"/>
          <w:sz w:val="22"/>
          <w:szCs w:val="22"/>
        </w:rPr>
        <w:t>; details of the risk/contract involved, such as insured, type, coverage, conditions, etc.</w:t>
      </w:r>
    </w:p>
    <w:p w14:paraId="6BA9A5EC" w14:textId="77777777" w:rsidR="00592C29" w:rsidRPr="00AB53D2" w:rsidRDefault="0048296D">
      <w:pPr>
        <w:numPr>
          <w:ilvl w:val="0"/>
          <w:numId w:val="6"/>
        </w:numPr>
        <w:pBdr>
          <w:left w:val="none" w:sz="0" w:space="7" w:color="auto"/>
        </w:pBdr>
        <w:spacing w:before="120"/>
        <w:ind w:left="1080" w:hanging="430"/>
        <w:jc w:val="both"/>
        <w:rPr>
          <w:color w:val="0070C0"/>
          <w:sz w:val="22"/>
          <w:szCs w:val="22"/>
        </w:rPr>
      </w:pPr>
      <w:r>
        <w:rPr>
          <w:rFonts w:ascii="Arial" w:eastAsia="Arial" w:hAnsi="Arial" w:cs="Arial"/>
          <w:b/>
          <w:bCs/>
          <w:color w:val="000000"/>
          <w:sz w:val="22"/>
          <w:szCs w:val="22"/>
        </w:rPr>
        <w:t>Information</w:t>
      </w:r>
      <w:r>
        <w:rPr>
          <w:rFonts w:ascii="Arial" w:eastAsia="Arial" w:hAnsi="Arial" w:cs="Arial"/>
          <w:color w:val="000000"/>
          <w:sz w:val="22"/>
          <w:szCs w:val="22"/>
        </w:rPr>
        <w:t>; free text additional information.</w:t>
      </w:r>
    </w:p>
    <w:p w14:paraId="664F3828" w14:textId="77777777" w:rsidR="00592C29" w:rsidRPr="00AB53D2" w:rsidRDefault="0048296D">
      <w:pPr>
        <w:numPr>
          <w:ilvl w:val="0"/>
          <w:numId w:val="6"/>
        </w:numPr>
        <w:pBdr>
          <w:left w:val="none" w:sz="0" w:space="7" w:color="auto"/>
        </w:pBdr>
        <w:spacing w:before="120"/>
        <w:ind w:left="1080" w:hanging="430"/>
        <w:jc w:val="both"/>
        <w:rPr>
          <w:color w:val="0070C0"/>
          <w:sz w:val="22"/>
          <w:szCs w:val="22"/>
        </w:rPr>
      </w:pPr>
      <w:r>
        <w:rPr>
          <w:rFonts w:ascii="Arial" w:eastAsia="Arial" w:hAnsi="Arial" w:cs="Arial"/>
          <w:b/>
          <w:bCs/>
          <w:color w:val="000000"/>
          <w:sz w:val="22"/>
          <w:szCs w:val="22"/>
        </w:rPr>
        <w:t>Security Details</w:t>
      </w:r>
      <w:r>
        <w:rPr>
          <w:rFonts w:ascii="Arial" w:eastAsia="Arial" w:hAnsi="Arial" w:cs="Arial"/>
          <w:color w:val="000000"/>
          <w:sz w:val="22"/>
          <w:szCs w:val="22"/>
        </w:rPr>
        <w:t>; includes Insurers’ Liability; Order Hereon; Basis of Written Lines; Basis of Signed Lines, Signing Provisions, insurers’ “stamp” details. These indicate each insurer’s share of the risk and their reference(s).</w:t>
      </w:r>
    </w:p>
    <w:p w14:paraId="082A4641" w14:textId="77777777" w:rsidR="00592C29" w:rsidRPr="00AB53D2" w:rsidRDefault="0048296D">
      <w:pPr>
        <w:numPr>
          <w:ilvl w:val="0"/>
          <w:numId w:val="6"/>
        </w:numPr>
        <w:pBdr>
          <w:left w:val="none" w:sz="0" w:space="7" w:color="auto"/>
        </w:pBdr>
        <w:spacing w:before="120"/>
        <w:ind w:left="1080" w:hanging="430"/>
        <w:jc w:val="both"/>
        <w:rPr>
          <w:color w:val="0070C0"/>
          <w:sz w:val="22"/>
          <w:szCs w:val="22"/>
        </w:rPr>
      </w:pPr>
      <w:r>
        <w:rPr>
          <w:rFonts w:ascii="Arial" w:eastAsia="Arial" w:hAnsi="Arial" w:cs="Arial"/>
          <w:b/>
          <w:bCs/>
          <w:color w:val="000000"/>
          <w:sz w:val="22"/>
          <w:szCs w:val="22"/>
        </w:rPr>
        <w:t>Subscription Agreement</w:t>
      </w:r>
      <w:r>
        <w:rPr>
          <w:rFonts w:ascii="Arial" w:eastAsia="Arial" w:hAnsi="Arial" w:cs="Arial"/>
          <w:color w:val="000000"/>
          <w:sz w:val="22"/>
          <w:szCs w:val="22"/>
        </w:rPr>
        <w:t>; this establishes the rules to be followed for processing and administration of post-placement amendments and transactions.</w:t>
      </w:r>
    </w:p>
    <w:p w14:paraId="58D5D86B" w14:textId="77777777" w:rsidR="00592C29" w:rsidRPr="00AB53D2" w:rsidRDefault="0048296D">
      <w:pPr>
        <w:numPr>
          <w:ilvl w:val="0"/>
          <w:numId w:val="6"/>
        </w:numPr>
        <w:pBdr>
          <w:left w:val="none" w:sz="0" w:space="7" w:color="auto"/>
        </w:pBdr>
        <w:spacing w:before="120"/>
        <w:ind w:left="1080" w:hanging="430"/>
        <w:jc w:val="both"/>
        <w:rPr>
          <w:color w:val="0070C0"/>
          <w:sz w:val="22"/>
          <w:szCs w:val="22"/>
        </w:rPr>
      </w:pPr>
      <w:r>
        <w:rPr>
          <w:rFonts w:ascii="Arial" w:eastAsia="Arial" w:hAnsi="Arial" w:cs="Arial"/>
          <w:b/>
          <w:bCs/>
          <w:color w:val="000000"/>
          <w:sz w:val="22"/>
          <w:szCs w:val="22"/>
        </w:rPr>
        <w:t>Fiscal and Regulatory</w:t>
      </w:r>
      <w:r>
        <w:rPr>
          <w:rFonts w:ascii="Arial" w:eastAsia="Arial" w:hAnsi="Arial" w:cs="Arial"/>
          <w:color w:val="000000"/>
          <w:sz w:val="22"/>
          <w:szCs w:val="22"/>
        </w:rPr>
        <w:t>; Fiscal and Regulatory issues specific to the insurers involved in the risk.</w:t>
      </w:r>
    </w:p>
    <w:p w14:paraId="1EDC728A" w14:textId="77777777" w:rsidR="00592C29" w:rsidRPr="00AB53D2" w:rsidRDefault="0048296D">
      <w:pPr>
        <w:numPr>
          <w:ilvl w:val="0"/>
          <w:numId w:val="6"/>
        </w:numPr>
        <w:pBdr>
          <w:left w:val="none" w:sz="0" w:space="7" w:color="auto"/>
        </w:pBdr>
        <w:spacing w:before="120"/>
        <w:ind w:left="1080" w:hanging="430"/>
        <w:jc w:val="both"/>
        <w:rPr>
          <w:color w:val="0070C0"/>
          <w:sz w:val="22"/>
          <w:szCs w:val="22"/>
        </w:rPr>
      </w:pPr>
      <w:r>
        <w:rPr>
          <w:rFonts w:ascii="Arial" w:eastAsia="Arial" w:hAnsi="Arial" w:cs="Arial"/>
          <w:b/>
          <w:bCs/>
          <w:color w:val="000000"/>
          <w:sz w:val="22"/>
          <w:szCs w:val="22"/>
        </w:rPr>
        <w:t>Broker Remuneration &amp; Deductions;</w:t>
      </w:r>
      <w:r>
        <w:rPr>
          <w:rFonts w:ascii="Arial" w:eastAsia="Arial" w:hAnsi="Arial" w:cs="Arial"/>
          <w:color w:val="000000"/>
          <w:sz w:val="22"/>
          <w:szCs w:val="22"/>
        </w:rPr>
        <w:t xml:space="preserve"> information relating to brokerage, fees and deductions from premium.</w:t>
      </w:r>
    </w:p>
    <w:p w14:paraId="0A22E0AB" w14:textId="77777777" w:rsidR="00592C29" w:rsidRPr="00AB53D2" w:rsidRDefault="00592C29">
      <w:pPr>
        <w:spacing w:before="120"/>
        <w:ind w:left="720"/>
        <w:jc w:val="both"/>
        <w:rPr>
          <w:sz w:val="22"/>
          <w:szCs w:val="22"/>
        </w:rPr>
      </w:pPr>
    </w:p>
    <w:p w14:paraId="7711AD00" w14:textId="77777777" w:rsidR="00592C29" w:rsidRPr="007B7A82" w:rsidRDefault="0048296D">
      <w:pPr>
        <w:spacing w:before="120"/>
        <w:ind w:left="720"/>
        <w:jc w:val="both"/>
        <w:rPr>
          <w:sz w:val="22"/>
          <w:szCs w:val="22"/>
        </w:rPr>
      </w:pPr>
      <w:r w:rsidRPr="007B7A82">
        <w:rPr>
          <w:rFonts w:ascii="Arial" w:eastAsia="Arial" w:hAnsi="Arial" w:cs="Arial"/>
          <w:b/>
          <w:bCs/>
          <w:sz w:val="22"/>
          <w:szCs w:val="22"/>
        </w:rPr>
        <w:t>Aviation Business</w:t>
      </w:r>
    </w:p>
    <w:p w14:paraId="7C26D1A2" w14:textId="6D013B57" w:rsidR="00592C29" w:rsidRPr="007B7A82" w:rsidRDefault="0048296D">
      <w:pPr>
        <w:spacing w:before="120"/>
        <w:ind w:left="720"/>
        <w:jc w:val="both"/>
        <w:rPr>
          <w:sz w:val="22"/>
          <w:szCs w:val="22"/>
        </w:rPr>
      </w:pPr>
      <w:r w:rsidRPr="007B7A82">
        <w:rPr>
          <w:rFonts w:ascii="Arial" w:eastAsia="Arial" w:hAnsi="Arial" w:cs="Arial"/>
          <w:sz w:val="22"/>
          <w:szCs w:val="22"/>
        </w:rPr>
        <w:t xml:space="preserve">Where the Lloyd’s Market is a “follower” on a non-Lloyd’s led placement the LMA9170 Lloyd’s Brussels Contract Addendum (LBCA) has been developed to effect the minimum changes required to be compliant with Lloyd’s and Lloyd’s Brussels </w:t>
      </w:r>
      <w:proofErr w:type="spellStart"/>
      <w:r w:rsidRPr="007B7A82">
        <w:rPr>
          <w:rFonts w:ascii="Arial" w:eastAsia="Arial" w:hAnsi="Arial" w:cs="Arial"/>
          <w:sz w:val="22"/>
          <w:szCs w:val="22"/>
        </w:rPr>
        <w:t>sectionalised</w:t>
      </w:r>
      <w:proofErr w:type="spellEnd"/>
      <w:r w:rsidRPr="007B7A82">
        <w:rPr>
          <w:rFonts w:ascii="Arial" w:eastAsia="Arial" w:hAnsi="Arial" w:cs="Arial"/>
          <w:sz w:val="22"/>
          <w:szCs w:val="22"/>
        </w:rPr>
        <w:t xml:space="preserve"> MRC requirements. </w:t>
      </w:r>
    </w:p>
    <w:p w14:paraId="78451EC5" w14:textId="77777777" w:rsidR="00592C29" w:rsidRPr="007B7A82" w:rsidRDefault="0048296D" w:rsidP="0025265E">
      <w:pPr>
        <w:spacing w:before="120" w:after="120"/>
        <w:ind w:left="720"/>
        <w:jc w:val="both"/>
        <w:rPr>
          <w:sz w:val="22"/>
          <w:szCs w:val="22"/>
        </w:rPr>
      </w:pPr>
      <w:r w:rsidRPr="007B7A82">
        <w:rPr>
          <w:rFonts w:ascii="Arial" w:eastAsia="Arial" w:hAnsi="Arial" w:cs="Arial"/>
          <w:sz w:val="22"/>
          <w:szCs w:val="22"/>
        </w:rPr>
        <w:lastRenderedPageBreak/>
        <w:t xml:space="preserve">The purpose of this is to provide clarity to following markets and, where a Lloyd’s participant is not the Slip Leader, the LBCA provides an easy solution to effecting the necessary amendments to ensure contract certainty.  This LBCA is </w:t>
      </w:r>
      <w:r w:rsidRPr="007B7A82">
        <w:rPr>
          <w:rFonts w:ascii="Arial" w:eastAsia="Arial" w:hAnsi="Arial" w:cs="Arial"/>
          <w:sz w:val="22"/>
          <w:szCs w:val="22"/>
          <w:u w:val="single" w:color="B5082E"/>
        </w:rPr>
        <w:t>only</w:t>
      </w:r>
      <w:r w:rsidRPr="007B7A82">
        <w:rPr>
          <w:rFonts w:ascii="Arial" w:eastAsia="Arial" w:hAnsi="Arial" w:cs="Arial"/>
          <w:sz w:val="22"/>
          <w:szCs w:val="22"/>
        </w:rPr>
        <w:t xml:space="preserve"> for use where there is both EEA and non-EEA exposure within a placement.</w:t>
      </w:r>
    </w:p>
    <w:p w14:paraId="21F028DE" w14:textId="634E60E7" w:rsidR="00592C29" w:rsidRPr="007B7A82" w:rsidRDefault="0048296D" w:rsidP="0025265E">
      <w:pPr>
        <w:spacing w:before="120" w:after="120"/>
        <w:ind w:left="720"/>
        <w:jc w:val="both"/>
        <w:rPr>
          <w:sz w:val="22"/>
          <w:szCs w:val="22"/>
        </w:rPr>
      </w:pPr>
      <w:r w:rsidRPr="007B7A82">
        <w:rPr>
          <w:rFonts w:ascii="Arial" w:eastAsia="Arial" w:hAnsi="Arial" w:cs="Arial"/>
          <w:i/>
          <w:iCs/>
          <w:sz w:val="22"/>
          <w:szCs w:val="22"/>
        </w:rPr>
        <w:t>For more information on the LMA9170/LBCA, refer to Appendix 7.</w:t>
      </w:r>
    </w:p>
    <w:p w14:paraId="18A93D6E" w14:textId="50E87820" w:rsidR="00592C29" w:rsidRPr="007B7A82" w:rsidRDefault="0048296D">
      <w:pPr>
        <w:spacing w:before="120"/>
        <w:ind w:left="720"/>
        <w:jc w:val="both"/>
        <w:rPr>
          <w:sz w:val="22"/>
          <w:szCs w:val="22"/>
        </w:rPr>
      </w:pPr>
      <w:r w:rsidRPr="007B7A82">
        <w:rPr>
          <w:rFonts w:ascii="Arial" w:eastAsia="Arial" w:hAnsi="Arial" w:cs="Arial"/>
          <w:sz w:val="22"/>
          <w:szCs w:val="22"/>
        </w:rPr>
        <w:t xml:space="preserve">Whilst the LBCA has been implemented for the Aviation market, it can also be </w:t>
      </w:r>
      <w:proofErr w:type="spellStart"/>
      <w:r w:rsidRPr="007B7A82">
        <w:rPr>
          <w:rFonts w:ascii="Arial" w:eastAsia="Arial" w:hAnsi="Arial" w:cs="Arial"/>
          <w:sz w:val="22"/>
          <w:szCs w:val="22"/>
        </w:rPr>
        <w:t>utilised</w:t>
      </w:r>
      <w:proofErr w:type="spellEnd"/>
      <w:r w:rsidRPr="007B7A82">
        <w:rPr>
          <w:rFonts w:ascii="Arial" w:eastAsia="Arial" w:hAnsi="Arial" w:cs="Arial"/>
          <w:sz w:val="22"/>
          <w:szCs w:val="22"/>
        </w:rPr>
        <w:t xml:space="preserve"> for other lines of business if required.</w:t>
      </w:r>
    </w:p>
    <w:p w14:paraId="2FA65C1C" w14:textId="30C1CC9F" w:rsidR="00592C29" w:rsidRDefault="00592C29">
      <w:pPr>
        <w:rPr>
          <w:sz w:val="22"/>
          <w:szCs w:val="22"/>
        </w:rPr>
      </w:pPr>
    </w:p>
    <w:p w14:paraId="1C286C06" w14:textId="77777777" w:rsidR="00592C29" w:rsidRDefault="0048296D">
      <w:pPr>
        <w:pStyle w:val="Heading2"/>
        <w:rPr>
          <w:sz w:val="28"/>
          <w:szCs w:val="28"/>
        </w:rPr>
      </w:pPr>
      <w:bookmarkStart w:id="18" w:name="_Toc21706635"/>
      <w:bookmarkStart w:id="19" w:name="_Toc31396070"/>
      <w:r>
        <w:rPr>
          <w:rFonts w:ascii="Arial" w:eastAsia="Arial" w:hAnsi="Arial" w:cs="Arial"/>
          <w:i/>
          <w:color w:val="0070C0"/>
          <w:sz w:val="28"/>
          <w:szCs w:val="28"/>
        </w:rPr>
        <w:t>3.2 Dictionary of MRC Headings</w:t>
      </w:r>
      <w:bookmarkEnd w:id="18"/>
      <w:bookmarkEnd w:id="19"/>
    </w:p>
    <w:p w14:paraId="55C4F174" w14:textId="77777777" w:rsidR="00592C29" w:rsidRDefault="00592C29">
      <w:pPr>
        <w:rPr>
          <w:sz w:val="22"/>
          <w:szCs w:val="22"/>
        </w:rPr>
      </w:pPr>
    </w:p>
    <w:p w14:paraId="7F6FCFB8" w14:textId="77777777" w:rsidR="00592C29" w:rsidRDefault="0048296D">
      <w:pPr>
        <w:spacing w:before="120"/>
        <w:ind w:left="720"/>
        <w:jc w:val="both"/>
        <w:rPr>
          <w:sz w:val="22"/>
          <w:szCs w:val="22"/>
        </w:rPr>
      </w:pPr>
      <w:r>
        <w:rPr>
          <w:rFonts w:ascii="Arial" w:eastAsia="Arial" w:hAnsi="Arial" w:cs="Arial"/>
          <w:i/>
          <w:iCs/>
          <w:sz w:val="22"/>
          <w:szCs w:val="22"/>
        </w:rPr>
        <w:t>{intentionally left blank}</w:t>
      </w:r>
    </w:p>
    <w:p w14:paraId="0B00E31C" w14:textId="77777777" w:rsidR="00592C29" w:rsidRDefault="00592C29">
      <w:pPr>
        <w:rPr>
          <w:sz w:val="22"/>
          <w:szCs w:val="22"/>
        </w:rPr>
      </w:pPr>
    </w:p>
    <w:p w14:paraId="3C1572D4" w14:textId="77777777" w:rsidR="00592C29" w:rsidRDefault="0048296D">
      <w:pPr>
        <w:pStyle w:val="Heading2"/>
        <w:rPr>
          <w:sz w:val="28"/>
          <w:szCs w:val="28"/>
        </w:rPr>
      </w:pPr>
      <w:bookmarkStart w:id="20" w:name="_Toc21706636"/>
      <w:bookmarkStart w:id="21" w:name="_Toc31396071"/>
      <w:r>
        <w:rPr>
          <w:rFonts w:ascii="Arial" w:eastAsia="Arial" w:hAnsi="Arial" w:cs="Arial"/>
          <w:i/>
          <w:color w:val="0070C0"/>
          <w:sz w:val="28"/>
          <w:szCs w:val="28"/>
        </w:rPr>
        <w:t>3.3 Layout of Document</w:t>
      </w:r>
      <w:bookmarkEnd w:id="20"/>
      <w:bookmarkEnd w:id="21"/>
    </w:p>
    <w:p w14:paraId="1DE2F7B3" w14:textId="77777777" w:rsidR="00592C29" w:rsidRDefault="00592C29">
      <w:pPr>
        <w:rPr>
          <w:sz w:val="22"/>
          <w:szCs w:val="22"/>
        </w:rPr>
      </w:pPr>
    </w:p>
    <w:p w14:paraId="274548D9" w14:textId="01554749" w:rsidR="00592C29" w:rsidRDefault="0048296D">
      <w:pPr>
        <w:spacing w:before="120"/>
        <w:ind w:left="720"/>
        <w:jc w:val="both"/>
        <w:rPr>
          <w:sz w:val="22"/>
          <w:szCs w:val="22"/>
        </w:rPr>
      </w:pPr>
      <w:r>
        <w:rPr>
          <w:rFonts w:ascii="Arial" w:eastAsia="Arial" w:hAnsi="Arial" w:cs="Arial"/>
          <w:sz w:val="22"/>
          <w:szCs w:val="22"/>
        </w:rPr>
        <w:t>The existing standard layout, as set out in the Market Reform Contract Open Market Implementation Guide v</w:t>
      </w:r>
      <w:r>
        <w:rPr>
          <w:rFonts w:ascii="Arial" w:eastAsia="Arial" w:hAnsi="Arial" w:cs="Arial"/>
          <w:color w:val="2E97D3"/>
          <w:sz w:val="22"/>
          <w:szCs w:val="22"/>
        </w:rPr>
        <w:t xml:space="preserve"> </w:t>
      </w:r>
      <w:r w:rsidRPr="00B44623">
        <w:rPr>
          <w:rFonts w:ascii="Arial" w:eastAsia="Arial" w:hAnsi="Arial" w:cs="Arial"/>
          <w:sz w:val="22"/>
          <w:szCs w:val="22"/>
        </w:rPr>
        <w:t>2.0, is still</w:t>
      </w:r>
      <w:r>
        <w:rPr>
          <w:rFonts w:ascii="Arial" w:eastAsia="Arial" w:hAnsi="Arial" w:cs="Arial"/>
          <w:sz w:val="22"/>
          <w:szCs w:val="22"/>
        </w:rPr>
        <w:t xml:space="preserve"> to be used. </w:t>
      </w:r>
    </w:p>
    <w:p w14:paraId="67C4C171" w14:textId="77777777" w:rsidR="00592C29" w:rsidRDefault="00592C29">
      <w:pPr>
        <w:rPr>
          <w:sz w:val="22"/>
          <w:szCs w:val="22"/>
        </w:rPr>
      </w:pPr>
    </w:p>
    <w:p w14:paraId="023DFEFF" w14:textId="77777777" w:rsidR="00592C29" w:rsidRDefault="0048296D">
      <w:pPr>
        <w:pStyle w:val="Heading2"/>
        <w:rPr>
          <w:sz w:val="28"/>
          <w:szCs w:val="28"/>
        </w:rPr>
      </w:pPr>
      <w:bookmarkStart w:id="22" w:name="_Toc21706637"/>
      <w:bookmarkStart w:id="23" w:name="_Toc31396072"/>
      <w:r>
        <w:rPr>
          <w:rFonts w:ascii="Arial" w:eastAsia="Arial" w:hAnsi="Arial" w:cs="Arial"/>
          <w:i/>
          <w:color w:val="0070C0"/>
          <w:sz w:val="28"/>
          <w:szCs w:val="28"/>
        </w:rPr>
        <w:t>3.4 Considerations When Using Electronic Placing</w:t>
      </w:r>
      <w:bookmarkEnd w:id="22"/>
      <w:bookmarkEnd w:id="23"/>
    </w:p>
    <w:p w14:paraId="38C5E3FC" w14:textId="68A97A8E" w:rsidR="00592C29" w:rsidRPr="00D6560D" w:rsidRDefault="0048296D" w:rsidP="001B49DA">
      <w:pPr>
        <w:spacing w:before="240" w:after="120" w:line="259" w:lineRule="auto"/>
        <w:ind w:left="357"/>
        <w:jc w:val="both"/>
        <w:rPr>
          <w:rFonts w:ascii="Arial" w:hAnsi="Arial" w:cs="Arial"/>
          <w:sz w:val="22"/>
          <w:szCs w:val="22"/>
        </w:rPr>
      </w:pPr>
      <w:r w:rsidRPr="00D6560D">
        <w:rPr>
          <w:rFonts w:ascii="Arial" w:eastAsia="Trebuchet MS" w:hAnsi="Arial" w:cs="Arial"/>
          <w:sz w:val="22"/>
          <w:szCs w:val="22"/>
        </w:rPr>
        <w:t>This section is intended to offer some suggestions for consideration by firms in respect of some of the common challenges when using MRC in conjunction with Electronic Placing systems, where some of the data used to populate the data fields within the electronic MRC may be taken from any of the six parts of the MRC.</w:t>
      </w:r>
    </w:p>
    <w:p w14:paraId="1AC806C0" w14:textId="321AFB46" w:rsidR="00592C29" w:rsidRPr="00AB53D2" w:rsidRDefault="0048296D">
      <w:pPr>
        <w:numPr>
          <w:ilvl w:val="0"/>
          <w:numId w:val="7"/>
        </w:numPr>
        <w:pBdr>
          <w:left w:val="none" w:sz="0" w:space="7" w:color="auto"/>
        </w:pBdr>
        <w:spacing w:before="120" w:after="160" w:line="259" w:lineRule="auto"/>
        <w:ind w:left="1080" w:hanging="430"/>
        <w:jc w:val="both"/>
        <w:rPr>
          <w:rFonts w:ascii="Arial" w:hAnsi="Arial" w:cs="Arial"/>
          <w:color w:val="0070C0"/>
          <w:sz w:val="22"/>
          <w:szCs w:val="22"/>
        </w:rPr>
      </w:pPr>
      <w:r w:rsidRPr="00D6560D">
        <w:rPr>
          <w:rFonts w:ascii="Arial" w:eastAsia="Trebuchet MS" w:hAnsi="Arial" w:cs="Arial"/>
          <w:color w:val="000000"/>
          <w:sz w:val="22"/>
          <w:szCs w:val="22"/>
        </w:rPr>
        <w:t xml:space="preserve">In order to clarify how the risk has been bound, and how the MRC format can be amended, a Mode </w:t>
      </w:r>
      <w:r w:rsidR="00156304" w:rsidRPr="00D6560D">
        <w:rPr>
          <w:rFonts w:ascii="Arial" w:eastAsia="Trebuchet MS" w:hAnsi="Arial" w:cs="Arial"/>
          <w:color w:val="000000"/>
          <w:sz w:val="22"/>
          <w:szCs w:val="22"/>
        </w:rPr>
        <w:t>o</w:t>
      </w:r>
      <w:r w:rsidRPr="00D6560D">
        <w:rPr>
          <w:rFonts w:ascii="Arial" w:eastAsia="Trebuchet MS" w:hAnsi="Arial" w:cs="Arial"/>
          <w:color w:val="000000"/>
          <w:sz w:val="22"/>
          <w:szCs w:val="22"/>
        </w:rPr>
        <w:t xml:space="preserve">f Execution (example below, other variations are in common usage) can be included within the </w:t>
      </w:r>
      <w:r w:rsidRPr="00D6560D">
        <w:rPr>
          <w:rFonts w:ascii="Arial" w:eastAsia="Trebuchet MS" w:hAnsi="Arial" w:cs="Arial"/>
          <w:b/>
          <w:color w:val="000000"/>
          <w:sz w:val="22"/>
          <w:szCs w:val="22"/>
        </w:rPr>
        <w:t xml:space="preserve">SECURITY </w:t>
      </w:r>
      <w:r w:rsidRPr="00D6560D">
        <w:rPr>
          <w:rFonts w:ascii="Arial" w:eastAsia="Trebuchet MS" w:hAnsi="Arial" w:cs="Arial"/>
          <w:b/>
          <w:sz w:val="22"/>
          <w:szCs w:val="22"/>
        </w:rPr>
        <w:t>DETAILS</w:t>
      </w:r>
      <w:r w:rsidRPr="00D6560D">
        <w:rPr>
          <w:rFonts w:ascii="Arial" w:eastAsia="Trebuchet MS" w:hAnsi="Arial" w:cs="Arial"/>
          <w:sz w:val="22"/>
          <w:szCs w:val="22"/>
        </w:rPr>
        <w:t xml:space="preserve"> in the</w:t>
      </w:r>
      <w:r w:rsidRPr="00D6560D">
        <w:rPr>
          <w:rFonts w:ascii="Arial" w:eastAsia="Trebuchet MS" w:hAnsi="Arial" w:cs="Arial"/>
          <w:color w:val="000000"/>
          <w:sz w:val="22"/>
          <w:szCs w:val="22"/>
        </w:rPr>
        <w:t xml:space="preserve"> MRC.  </w:t>
      </w:r>
    </w:p>
    <w:p w14:paraId="06B7C32E" w14:textId="77777777" w:rsidR="00592C29" w:rsidRPr="00D6560D" w:rsidRDefault="0048296D">
      <w:pPr>
        <w:spacing w:before="120" w:after="200" w:line="276" w:lineRule="auto"/>
        <w:ind w:left="1080"/>
        <w:jc w:val="both"/>
        <w:rPr>
          <w:rFonts w:ascii="Arial" w:hAnsi="Arial" w:cs="Arial"/>
          <w:sz w:val="22"/>
          <w:szCs w:val="22"/>
        </w:rPr>
      </w:pPr>
      <w:r w:rsidRPr="00D6560D">
        <w:rPr>
          <w:rFonts w:ascii="Arial" w:eastAsia="Trebuchet MS" w:hAnsi="Arial" w:cs="Arial"/>
          <w:sz w:val="22"/>
          <w:szCs w:val="22"/>
        </w:rPr>
        <w:t xml:space="preserve">Whilst this is not mandatory, it can often assist in providing clarity to Clients. </w:t>
      </w:r>
    </w:p>
    <w:p w14:paraId="52C75D81" w14:textId="77777777" w:rsidR="00592C29" w:rsidRPr="00D6560D" w:rsidRDefault="0048296D">
      <w:pPr>
        <w:spacing w:before="120" w:after="160" w:line="259" w:lineRule="auto"/>
        <w:ind w:left="1080"/>
        <w:jc w:val="both"/>
        <w:rPr>
          <w:rFonts w:ascii="Arial" w:hAnsi="Arial" w:cs="Arial"/>
          <w:sz w:val="22"/>
          <w:szCs w:val="22"/>
        </w:rPr>
      </w:pPr>
      <w:r w:rsidRPr="00D6560D">
        <w:rPr>
          <w:rFonts w:ascii="Arial" w:eastAsia="Trebuchet MS" w:hAnsi="Arial" w:cs="Arial"/>
          <w:i/>
          <w:iCs/>
          <w:sz w:val="22"/>
          <w:szCs w:val="22"/>
        </w:rPr>
        <w:t>Example Clause:</w:t>
      </w:r>
    </w:p>
    <w:tbl>
      <w:tblPr>
        <w:tblW w:w="0" w:type="auto"/>
        <w:tblInd w:w="1082"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8609"/>
      </w:tblGrid>
      <w:tr w:rsidR="00592C29" w:rsidRPr="00D6560D" w14:paraId="3E3A08CF" w14:textId="77777777">
        <w:tc>
          <w:tcPr>
            <w:tcW w:w="9242" w:type="dxa"/>
            <w:tcMar>
              <w:top w:w="8" w:type="dxa"/>
              <w:left w:w="108" w:type="dxa"/>
              <w:bottom w:w="8" w:type="dxa"/>
              <w:right w:w="108" w:type="dxa"/>
            </w:tcMar>
            <w:hideMark/>
          </w:tcPr>
          <w:p w14:paraId="455AF4A1" w14:textId="77777777" w:rsidR="00592C29" w:rsidRPr="00D6560D" w:rsidRDefault="0048296D">
            <w:pPr>
              <w:spacing w:before="120" w:after="200" w:line="276" w:lineRule="auto"/>
              <w:ind w:left="1800"/>
              <w:jc w:val="both"/>
              <w:rPr>
                <w:rFonts w:ascii="Arial" w:hAnsi="Arial" w:cs="Arial"/>
                <w:color w:val="000000"/>
                <w:sz w:val="22"/>
                <w:szCs w:val="22"/>
              </w:rPr>
            </w:pPr>
            <w:r w:rsidRPr="00D6560D">
              <w:rPr>
                <w:rFonts w:ascii="Arial" w:eastAsia="Trebuchet MS" w:hAnsi="Arial" w:cs="Arial"/>
                <w:b/>
                <w:bCs/>
                <w:i/>
                <w:iCs/>
                <w:color w:val="000000"/>
                <w:sz w:val="22"/>
                <w:szCs w:val="22"/>
                <w:u w:val="single" w:color="000000"/>
              </w:rPr>
              <w:t>MODE OF EXECUTION CLAUSE</w:t>
            </w:r>
          </w:p>
          <w:p w14:paraId="4D67AB5D" w14:textId="77777777" w:rsidR="00592C29" w:rsidRPr="00D6560D" w:rsidRDefault="0048296D">
            <w:pPr>
              <w:numPr>
                <w:ilvl w:val="0"/>
                <w:numId w:val="8"/>
              </w:numPr>
              <w:pBdr>
                <w:left w:val="none" w:sz="0" w:space="7" w:color="auto"/>
              </w:pBdr>
              <w:spacing w:before="120"/>
              <w:ind w:left="450" w:hanging="419"/>
              <w:jc w:val="both"/>
              <w:rPr>
                <w:rFonts w:ascii="Arial" w:eastAsia="Trebuchet MS" w:hAnsi="Arial" w:cs="Arial"/>
                <w:i/>
                <w:iCs/>
                <w:color w:val="000000"/>
                <w:sz w:val="22"/>
                <w:szCs w:val="22"/>
              </w:rPr>
            </w:pPr>
            <w:r w:rsidRPr="00D6560D">
              <w:rPr>
                <w:rFonts w:ascii="Arial" w:eastAsia="Trebuchet MS" w:hAnsi="Arial" w:cs="Arial"/>
                <w:i/>
                <w:iCs/>
                <w:color w:val="000000"/>
                <w:sz w:val="22"/>
                <w:szCs w:val="22"/>
              </w:rPr>
              <w:t>This contract and any changes to it may be executed by:</w:t>
            </w:r>
          </w:p>
          <w:p w14:paraId="1D25F7B0" w14:textId="77777777" w:rsidR="00592C29" w:rsidRPr="00D6560D" w:rsidRDefault="0048296D">
            <w:pPr>
              <w:numPr>
                <w:ilvl w:val="0"/>
                <w:numId w:val="9"/>
              </w:numPr>
              <w:pBdr>
                <w:left w:val="none" w:sz="0" w:space="13" w:color="auto"/>
              </w:pBdr>
              <w:spacing w:before="120"/>
              <w:ind w:left="905" w:hanging="536"/>
              <w:jc w:val="both"/>
              <w:rPr>
                <w:rFonts w:ascii="Arial" w:eastAsia="Trebuchet MS" w:hAnsi="Arial" w:cs="Arial"/>
                <w:i/>
                <w:iCs/>
                <w:color w:val="000000"/>
                <w:sz w:val="22"/>
                <w:szCs w:val="22"/>
              </w:rPr>
            </w:pPr>
            <w:r w:rsidRPr="00D6560D">
              <w:rPr>
                <w:rFonts w:ascii="Arial" w:eastAsia="Trebuchet MS" w:hAnsi="Arial" w:cs="Arial"/>
                <w:i/>
                <w:iCs/>
                <w:color w:val="000000"/>
                <w:sz w:val="22"/>
                <w:szCs w:val="22"/>
              </w:rPr>
              <w:t xml:space="preserve">electronic signature technology employing computer software and a digital signature or </w:t>
            </w:r>
            <w:proofErr w:type="spellStart"/>
            <w:r w:rsidRPr="00D6560D">
              <w:rPr>
                <w:rFonts w:ascii="Arial" w:eastAsia="Trebuchet MS" w:hAnsi="Arial" w:cs="Arial"/>
                <w:i/>
                <w:iCs/>
                <w:color w:val="000000"/>
                <w:sz w:val="22"/>
                <w:szCs w:val="22"/>
              </w:rPr>
              <w:t>digitiser</w:t>
            </w:r>
            <w:proofErr w:type="spellEnd"/>
            <w:r w:rsidRPr="00D6560D">
              <w:rPr>
                <w:rFonts w:ascii="Arial" w:eastAsia="Trebuchet MS" w:hAnsi="Arial" w:cs="Arial"/>
                <w:i/>
                <w:iCs/>
                <w:color w:val="000000"/>
                <w:sz w:val="22"/>
                <w:szCs w:val="22"/>
              </w:rPr>
              <w:t xml:space="preserve"> pen pad to capture a person’s handwritten signature in such a manner that the signature is unique to the person signing, is under the sole control of the person signing, is capable of verification to authenticate the signature and is linked to the document signed in such a manner that if the data is changed, such signature is invalidated;</w:t>
            </w:r>
          </w:p>
          <w:p w14:paraId="549BD9CD" w14:textId="77777777" w:rsidR="00592C29" w:rsidRPr="00D6560D" w:rsidRDefault="0048296D">
            <w:pPr>
              <w:numPr>
                <w:ilvl w:val="0"/>
                <w:numId w:val="9"/>
              </w:numPr>
              <w:pBdr>
                <w:left w:val="none" w:sz="0" w:space="13" w:color="auto"/>
              </w:pBdr>
              <w:spacing w:before="120"/>
              <w:ind w:left="905" w:hanging="529"/>
              <w:jc w:val="both"/>
              <w:rPr>
                <w:rFonts w:ascii="Arial" w:eastAsia="Trebuchet MS" w:hAnsi="Arial" w:cs="Arial"/>
                <w:i/>
                <w:iCs/>
                <w:color w:val="000000"/>
                <w:sz w:val="22"/>
                <w:szCs w:val="22"/>
              </w:rPr>
            </w:pPr>
            <w:r w:rsidRPr="00D6560D">
              <w:rPr>
                <w:rFonts w:ascii="Arial" w:eastAsia="Trebuchet MS" w:hAnsi="Arial" w:cs="Arial"/>
                <w:i/>
                <w:iCs/>
                <w:color w:val="000000"/>
                <w:sz w:val="22"/>
                <w:szCs w:val="22"/>
              </w:rPr>
              <w:t xml:space="preserve">a unique </w:t>
            </w:r>
            <w:proofErr w:type="spellStart"/>
            <w:r w:rsidRPr="00D6560D">
              <w:rPr>
                <w:rFonts w:ascii="Arial" w:eastAsia="Trebuchet MS" w:hAnsi="Arial" w:cs="Arial"/>
                <w:i/>
                <w:iCs/>
                <w:color w:val="000000"/>
                <w:sz w:val="22"/>
                <w:szCs w:val="22"/>
              </w:rPr>
              <w:t>authorisation</w:t>
            </w:r>
            <w:proofErr w:type="spellEnd"/>
            <w:r w:rsidRPr="00D6560D">
              <w:rPr>
                <w:rFonts w:ascii="Arial" w:eastAsia="Trebuchet MS" w:hAnsi="Arial" w:cs="Arial"/>
                <w:i/>
                <w:iCs/>
                <w:color w:val="000000"/>
                <w:sz w:val="22"/>
                <w:szCs w:val="22"/>
              </w:rPr>
              <w:t xml:space="preserve"> provided via a secure electronic trading platform</w:t>
            </w:r>
          </w:p>
          <w:p w14:paraId="79FF7685" w14:textId="77777777" w:rsidR="00592C29" w:rsidRPr="00D6560D" w:rsidRDefault="0048296D">
            <w:pPr>
              <w:numPr>
                <w:ilvl w:val="0"/>
                <w:numId w:val="9"/>
              </w:numPr>
              <w:pBdr>
                <w:left w:val="none" w:sz="0" w:space="14" w:color="auto"/>
              </w:pBdr>
              <w:spacing w:before="120"/>
              <w:ind w:left="905" w:hanging="538"/>
              <w:jc w:val="both"/>
              <w:rPr>
                <w:rFonts w:ascii="Arial" w:eastAsia="Trebuchet MS" w:hAnsi="Arial" w:cs="Arial"/>
                <w:i/>
                <w:iCs/>
                <w:color w:val="000000"/>
                <w:sz w:val="22"/>
                <w:szCs w:val="22"/>
              </w:rPr>
            </w:pPr>
            <w:r w:rsidRPr="00D6560D">
              <w:rPr>
                <w:rFonts w:ascii="Arial" w:eastAsia="Trebuchet MS" w:hAnsi="Arial" w:cs="Arial"/>
                <w:i/>
                <w:iCs/>
                <w:color w:val="000000"/>
                <w:sz w:val="22"/>
                <w:szCs w:val="22"/>
              </w:rPr>
              <w:t xml:space="preserve">a timed and dated </w:t>
            </w:r>
            <w:proofErr w:type="spellStart"/>
            <w:r w:rsidRPr="00D6560D">
              <w:rPr>
                <w:rFonts w:ascii="Arial" w:eastAsia="Trebuchet MS" w:hAnsi="Arial" w:cs="Arial"/>
                <w:i/>
                <w:iCs/>
                <w:color w:val="000000"/>
                <w:sz w:val="22"/>
                <w:szCs w:val="22"/>
              </w:rPr>
              <w:t>authorisation</w:t>
            </w:r>
            <w:proofErr w:type="spellEnd"/>
            <w:r w:rsidRPr="00D6560D">
              <w:rPr>
                <w:rFonts w:ascii="Arial" w:eastAsia="Trebuchet MS" w:hAnsi="Arial" w:cs="Arial"/>
                <w:i/>
                <w:iCs/>
                <w:color w:val="000000"/>
                <w:sz w:val="22"/>
                <w:szCs w:val="22"/>
              </w:rPr>
              <w:t xml:space="preserve"> provided via an electronic message/system;</w:t>
            </w:r>
          </w:p>
          <w:p w14:paraId="5872BF7B" w14:textId="77777777" w:rsidR="00592C29" w:rsidRPr="00D6560D" w:rsidRDefault="0048296D">
            <w:pPr>
              <w:numPr>
                <w:ilvl w:val="0"/>
                <w:numId w:val="9"/>
              </w:numPr>
              <w:pBdr>
                <w:left w:val="none" w:sz="0" w:space="13" w:color="auto"/>
              </w:pBdr>
              <w:spacing w:before="120"/>
              <w:ind w:left="905" w:hanging="529"/>
              <w:jc w:val="both"/>
              <w:rPr>
                <w:rFonts w:ascii="Arial" w:eastAsia="Trebuchet MS" w:hAnsi="Arial" w:cs="Arial"/>
                <w:i/>
                <w:iCs/>
                <w:color w:val="000000"/>
                <w:sz w:val="22"/>
                <w:szCs w:val="22"/>
              </w:rPr>
            </w:pPr>
            <w:r w:rsidRPr="00D6560D">
              <w:rPr>
                <w:rFonts w:ascii="Arial" w:eastAsia="Trebuchet MS" w:hAnsi="Arial" w:cs="Arial"/>
                <w:i/>
                <w:iCs/>
                <w:color w:val="000000"/>
                <w:sz w:val="22"/>
                <w:szCs w:val="22"/>
              </w:rPr>
              <w:t>an exchange of facsimile/scanned copies showing the original written ink signature of paper documents;</w:t>
            </w:r>
          </w:p>
          <w:p w14:paraId="4528B291" w14:textId="77777777" w:rsidR="00592C29" w:rsidRPr="00D6560D" w:rsidRDefault="0048296D" w:rsidP="00716601">
            <w:pPr>
              <w:numPr>
                <w:ilvl w:val="0"/>
                <w:numId w:val="9"/>
              </w:numPr>
              <w:pBdr>
                <w:left w:val="none" w:sz="0" w:space="13" w:color="auto"/>
              </w:pBdr>
              <w:spacing w:before="120" w:after="240"/>
              <w:ind w:left="908" w:hanging="522"/>
              <w:jc w:val="both"/>
              <w:rPr>
                <w:rFonts w:ascii="Arial" w:eastAsia="Trebuchet MS" w:hAnsi="Arial" w:cs="Arial"/>
                <w:i/>
                <w:iCs/>
                <w:color w:val="000000"/>
                <w:sz w:val="22"/>
                <w:szCs w:val="22"/>
              </w:rPr>
            </w:pPr>
            <w:r w:rsidRPr="00D6560D">
              <w:rPr>
                <w:rFonts w:ascii="Arial" w:eastAsia="Trebuchet MS" w:hAnsi="Arial" w:cs="Arial"/>
                <w:i/>
                <w:iCs/>
                <w:color w:val="000000"/>
                <w:sz w:val="22"/>
                <w:szCs w:val="22"/>
              </w:rPr>
              <w:t>an original written ink signature of paper documents (or a true representation of a signature, such as a rubber stamp).</w:t>
            </w:r>
          </w:p>
          <w:p w14:paraId="45573932" w14:textId="77777777" w:rsidR="00592C29" w:rsidRPr="00D6560D" w:rsidRDefault="0048296D">
            <w:pPr>
              <w:numPr>
                <w:ilvl w:val="0"/>
                <w:numId w:val="10"/>
              </w:numPr>
              <w:pBdr>
                <w:left w:val="none" w:sz="0" w:space="23" w:color="auto"/>
              </w:pBdr>
              <w:spacing w:before="120" w:after="120"/>
              <w:ind w:left="763" w:hanging="732"/>
              <w:jc w:val="both"/>
              <w:rPr>
                <w:rFonts w:ascii="Arial" w:eastAsia="Trebuchet MS" w:hAnsi="Arial" w:cs="Arial"/>
                <w:i/>
                <w:iCs/>
                <w:color w:val="000000"/>
                <w:sz w:val="22"/>
                <w:szCs w:val="22"/>
              </w:rPr>
            </w:pPr>
            <w:r w:rsidRPr="00D6560D">
              <w:rPr>
                <w:rFonts w:ascii="Arial" w:eastAsia="Trebuchet MS" w:hAnsi="Arial" w:cs="Arial"/>
                <w:i/>
                <w:iCs/>
                <w:color w:val="000000"/>
                <w:sz w:val="22"/>
                <w:szCs w:val="22"/>
              </w:rPr>
              <w:lastRenderedPageBreak/>
              <w:t>The use of any one or a combination of these methods of execution shall constitute a legally binding and valid signing of this contract.  This contract may be executed in one or more of the above counterparts, each of which, when duly executed, shall be deemed an original.</w:t>
            </w:r>
          </w:p>
        </w:tc>
      </w:tr>
    </w:tbl>
    <w:p w14:paraId="4ECE0486" w14:textId="77777777" w:rsidR="00D6560D" w:rsidRPr="00AB53D2" w:rsidRDefault="0048296D" w:rsidP="00D6560D">
      <w:pPr>
        <w:numPr>
          <w:ilvl w:val="0"/>
          <w:numId w:val="11"/>
        </w:numPr>
        <w:pBdr>
          <w:left w:val="none" w:sz="0" w:space="7" w:color="auto"/>
        </w:pBdr>
        <w:spacing w:before="120" w:after="160" w:line="259" w:lineRule="auto"/>
        <w:ind w:left="1134" w:hanging="427"/>
        <w:jc w:val="both"/>
        <w:rPr>
          <w:rFonts w:ascii="Arial" w:hAnsi="Arial" w:cs="Arial"/>
          <w:color w:val="0070C0"/>
          <w:sz w:val="22"/>
          <w:szCs w:val="22"/>
        </w:rPr>
      </w:pPr>
      <w:r w:rsidRPr="00D6560D">
        <w:rPr>
          <w:rFonts w:ascii="Arial" w:eastAsia="Trebuchet MS" w:hAnsi="Arial" w:cs="Arial"/>
          <w:color w:val="000000"/>
          <w:sz w:val="22"/>
          <w:szCs w:val="22"/>
        </w:rPr>
        <w:lastRenderedPageBreak/>
        <w:t xml:space="preserve">Some Electronic Placing systems capture data items from </w:t>
      </w:r>
      <w:r w:rsidRPr="00D6560D">
        <w:rPr>
          <w:rFonts w:ascii="Arial" w:eastAsia="Trebuchet MS" w:hAnsi="Arial" w:cs="Arial"/>
          <w:sz w:val="22"/>
          <w:szCs w:val="22"/>
        </w:rPr>
        <w:t>several parts of the conventional MRC six part structure/format, such as Risk Code, Settlement Due Date and Year of Account and display them within the Signing Schedules</w:t>
      </w:r>
      <w:r w:rsidRPr="00D6560D">
        <w:rPr>
          <w:rFonts w:ascii="Arial" w:eastAsia="Trebuchet MS" w:hAnsi="Arial" w:cs="Arial"/>
          <w:color w:val="000000"/>
          <w:sz w:val="22"/>
          <w:szCs w:val="22"/>
        </w:rPr>
        <w:t>/Signed Line Pages when producing the Evidence of Cover.</w:t>
      </w:r>
    </w:p>
    <w:p w14:paraId="139ABADD" w14:textId="77777777" w:rsidR="00D6560D" w:rsidRPr="00AB53D2" w:rsidRDefault="0048296D" w:rsidP="00D6560D">
      <w:pPr>
        <w:numPr>
          <w:ilvl w:val="0"/>
          <w:numId w:val="11"/>
        </w:numPr>
        <w:pBdr>
          <w:left w:val="none" w:sz="0" w:space="7" w:color="auto"/>
        </w:pBdr>
        <w:spacing w:before="120" w:after="160" w:line="259" w:lineRule="auto"/>
        <w:ind w:left="1134" w:hanging="427"/>
        <w:jc w:val="both"/>
        <w:rPr>
          <w:rFonts w:ascii="Arial" w:hAnsi="Arial" w:cs="Arial"/>
          <w:color w:val="0070C0"/>
          <w:sz w:val="22"/>
          <w:szCs w:val="22"/>
        </w:rPr>
      </w:pPr>
      <w:r w:rsidRPr="00D6560D">
        <w:rPr>
          <w:rFonts w:ascii="Arial" w:eastAsia="Trebuchet MS" w:hAnsi="Arial" w:cs="Arial"/>
          <w:sz w:val="22"/>
          <w:szCs w:val="22"/>
        </w:rPr>
        <w:t>Occasionally, the data shown in the MRC conflicts with the data shown on the Signing Schedules/Signed Line Pages, which has the potential to cause delay in processing of premium</w:t>
      </w:r>
      <w:r w:rsidRPr="00AB53D2">
        <w:rPr>
          <w:rFonts w:ascii="Arial" w:eastAsia="Trebuchet MS" w:hAnsi="Arial" w:cs="Arial"/>
          <w:color w:val="0070C0"/>
          <w:sz w:val="22"/>
          <w:szCs w:val="22"/>
        </w:rPr>
        <w:t>.</w:t>
      </w:r>
    </w:p>
    <w:p w14:paraId="7299B943" w14:textId="68335041" w:rsidR="00592C29" w:rsidRPr="00AB53D2" w:rsidRDefault="0048296D" w:rsidP="00D6560D">
      <w:pPr>
        <w:numPr>
          <w:ilvl w:val="0"/>
          <w:numId w:val="11"/>
        </w:numPr>
        <w:pBdr>
          <w:left w:val="none" w:sz="0" w:space="7" w:color="auto"/>
        </w:pBdr>
        <w:spacing w:before="120" w:after="160" w:line="259" w:lineRule="auto"/>
        <w:ind w:left="1134" w:hanging="427"/>
        <w:jc w:val="both"/>
        <w:rPr>
          <w:rFonts w:ascii="Arial" w:hAnsi="Arial" w:cs="Arial"/>
          <w:color w:val="0070C0"/>
          <w:sz w:val="22"/>
          <w:szCs w:val="22"/>
        </w:rPr>
      </w:pPr>
      <w:r w:rsidRPr="00D6560D">
        <w:rPr>
          <w:rFonts w:ascii="Arial" w:eastAsia="Trebuchet MS" w:hAnsi="Arial" w:cs="Arial"/>
          <w:sz w:val="22"/>
          <w:szCs w:val="22"/>
        </w:rPr>
        <w:t>There are currently three acceptable approaches being adopted by Market Firms to overcome any potential for conflict:</w:t>
      </w:r>
    </w:p>
    <w:p w14:paraId="0E6536DB" w14:textId="77777777" w:rsidR="00592C29" w:rsidRPr="00D6560D" w:rsidRDefault="0048296D" w:rsidP="00085F37">
      <w:pPr>
        <w:numPr>
          <w:ilvl w:val="0"/>
          <w:numId w:val="12"/>
        </w:numPr>
        <w:pBdr>
          <w:left w:val="none" w:sz="0" w:space="3" w:color="auto"/>
        </w:pBdr>
        <w:spacing w:before="120" w:after="160" w:line="259" w:lineRule="auto"/>
        <w:ind w:left="1463" w:hanging="329"/>
        <w:jc w:val="both"/>
        <w:rPr>
          <w:rFonts w:ascii="Arial" w:eastAsia="Trebuchet MS" w:hAnsi="Arial" w:cs="Arial"/>
          <w:sz w:val="22"/>
          <w:szCs w:val="22"/>
        </w:rPr>
      </w:pPr>
      <w:r w:rsidRPr="00D6560D">
        <w:rPr>
          <w:rFonts w:ascii="Arial" w:eastAsia="Trebuchet MS" w:hAnsi="Arial" w:cs="Arial"/>
          <w:sz w:val="22"/>
          <w:szCs w:val="22"/>
        </w:rPr>
        <w:t>Removal of the Lloyd’s/London specific data items from the Electronic Placing MRC as they will be captured as data by the system and displayed within the Evidence of Cover.</w:t>
      </w:r>
    </w:p>
    <w:p w14:paraId="5BF6183E" w14:textId="77777777" w:rsidR="00592C29" w:rsidRPr="00D6560D" w:rsidRDefault="0048296D" w:rsidP="00085F37">
      <w:pPr>
        <w:numPr>
          <w:ilvl w:val="0"/>
          <w:numId w:val="12"/>
        </w:numPr>
        <w:pBdr>
          <w:left w:val="none" w:sz="0" w:space="3" w:color="auto"/>
        </w:pBdr>
        <w:spacing w:before="120" w:after="160" w:line="259" w:lineRule="auto"/>
        <w:ind w:left="1463" w:hanging="329"/>
        <w:jc w:val="both"/>
        <w:rPr>
          <w:rFonts w:ascii="Arial" w:eastAsia="Trebuchet MS" w:hAnsi="Arial" w:cs="Arial"/>
          <w:sz w:val="22"/>
          <w:szCs w:val="22"/>
        </w:rPr>
      </w:pPr>
      <w:r w:rsidRPr="00D6560D">
        <w:rPr>
          <w:rFonts w:ascii="Arial" w:eastAsia="Trebuchet MS" w:hAnsi="Arial" w:cs="Arial"/>
          <w:sz w:val="22"/>
          <w:szCs w:val="22"/>
        </w:rPr>
        <w:t>Addition of a suitable comment within the Subscription Agreement (under the “</w:t>
      </w:r>
      <w:proofErr w:type="spellStart"/>
      <w:r w:rsidRPr="00D6560D">
        <w:rPr>
          <w:rFonts w:ascii="Arial" w:eastAsia="Trebuchet MS" w:hAnsi="Arial" w:cs="Arial"/>
          <w:sz w:val="22"/>
          <w:szCs w:val="22"/>
        </w:rPr>
        <w:t>Bureaux</w:t>
      </w:r>
      <w:proofErr w:type="spellEnd"/>
      <w:r w:rsidRPr="00D6560D">
        <w:rPr>
          <w:rFonts w:ascii="Arial" w:eastAsia="Trebuchet MS" w:hAnsi="Arial" w:cs="Arial"/>
          <w:sz w:val="22"/>
          <w:szCs w:val="22"/>
        </w:rPr>
        <w:t xml:space="preserve"> Arrangements” heading) – </w:t>
      </w:r>
      <w:r w:rsidRPr="00D6560D">
        <w:rPr>
          <w:rFonts w:ascii="Arial" w:eastAsia="Trebuchet MS" w:hAnsi="Arial" w:cs="Arial"/>
          <w:b/>
          <w:bCs/>
          <w:sz w:val="22"/>
          <w:szCs w:val="22"/>
        </w:rPr>
        <w:t xml:space="preserve">NB. These are example words and market firms should edit/amend as appropriate: </w:t>
      </w:r>
    </w:p>
    <w:p w14:paraId="0B0CF491" w14:textId="77777777" w:rsidR="00592C29" w:rsidRPr="00D6560D" w:rsidRDefault="0048296D" w:rsidP="00085F37">
      <w:pPr>
        <w:spacing w:before="120" w:after="160" w:line="259" w:lineRule="auto"/>
        <w:ind w:left="1463"/>
        <w:jc w:val="both"/>
        <w:rPr>
          <w:rFonts w:ascii="Arial" w:hAnsi="Arial" w:cs="Arial"/>
          <w:sz w:val="22"/>
          <w:szCs w:val="22"/>
        </w:rPr>
      </w:pPr>
      <w:r w:rsidRPr="00D6560D">
        <w:rPr>
          <w:rFonts w:ascii="Arial" w:eastAsia="Trebuchet MS" w:hAnsi="Arial" w:cs="Arial"/>
          <w:i/>
          <w:iCs/>
          <w:sz w:val="22"/>
          <w:szCs w:val="22"/>
        </w:rPr>
        <w:t>“In the event the Settlement Due Date (as detailed in Subscription Agreement) and/or the Risk Code and/or Year of Account (as detailed in Fiscal and Regulatory) differ from those shown in the Security Schedule attached hereto, the information recorded in the Security Schedule shall take precedence”</w:t>
      </w:r>
      <w:r w:rsidRPr="00D6560D">
        <w:rPr>
          <w:rFonts w:ascii="Arial" w:eastAsia="Trebuchet MS" w:hAnsi="Arial" w:cs="Arial"/>
          <w:sz w:val="22"/>
          <w:szCs w:val="22"/>
        </w:rPr>
        <w:t>. </w:t>
      </w:r>
    </w:p>
    <w:p w14:paraId="0B0F23B0" w14:textId="77777777" w:rsidR="00592C29" w:rsidRPr="00D6560D" w:rsidRDefault="0048296D" w:rsidP="00085F37">
      <w:pPr>
        <w:numPr>
          <w:ilvl w:val="0"/>
          <w:numId w:val="13"/>
        </w:numPr>
        <w:pBdr>
          <w:left w:val="none" w:sz="0" w:space="3" w:color="auto"/>
        </w:pBdr>
        <w:spacing w:before="120" w:after="160" w:line="259" w:lineRule="auto"/>
        <w:ind w:left="1463" w:hanging="329"/>
        <w:jc w:val="both"/>
        <w:rPr>
          <w:rFonts w:ascii="Arial" w:eastAsia="Trebuchet MS" w:hAnsi="Arial" w:cs="Arial"/>
          <w:sz w:val="22"/>
          <w:szCs w:val="22"/>
        </w:rPr>
      </w:pPr>
      <w:r w:rsidRPr="00D6560D">
        <w:rPr>
          <w:rFonts w:ascii="Arial" w:eastAsia="Trebuchet MS" w:hAnsi="Arial" w:cs="Arial"/>
          <w:sz w:val="22"/>
          <w:szCs w:val="22"/>
        </w:rPr>
        <w:t>State under Settlement Due Date, Risk Code, Year of Account that the information can be found within the Security Schedule/Signed Line Pages.</w:t>
      </w:r>
    </w:p>
    <w:p w14:paraId="5ED8D593" w14:textId="31FF5D51" w:rsidR="00592C29" w:rsidRDefault="0048296D" w:rsidP="00D6560D">
      <w:pPr>
        <w:spacing w:before="120" w:after="240" w:line="259" w:lineRule="auto"/>
        <w:ind w:left="1134"/>
        <w:jc w:val="both"/>
        <w:rPr>
          <w:rFonts w:ascii="Arial" w:eastAsia="Trebuchet MS" w:hAnsi="Arial" w:cs="Arial"/>
          <w:sz w:val="22"/>
          <w:szCs w:val="22"/>
        </w:rPr>
      </w:pPr>
      <w:r w:rsidRPr="00D6560D">
        <w:rPr>
          <w:rFonts w:ascii="Arial" w:eastAsia="Trebuchet MS" w:hAnsi="Arial" w:cs="Arial"/>
          <w:sz w:val="22"/>
          <w:szCs w:val="22"/>
        </w:rPr>
        <w:t>It is acknowledged that each of these solutions offers its own unique challenges and it is recommended that each Market Firm review the options available and select the one appropriate for their own business model/processes/systems.</w:t>
      </w:r>
    </w:p>
    <w:p w14:paraId="3F8662E9" w14:textId="77777777" w:rsidR="00592C29" w:rsidRPr="00AB53D2" w:rsidRDefault="0048296D" w:rsidP="00D6560D">
      <w:pPr>
        <w:numPr>
          <w:ilvl w:val="0"/>
          <w:numId w:val="14"/>
        </w:numPr>
        <w:pBdr>
          <w:left w:val="none" w:sz="0" w:space="7" w:color="auto"/>
        </w:pBdr>
        <w:spacing w:before="120"/>
        <w:ind w:left="1134" w:hanging="425"/>
        <w:jc w:val="both"/>
        <w:rPr>
          <w:rFonts w:ascii="Arial" w:hAnsi="Arial" w:cs="Arial"/>
          <w:color w:val="0070C0"/>
          <w:sz w:val="22"/>
          <w:szCs w:val="22"/>
        </w:rPr>
      </w:pPr>
      <w:r w:rsidRPr="00D6560D">
        <w:rPr>
          <w:rFonts w:ascii="Arial" w:eastAsia="Trebuchet MS" w:hAnsi="Arial" w:cs="Arial"/>
          <w:sz w:val="22"/>
          <w:szCs w:val="22"/>
        </w:rPr>
        <w:t>Some “Risk Information” is traditionally shown within an “Information Schedule” attached to the MRC.  Careful consideration should be given as to whether such information is required for post bind processing, as evidence that such information has been seen and</w:t>
      </w:r>
      <w:r w:rsidRPr="00D6560D">
        <w:rPr>
          <w:rFonts w:ascii="Arial" w:eastAsia="Arial" w:hAnsi="Arial" w:cs="Arial"/>
          <w:color w:val="000000"/>
          <w:sz w:val="22"/>
          <w:szCs w:val="22"/>
        </w:rPr>
        <w:t xml:space="preserve"> acknowledged by Carriers may be required.  It may therefore be appropriate to present information required for post bind processing within the </w:t>
      </w:r>
      <w:r w:rsidRPr="00D6560D">
        <w:rPr>
          <w:rFonts w:ascii="Arial" w:eastAsia="Arial" w:hAnsi="Arial" w:cs="Arial"/>
          <w:b/>
          <w:bCs/>
          <w:color w:val="000000"/>
          <w:sz w:val="22"/>
          <w:szCs w:val="22"/>
        </w:rPr>
        <w:t>INFORMATION</w:t>
      </w:r>
      <w:r w:rsidRPr="00D6560D">
        <w:rPr>
          <w:rFonts w:ascii="Arial" w:eastAsia="Arial" w:hAnsi="Arial" w:cs="Arial"/>
          <w:color w:val="000000"/>
          <w:sz w:val="22"/>
          <w:szCs w:val="22"/>
        </w:rPr>
        <w:t xml:space="preserve"> section of the MRC.</w:t>
      </w:r>
    </w:p>
    <w:p w14:paraId="169F8F38" w14:textId="77777777" w:rsidR="00592C29" w:rsidRDefault="00592C29">
      <w:pPr>
        <w:rPr>
          <w:sz w:val="22"/>
          <w:szCs w:val="22"/>
        </w:rPr>
      </w:pPr>
    </w:p>
    <w:p w14:paraId="674F23A5" w14:textId="77777777" w:rsidR="00592C29" w:rsidRDefault="0048296D">
      <w:pPr>
        <w:pStyle w:val="Heading2"/>
        <w:rPr>
          <w:sz w:val="28"/>
          <w:szCs w:val="28"/>
        </w:rPr>
      </w:pPr>
      <w:bookmarkStart w:id="24" w:name="_Toc21706638"/>
      <w:bookmarkStart w:id="25" w:name="_Toc31396073"/>
      <w:r>
        <w:rPr>
          <w:rFonts w:ascii="Arial" w:eastAsia="Arial" w:hAnsi="Arial" w:cs="Arial"/>
          <w:i/>
          <w:color w:val="0070C0"/>
          <w:sz w:val="28"/>
          <w:szCs w:val="28"/>
        </w:rPr>
        <w:t>3.5 General Guidance</w:t>
      </w:r>
      <w:bookmarkEnd w:id="24"/>
      <w:bookmarkEnd w:id="25"/>
    </w:p>
    <w:p w14:paraId="621757F7" w14:textId="77777777" w:rsidR="00592C29" w:rsidRDefault="0048296D">
      <w:pPr>
        <w:spacing w:before="120"/>
        <w:ind w:left="720"/>
        <w:jc w:val="both"/>
        <w:rPr>
          <w:sz w:val="22"/>
          <w:szCs w:val="22"/>
        </w:rPr>
      </w:pPr>
      <w:r>
        <w:rPr>
          <w:rFonts w:ascii="Arial" w:eastAsia="Arial" w:hAnsi="Arial" w:cs="Arial"/>
          <w:i/>
          <w:iCs/>
          <w:sz w:val="22"/>
          <w:szCs w:val="22"/>
        </w:rPr>
        <w:t>{intentionally left blank}</w:t>
      </w:r>
    </w:p>
    <w:p w14:paraId="34969591" w14:textId="77777777" w:rsidR="00592C29" w:rsidRDefault="00592C29">
      <w:pPr>
        <w:rPr>
          <w:sz w:val="22"/>
          <w:szCs w:val="22"/>
        </w:rPr>
      </w:pPr>
    </w:p>
    <w:p w14:paraId="3A5D1532" w14:textId="1AD2D932" w:rsidR="00592C29" w:rsidRPr="00E32F44" w:rsidRDefault="0048296D" w:rsidP="00E32F44">
      <w:pPr>
        <w:pStyle w:val="Heading2"/>
        <w:rPr>
          <w:sz w:val="28"/>
          <w:szCs w:val="28"/>
        </w:rPr>
      </w:pPr>
      <w:bookmarkStart w:id="26" w:name="_Toc21706639"/>
      <w:bookmarkStart w:id="27" w:name="_Toc31396074"/>
      <w:r>
        <w:rPr>
          <w:rFonts w:ascii="Arial" w:eastAsia="Arial" w:hAnsi="Arial" w:cs="Arial"/>
          <w:i/>
          <w:color w:val="0070C0"/>
          <w:sz w:val="28"/>
          <w:szCs w:val="28"/>
        </w:rPr>
        <w:t>3.6 Detailed MRC Documentation</w:t>
      </w:r>
      <w:bookmarkEnd w:id="26"/>
      <w:bookmarkEnd w:id="27"/>
    </w:p>
    <w:p w14:paraId="2002E4ED" w14:textId="00F79D4A" w:rsidR="00592C29" w:rsidRDefault="0048296D">
      <w:pPr>
        <w:spacing w:before="120"/>
        <w:ind w:left="720"/>
        <w:jc w:val="both"/>
        <w:rPr>
          <w:sz w:val="22"/>
          <w:szCs w:val="22"/>
        </w:rPr>
      </w:pPr>
      <w:r>
        <w:rPr>
          <w:rFonts w:ascii="Arial" w:eastAsia="Arial" w:hAnsi="Arial" w:cs="Arial"/>
          <w:sz w:val="22"/>
          <w:szCs w:val="22"/>
        </w:rPr>
        <w:t xml:space="preserve">Irrespective of which of the </w:t>
      </w:r>
      <w:r>
        <w:rPr>
          <w:rFonts w:ascii="Arial" w:eastAsia="Arial" w:hAnsi="Arial" w:cs="Arial"/>
          <w:color w:val="633277"/>
          <w:sz w:val="22"/>
          <w:szCs w:val="22"/>
        </w:rPr>
        <w:t>three</w:t>
      </w:r>
      <w:r>
        <w:rPr>
          <w:rFonts w:ascii="Arial" w:eastAsia="Arial" w:hAnsi="Arial" w:cs="Arial"/>
          <w:sz w:val="22"/>
          <w:szCs w:val="22"/>
        </w:rPr>
        <w:t xml:space="preserve"> approaches to the split/</w:t>
      </w:r>
      <w:proofErr w:type="spellStart"/>
      <w:r>
        <w:rPr>
          <w:rFonts w:ascii="Arial" w:eastAsia="Arial" w:hAnsi="Arial" w:cs="Arial"/>
          <w:sz w:val="22"/>
          <w:szCs w:val="22"/>
        </w:rPr>
        <w:t>sectionalised</w:t>
      </w:r>
      <w:proofErr w:type="spellEnd"/>
      <w:r>
        <w:rPr>
          <w:rFonts w:ascii="Arial" w:eastAsia="Arial" w:hAnsi="Arial" w:cs="Arial"/>
          <w:sz w:val="22"/>
          <w:szCs w:val="22"/>
        </w:rPr>
        <w:t xml:space="preserve"> MRC is adopted, the appendices to this document provide a more detailed guide to the completion of each contract section, including guidance on the completion of specific fields. </w:t>
      </w:r>
    </w:p>
    <w:p w14:paraId="2A150FB2" w14:textId="77777777" w:rsidR="00592C29" w:rsidRDefault="00592C29">
      <w:pPr>
        <w:rPr>
          <w:sz w:val="22"/>
          <w:szCs w:val="22"/>
        </w:rPr>
      </w:pPr>
    </w:p>
    <w:p w14:paraId="0507F0F7" w14:textId="77777777" w:rsidR="00592C29" w:rsidRDefault="0048296D">
      <w:pPr>
        <w:pStyle w:val="Heading2"/>
        <w:rPr>
          <w:sz w:val="28"/>
          <w:szCs w:val="28"/>
        </w:rPr>
      </w:pPr>
      <w:bookmarkStart w:id="28" w:name="_Toc21706640"/>
      <w:bookmarkStart w:id="29" w:name="_Toc31396075"/>
      <w:r>
        <w:rPr>
          <w:rFonts w:ascii="Arial" w:eastAsia="Arial" w:hAnsi="Arial" w:cs="Arial"/>
          <w:i/>
          <w:color w:val="0070C0"/>
          <w:sz w:val="28"/>
          <w:szCs w:val="28"/>
        </w:rPr>
        <w:lastRenderedPageBreak/>
        <w:t>3.7 Further Information</w:t>
      </w:r>
      <w:bookmarkEnd w:id="28"/>
      <w:bookmarkEnd w:id="29"/>
    </w:p>
    <w:p w14:paraId="1CB3EA48" w14:textId="77777777" w:rsidR="00592C29" w:rsidRDefault="00592C29">
      <w:pPr>
        <w:rPr>
          <w:sz w:val="22"/>
          <w:szCs w:val="22"/>
        </w:rPr>
      </w:pPr>
    </w:p>
    <w:p w14:paraId="3D2F88A0" w14:textId="77777777" w:rsidR="00592C29" w:rsidRDefault="0048296D">
      <w:pPr>
        <w:spacing w:before="120"/>
        <w:ind w:left="720"/>
        <w:jc w:val="both"/>
        <w:rPr>
          <w:sz w:val="22"/>
          <w:szCs w:val="22"/>
        </w:rPr>
      </w:pPr>
      <w:r>
        <w:rPr>
          <w:rFonts w:ascii="Arial" w:eastAsia="Arial" w:hAnsi="Arial" w:cs="Arial"/>
          <w:sz w:val="22"/>
          <w:szCs w:val="22"/>
        </w:rPr>
        <w:t>For further information regarding the completion of Market Reform Contracts for risks underwritten by Lloyd’s Brussels, please contact:</w:t>
      </w:r>
    </w:p>
    <w:p w14:paraId="63992C01" w14:textId="77777777" w:rsidR="00592C29" w:rsidRDefault="00592C29">
      <w:pPr>
        <w:spacing w:after="200" w:line="276" w:lineRule="auto"/>
        <w:ind w:left="567"/>
        <w:rPr>
          <w:sz w:val="22"/>
          <w:szCs w:val="22"/>
        </w:rPr>
      </w:pPr>
    </w:p>
    <w:tbl>
      <w:tblPr>
        <w:tblW w:w="8222" w:type="dxa"/>
        <w:tblInd w:w="82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701"/>
        <w:gridCol w:w="4394"/>
        <w:gridCol w:w="2127"/>
      </w:tblGrid>
      <w:tr w:rsidR="00592C29" w14:paraId="361B72D4" w14:textId="77777777">
        <w:tc>
          <w:tcPr>
            <w:tcW w:w="1701" w:type="dxa"/>
            <w:tcBorders>
              <w:bottom w:val="single" w:sz="6" w:space="0" w:color="000000"/>
              <w:right w:val="single" w:sz="6" w:space="0" w:color="000000"/>
            </w:tcBorders>
            <w:shd w:val="clear" w:color="auto" w:fill="F3F3F3"/>
            <w:tcMar>
              <w:top w:w="8" w:type="dxa"/>
              <w:left w:w="108" w:type="dxa"/>
              <w:bottom w:w="8" w:type="dxa"/>
              <w:right w:w="108" w:type="dxa"/>
            </w:tcMar>
            <w:hideMark/>
          </w:tcPr>
          <w:p w14:paraId="0639FFF4" w14:textId="77777777" w:rsidR="00592C29" w:rsidRDefault="0048296D">
            <w:pPr>
              <w:spacing w:before="20"/>
              <w:rPr>
                <w:color w:val="000000"/>
                <w:sz w:val="20"/>
                <w:szCs w:val="20"/>
              </w:rPr>
            </w:pPr>
            <w:r>
              <w:rPr>
                <w:rFonts w:ascii="Arial" w:eastAsia="Arial" w:hAnsi="Arial" w:cs="Arial"/>
                <w:b/>
                <w:bCs/>
                <w:color w:val="000000"/>
                <w:sz w:val="20"/>
                <w:szCs w:val="20"/>
              </w:rPr>
              <w:t>Type of Query</w:t>
            </w:r>
          </w:p>
        </w:tc>
        <w:tc>
          <w:tcPr>
            <w:tcW w:w="4394" w:type="dxa"/>
            <w:tcBorders>
              <w:left w:val="single" w:sz="6" w:space="0" w:color="000000"/>
              <w:bottom w:val="single" w:sz="6" w:space="0" w:color="000000"/>
              <w:right w:val="single" w:sz="6" w:space="0" w:color="000000"/>
            </w:tcBorders>
            <w:shd w:val="clear" w:color="auto" w:fill="F3F3F3"/>
            <w:tcMar>
              <w:top w:w="8" w:type="dxa"/>
              <w:left w:w="108" w:type="dxa"/>
              <w:bottom w:w="8" w:type="dxa"/>
              <w:right w:w="108" w:type="dxa"/>
            </w:tcMar>
            <w:hideMark/>
          </w:tcPr>
          <w:p w14:paraId="7A1CE218" w14:textId="77777777" w:rsidR="00592C29" w:rsidRDefault="0048296D">
            <w:pPr>
              <w:spacing w:before="20"/>
              <w:rPr>
                <w:color w:val="000000"/>
                <w:sz w:val="20"/>
                <w:szCs w:val="20"/>
              </w:rPr>
            </w:pPr>
            <w:r>
              <w:rPr>
                <w:rFonts w:ascii="Arial" w:eastAsia="Arial" w:hAnsi="Arial" w:cs="Arial"/>
                <w:b/>
                <w:bCs/>
                <w:color w:val="000000"/>
                <w:sz w:val="20"/>
                <w:szCs w:val="20"/>
              </w:rPr>
              <w:t>Contact</w:t>
            </w:r>
          </w:p>
        </w:tc>
        <w:tc>
          <w:tcPr>
            <w:tcW w:w="2127" w:type="dxa"/>
            <w:tcBorders>
              <w:left w:val="single" w:sz="6" w:space="0" w:color="000000"/>
              <w:bottom w:val="single" w:sz="6" w:space="0" w:color="000000"/>
            </w:tcBorders>
            <w:shd w:val="clear" w:color="auto" w:fill="F3F3F3"/>
            <w:tcMar>
              <w:top w:w="8" w:type="dxa"/>
              <w:left w:w="108" w:type="dxa"/>
              <w:bottom w:w="8" w:type="dxa"/>
              <w:right w:w="108" w:type="dxa"/>
            </w:tcMar>
            <w:hideMark/>
          </w:tcPr>
          <w:p w14:paraId="411AA43C" w14:textId="77777777" w:rsidR="00592C29" w:rsidRDefault="0048296D">
            <w:pPr>
              <w:spacing w:before="20"/>
              <w:rPr>
                <w:color w:val="000000"/>
                <w:sz w:val="20"/>
                <w:szCs w:val="20"/>
              </w:rPr>
            </w:pPr>
            <w:r>
              <w:rPr>
                <w:rFonts w:ascii="Arial" w:eastAsia="Arial" w:hAnsi="Arial" w:cs="Arial"/>
                <w:b/>
                <w:bCs/>
                <w:color w:val="000000"/>
                <w:sz w:val="20"/>
                <w:szCs w:val="20"/>
              </w:rPr>
              <w:t>Address</w:t>
            </w:r>
          </w:p>
        </w:tc>
      </w:tr>
      <w:tr w:rsidR="00592C29" w14:paraId="66A54C0F" w14:textId="77777777">
        <w:tc>
          <w:tcPr>
            <w:tcW w:w="1701" w:type="dxa"/>
            <w:tcBorders>
              <w:top w:val="single" w:sz="6" w:space="0" w:color="000000"/>
              <w:bottom w:val="single" w:sz="6" w:space="0" w:color="000000"/>
              <w:right w:val="single" w:sz="6" w:space="0" w:color="000000"/>
            </w:tcBorders>
            <w:tcMar>
              <w:top w:w="8" w:type="dxa"/>
              <w:left w:w="108" w:type="dxa"/>
              <w:bottom w:w="8" w:type="dxa"/>
              <w:right w:w="108" w:type="dxa"/>
            </w:tcMar>
            <w:hideMark/>
          </w:tcPr>
          <w:p w14:paraId="6D93D764" w14:textId="77777777" w:rsidR="00592C29" w:rsidRDefault="0048296D">
            <w:pPr>
              <w:spacing w:before="20"/>
              <w:rPr>
                <w:rFonts w:ascii="Arial" w:eastAsia="Arial" w:hAnsi="Arial" w:cs="Arial"/>
                <w:color w:val="000000"/>
                <w:sz w:val="20"/>
                <w:szCs w:val="20"/>
              </w:rPr>
            </w:pPr>
            <w:r>
              <w:rPr>
                <w:rFonts w:ascii="Arial" w:eastAsia="Arial" w:hAnsi="Arial" w:cs="Arial"/>
                <w:color w:val="000000"/>
                <w:sz w:val="20"/>
                <w:szCs w:val="20"/>
              </w:rPr>
              <w:t>Lloyd’s Brussels operational queries</w:t>
            </w:r>
          </w:p>
          <w:p w14:paraId="56111178" w14:textId="4D7DC8F9" w:rsidR="006B4A33" w:rsidRDefault="006B4A33">
            <w:pPr>
              <w:spacing w:before="20"/>
              <w:rPr>
                <w:color w:val="000000"/>
                <w:sz w:val="20"/>
                <w:szCs w:val="20"/>
              </w:rPr>
            </w:pPr>
          </w:p>
        </w:tc>
        <w:tc>
          <w:tcPr>
            <w:tcW w:w="4394"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2C82765" w14:textId="78F0EB3F" w:rsidR="00592C29" w:rsidRPr="00A06FD4" w:rsidRDefault="006B4A33">
            <w:pPr>
              <w:spacing w:before="20"/>
              <w:rPr>
                <w:color w:val="0000FF"/>
                <w:sz w:val="20"/>
                <w:szCs w:val="20"/>
              </w:rPr>
            </w:pPr>
            <w:r w:rsidRPr="00A06FD4">
              <w:rPr>
                <w:rStyle w:val="Hyperlink"/>
                <w:rFonts w:ascii="Arial" w:eastAsia="Arial" w:hAnsi="Arial" w:cs="Arial"/>
                <w:color w:val="0000FF"/>
                <w:sz w:val="22"/>
                <w:szCs w:val="22"/>
              </w:rPr>
              <w:t>lloydsbrussels@lloyds.com</w:t>
            </w:r>
            <w:r w:rsidRPr="00A06FD4">
              <w:rPr>
                <w:color w:val="0000FF"/>
                <w:sz w:val="20"/>
                <w:szCs w:val="20"/>
              </w:rPr>
              <w:t xml:space="preserve"> </w:t>
            </w:r>
          </w:p>
        </w:tc>
        <w:tc>
          <w:tcPr>
            <w:tcW w:w="2127" w:type="dxa"/>
            <w:tcBorders>
              <w:top w:val="single" w:sz="6" w:space="0" w:color="000000"/>
              <w:left w:val="single" w:sz="6" w:space="0" w:color="000000"/>
              <w:bottom w:val="single" w:sz="6" w:space="0" w:color="000000"/>
            </w:tcBorders>
            <w:tcMar>
              <w:top w:w="8" w:type="dxa"/>
              <w:left w:w="108" w:type="dxa"/>
              <w:bottom w:w="8" w:type="dxa"/>
              <w:right w:w="108" w:type="dxa"/>
            </w:tcMar>
            <w:hideMark/>
          </w:tcPr>
          <w:p w14:paraId="44DCD35C" w14:textId="77777777" w:rsidR="00592C29" w:rsidRDefault="00592C29" w:rsidP="006B4A33">
            <w:pPr>
              <w:spacing w:before="20"/>
              <w:rPr>
                <w:color w:val="000000"/>
                <w:sz w:val="20"/>
                <w:szCs w:val="20"/>
              </w:rPr>
            </w:pPr>
          </w:p>
        </w:tc>
      </w:tr>
      <w:tr w:rsidR="00592C29" w14:paraId="07792463" w14:textId="77777777">
        <w:tc>
          <w:tcPr>
            <w:tcW w:w="1701" w:type="dxa"/>
            <w:tcBorders>
              <w:top w:val="single" w:sz="6" w:space="0" w:color="000000"/>
              <w:bottom w:val="single" w:sz="6" w:space="0" w:color="000000"/>
              <w:right w:val="single" w:sz="6" w:space="0" w:color="000000"/>
            </w:tcBorders>
            <w:tcMar>
              <w:top w:w="8" w:type="dxa"/>
              <w:left w:w="108" w:type="dxa"/>
              <w:bottom w:w="8" w:type="dxa"/>
              <w:right w:w="108" w:type="dxa"/>
            </w:tcMar>
            <w:hideMark/>
          </w:tcPr>
          <w:p w14:paraId="6E63BAE8" w14:textId="77777777" w:rsidR="00592C29" w:rsidRDefault="0048296D">
            <w:pPr>
              <w:spacing w:before="20"/>
              <w:rPr>
                <w:color w:val="000000"/>
                <w:sz w:val="20"/>
                <w:szCs w:val="20"/>
              </w:rPr>
            </w:pPr>
            <w:r>
              <w:rPr>
                <w:rFonts w:ascii="Arial" w:eastAsia="Arial" w:hAnsi="Arial" w:cs="Arial"/>
                <w:color w:val="000000"/>
                <w:sz w:val="20"/>
                <w:szCs w:val="20"/>
              </w:rPr>
              <w:t>Lloyd’s Underwriters’ queries</w:t>
            </w:r>
          </w:p>
        </w:tc>
        <w:tc>
          <w:tcPr>
            <w:tcW w:w="4394"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03063FDC" w14:textId="77777777" w:rsidR="00592C29" w:rsidRDefault="0048296D">
            <w:pPr>
              <w:spacing w:before="20"/>
              <w:rPr>
                <w:color w:val="000000"/>
                <w:sz w:val="20"/>
                <w:szCs w:val="20"/>
              </w:rPr>
            </w:pPr>
            <w:r>
              <w:rPr>
                <w:rFonts w:ascii="Arial" w:eastAsia="Arial" w:hAnsi="Arial" w:cs="Arial"/>
                <w:color w:val="000000"/>
                <w:sz w:val="20"/>
                <w:szCs w:val="20"/>
              </w:rPr>
              <w:t>Alison Colver - LMA</w:t>
            </w:r>
          </w:p>
          <w:p w14:paraId="21CC8BDA" w14:textId="77777777" w:rsidR="00592C29" w:rsidRDefault="0048296D">
            <w:pPr>
              <w:spacing w:before="20"/>
              <w:rPr>
                <w:color w:val="000000"/>
                <w:sz w:val="20"/>
                <w:szCs w:val="20"/>
              </w:rPr>
            </w:pPr>
            <w:r>
              <w:rPr>
                <w:rFonts w:ascii="Arial" w:eastAsia="Arial" w:hAnsi="Arial" w:cs="Arial"/>
                <w:color w:val="000000"/>
                <w:sz w:val="20"/>
                <w:szCs w:val="20"/>
              </w:rPr>
              <w:t>Tel: 020 7327 3333</w:t>
            </w:r>
          </w:p>
          <w:p w14:paraId="3F1DF520" w14:textId="77777777" w:rsidR="00592C29" w:rsidRDefault="0048296D">
            <w:pPr>
              <w:spacing w:before="20"/>
              <w:rPr>
                <w:color w:val="000000"/>
                <w:sz w:val="20"/>
                <w:szCs w:val="20"/>
              </w:rPr>
            </w:pPr>
            <w:r>
              <w:rPr>
                <w:rFonts w:ascii="Arial" w:eastAsia="Arial" w:hAnsi="Arial" w:cs="Arial"/>
                <w:color w:val="000000"/>
                <w:sz w:val="20"/>
                <w:szCs w:val="20"/>
              </w:rPr>
              <w:t xml:space="preserve">Email: </w:t>
            </w:r>
            <w:hyperlink r:id="rId12" w:history="1">
              <w:r>
                <w:rPr>
                  <w:rFonts w:ascii="Arial" w:eastAsia="Arial" w:hAnsi="Arial" w:cs="Arial"/>
                  <w:color w:val="0000FF"/>
                  <w:sz w:val="20"/>
                  <w:szCs w:val="20"/>
                  <w:u w:val="single" w:color="0000FF"/>
                </w:rPr>
                <w:t>alison.colver@lmalloyds.com</w:t>
              </w:r>
            </w:hyperlink>
            <w:r>
              <w:rPr>
                <w:rFonts w:ascii="Arial" w:eastAsia="Arial" w:hAnsi="Arial" w:cs="Arial"/>
                <w:color w:val="000000"/>
                <w:sz w:val="20"/>
                <w:szCs w:val="20"/>
              </w:rPr>
              <w:t xml:space="preserve"> </w:t>
            </w:r>
          </w:p>
        </w:tc>
        <w:tc>
          <w:tcPr>
            <w:tcW w:w="2127" w:type="dxa"/>
            <w:tcBorders>
              <w:top w:val="single" w:sz="6" w:space="0" w:color="000000"/>
              <w:left w:val="single" w:sz="6" w:space="0" w:color="000000"/>
              <w:bottom w:val="single" w:sz="6" w:space="0" w:color="000000"/>
            </w:tcBorders>
            <w:tcMar>
              <w:top w:w="8" w:type="dxa"/>
              <w:left w:w="108" w:type="dxa"/>
              <w:bottom w:w="8" w:type="dxa"/>
              <w:right w:w="108" w:type="dxa"/>
            </w:tcMar>
            <w:hideMark/>
          </w:tcPr>
          <w:p w14:paraId="7B51AFAD" w14:textId="77777777" w:rsidR="00592C29" w:rsidRDefault="0048296D">
            <w:pPr>
              <w:spacing w:before="20"/>
              <w:rPr>
                <w:color w:val="000000"/>
                <w:sz w:val="20"/>
                <w:szCs w:val="20"/>
              </w:rPr>
            </w:pPr>
            <w:r>
              <w:rPr>
                <w:rFonts w:ascii="Arial" w:eastAsia="Arial" w:hAnsi="Arial" w:cs="Arial"/>
                <w:color w:val="000000"/>
                <w:sz w:val="20"/>
                <w:szCs w:val="20"/>
              </w:rPr>
              <w:t>Gallery 4</w:t>
            </w:r>
          </w:p>
          <w:p w14:paraId="07CD8500" w14:textId="77777777" w:rsidR="00592C29" w:rsidRDefault="0048296D">
            <w:pPr>
              <w:spacing w:before="20"/>
              <w:rPr>
                <w:color w:val="000000"/>
                <w:sz w:val="20"/>
                <w:szCs w:val="20"/>
              </w:rPr>
            </w:pPr>
            <w:r>
              <w:rPr>
                <w:rFonts w:ascii="Arial" w:eastAsia="Arial" w:hAnsi="Arial" w:cs="Arial"/>
                <w:color w:val="000000"/>
                <w:sz w:val="20"/>
                <w:szCs w:val="20"/>
              </w:rPr>
              <w:t xml:space="preserve">Lloyd’s </w:t>
            </w:r>
          </w:p>
          <w:p w14:paraId="7273FBEE" w14:textId="77777777" w:rsidR="00592C29" w:rsidRDefault="0048296D">
            <w:pPr>
              <w:spacing w:before="20"/>
              <w:rPr>
                <w:color w:val="000000"/>
                <w:sz w:val="20"/>
                <w:szCs w:val="20"/>
              </w:rPr>
            </w:pPr>
            <w:r>
              <w:rPr>
                <w:rFonts w:ascii="Arial" w:eastAsia="Arial" w:hAnsi="Arial" w:cs="Arial"/>
                <w:color w:val="000000"/>
                <w:sz w:val="20"/>
                <w:szCs w:val="20"/>
              </w:rPr>
              <w:t>1 Lime Street</w:t>
            </w:r>
          </w:p>
          <w:p w14:paraId="6694DCBC" w14:textId="77777777" w:rsidR="00592C29" w:rsidRDefault="0048296D">
            <w:pPr>
              <w:spacing w:before="20"/>
              <w:rPr>
                <w:color w:val="000000"/>
                <w:sz w:val="20"/>
                <w:szCs w:val="20"/>
              </w:rPr>
            </w:pPr>
            <w:r>
              <w:rPr>
                <w:rFonts w:ascii="Arial" w:eastAsia="Arial" w:hAnsi="Arial" w:cs="Arial"/>
                <w:color w:val="000000"/>
                <w:sz w:val="20"/>
                <w:szCs w:val="20"/>
              </w:rPr>
              <w:t>LONDON</w:t>
            </w:r>
          </w:p>
          <w:p w14:paraId="77E4FB20" w14:textId="77777777" w:rsidR="00592C29" w:rsidRDefault="0048296D">
            <w:pPr>
              <w:spacing w:before="20"/>
              <w:rPr>
                <w:color w:val="000000"/>
                <w:sz w:val="20"/>
                <w:szCs w:val="20"/>
              </w:rPr>
            </w:pPr>
            <w:r>
              <w:rPr>
                <w:rFonts w:ascii="Arial" w:eastAsia="Arial" w:hAnsi="Arial" w:cs="Arial"/>
                <w:color w:val="000000"/>
                <w:sz w:val="20"/>
                <w:szCs w:val="20"/>
              </w:rPr>
              <w:t>EC3M 7DQ</w:t>
            </w:r>
          </w:p>
          <w:p w14:paraId="2682EADF" w14:textId="77777777" w:rsidR="00592C29" w:rsidRDefault="00592C29">
            <w:pPr>
              <w:spacing w:before="20"/>
              <w:rPr>
                <w:color w:val="000000"/>
                <w:sz w:val="20"/>
                <w:szCs w:val="20"/>
              </w:rPr>
            </w:pPr>
          </w:p>
        </w:tc>
      </w:tr>
      <w:tr w:rsidR="00592C29" w14:paraId="26F2C9CE" w14:textId="77777777">
        <w:tc>
          <w:tcPr>
            <w:tcW w:w="1701" w:type="dxa"/>
            <w:tcBorders>
              <w:top w:val="single" w:sz="6" w:space="0" w:color="000000"/>
              <w:right w:val="single" w:sz="6" w:space="0" w:color="000000"/>
            </w:tcBorders>
            <w:tcMar>
              <w:top w:w="8" w:type="dxa"/>
              <w:left w:w="108" w:type="dxa"/>
              <w:bottom w:w="8" w:type="dxa"/>
              <w:right w:w="108" w:type="dxa"/>
            </w:tcMar>
            <w:hideMark/>
          </w:tcPr>
          <w:p w14:paraId="4D75A65B" w14:textId="77777777" w:rsidR="00592C29" w:rsidRDefault="0048296D">
            <w:pPr>
              <w:spacing w:before="20"/>
              <w:rPr>
                <w:color w:val="000000"/>
                <w:sz w:val="20"/>
                <w:szCs w:val="20"/>
              </w:rPr>
            </w:pPr>
            <w:r>
              <w:rPr>
                <w:rFonts w:ascii="Arial" w:eastAsia="Arial" w:hAnsi="Arial" w:cs="Arial"/>
                <w:color w:val="000000"/>
                <w:sz w:val="20"/>
                <w:szCs w:val="20"/>
              </w:rPr>
              <w:t>LIIBA Members’ queries</w:t>
            </w:r>
          </w:p>
        </w:tc>
        <w:tc>
          <w:tcPr>
            <w:tcW w:w="4394" w:type="dxa"/>
            <w:tcBorders>
              <w:top w:val="single" w:sz="6" w:space="0" w:color="000000"/>
              <w:left w:val="single" w:sz="6" w:space="0" w:color="000000"/>
              <w:right w:val="single" w:sz="6" w:space="0" w:color="000000"/>
            </w:tcBorders>
            <w:tcMar>
              <w:top w:w="8" w:type="dxa"/>
              <w:left w:w="108" w:type="dxa"/>
              <w:bottom w:w="8" w:type="dxa"/>
              <w:right w:w="108" w:type="dxa"/>
            </w:tcMar>
            <w:hideMark/>
          </w:tcPr>
          <w:p w14:paraId="357BDA55" w14:textId="77777777" w:rsidR="00592C29" w:rsidRDefault="0048296D">
            <w:pPr>
              <w:spacing w:before="20"/>
              <w:rPr>
                <w:color w:val="000000"/>
                <w:sz w:val="20"/>
                <w:szCs w:val="20"/>
              </w:rPr>
            </w:pPr>
            <w:r>
              <w:rPr>
                <w:rFonts w:ascii="Arial" w:eastAsia="Arial" w:hAnsi="Arial" w:cs="Arial"/>
                <w:color w:val="000000"/>
                <w:sz w:val="20"/>
                <w:szCs w:val="20"/>
              </w:rPr>
              <w:t>James Livett – LIIBA</w:t>
            </w:r>
          </w:p>
          <w:p w14:paraId="6B73D095" w14:textId="77777777" w:rsidR="00592C29" w:rsidRDefault="0048296D">
            <w:pPr>
              <w:spacing w:before="20"/>
              <w:rPr>
                <w:color w:val="000000"/>
                <w:sz w:val="20"/>
                <w:szCs w:val="20"/>
              </w:rPr>
            </w:pPr>
            <w:r>
              <w:rPr>
                <w:rFonts w:ascii="Arial" w:eastAsia="Arial" w:hAnsi="Arial" w:cs="Arial"/>
                <w:color w:val="000000"/>
                <w:sz w:val="20"/>
                <w:szCs w:val="20"/>
              </w:rPr>
              <w:t>Tel: 020 7280 0152</w:t>
            </w:r>
          </w:p>
          <w:p w14:paraId="5515DEEF" w14:textId="77777777" w:rsidR="00592C29" w:rsidRDefault="0048296D">
            <w:pPr>
              <w:spacing w:before="20"/>
              <w:rPr>
                <w:color w:val="000000"/>
                <w:sz w:val="20"/>
                <w:szCs w:val="20"/>
              </w:rPr>
            </w:pPr>
            <w:r>
              <w:rPr>
                <w:rFonts w:ascii="Arial" w:eastAsia="Arial" w:hAnsi="Arial" w:cs="Arial"/>
                <w:color w:val="000000"/>
                <w:sz w:val="20"/>
                <w:szCs w:val="20"/>
              </w:rPr>
              <w:t xml:space="preserve">Email: </w:t>
            </w:r>
            <w:hyperlink r:id="rId13" w:history="1">
              <w:r>
                <w:rPr>
                  <w:rFonts w:ascii="Arial" w:eastAsia="Arial" w:hAnsi="Arial" w:cs="Arial"/>
                  <w:color w:val="0000FF"/>
                  <w:sz w:val="20"/>
                  <w:szCs w:val="20"/>
                  <w:u w:val="single" w:color="0000FF"/>
                </w:rPr>
                <w:t>james.livett@liiba.co.uk</w:t>
              </w:r>
            </w:hyperlink>
            <w:r>
              <w:rPr>
                <w:rFonts w:ascii="Arial" w:eastAsia="Arial" w:hAnsi="Arial" w:cs="Arial"/>
                <w:color w:val="000000"/>
                <w:sz w:val="20"/>
                <w:szCs w:val="20"/>
              </w:rPr>
              <w:t xml:space="preserve"> </w:t>
            </w:r>
          </w:p>
        </w:tc>
        <w:tc>
          <w:tcPr>
            <w:tcW w:w="2127" w:type="dxa"/>
            <w:tcBorders>
              <w:top w:val="single" w:sz="6" w:space="0" w:color="000000"/>
              <w:left w:val="single" w:sz="6" w:space="0" w:color="000000"/>
            </w:tcBorders>
            <w:tcMar>
              <w:top w:w="8" w:type="dxa"/>
              <w:left w:w="108" w:type="dxa"/>
              <w:bottom w:w="8" w:type="dxa"/>
              <w:right w:w="108" w:type="dxa"/>
            </w:tcMar>
            <w:hideMark/>
          </w:tcPr>
          <w:p w14:paraId="43166BF0" w14:textId="77777777" w:rsidR="00592C29" w:rsidRDefault="0048296D">
            <w:pPr>
              <w:spacing w:before="20"/>
              <w:rPr>
                <w:color w:val="000000"/>
                <w:sz w:val="20"/>
                <w:szCs w:val="20"/>
              </w:rPr>
            </w:pPr>
            <w:r>
              <w:rPr>
                <w:rFonts w:ascii="Arial" w:eastAsia="Arial" w:hAnsi="Arial" w:cs="Arial"/>
                <w:color w:val="000000"/>
                <w:sz w:val="20"/>
                <w:szCs w:val="20"/>
              </w:rPr>
              <w:t>78 Leadenhall Street</w:t>
            </w:r>
          </w:p>
          <w:p w14:paraId="4E37AC5B" w14:textId="77777777" w:rsidR="00592C29" w:rsidRDefault="0048296D">
            <w:pPr>
              <w:spacing w:before="20"/>
              <w:rPr>
                <w:color w:val="000000"/>
                <w:sz w:val="20"/>
                <w:szCs w:val="20"/>
              </w:rPr>
            </w:pPr>
            <w:r>
              <w:rPr>
                <w:rFonts w:ascii="Arial" w:eastAsia="Arial" w:hAnsi="Arial" w:cs="Arial"/>
                <w:color w:val="000000"/>
                <w:sz w:val="20"/>
                <w:szCs w:val="20"/>
              </w:rPr>
              <w:t>LONDON</w:t>
            </w:r>
          </w:p>
          <w:p w14:paraId="48DBF48D" w14:textId="77777777" w:rsidR="00592C29" w:rsidRDefault="0048296D">
            <w:pPr>
              <w:spacing w:before="20"/>
              <w:rPr>
                <w:color w:val="000000"/>
                <w:sz w:val="20"/>
                <w:szCs w:val="20"/>
              </w:rPr>
            </w:pPr>
            <w:r>
              <w:rPr>
                <w:rFonts w:ascii="Arial" w:eastAsia="Arial" w:hAnsi="Arial" w:cs="Arial"/>
                <w:color w:val="222222"/>
                <w:sz w:val="20"/>
                <w:szCs w:val="20"/>
              </w:rPr>
              <w:t>EC3A 3DH</w:t>
            </w:r>
          </w:p>
          <w:p w14:paraId="3941A8BA" w14:textId="77777777" w:rsidR="00592C29" w:rsidRDefault="00592C29">
            <w:pPr>
              <w:spacing w:before="20"/>
              <w:rPr>
                <w:color w:val="000000"/>
                <w:sz w:val="20"/>
                <w:szCs w:val="20"/>
              </w:rPr>
            </w:pPr>
          </w:p>
        </w:tc>
      </w:tr>
    </w:tbl>
    <w:p w14:paraId="4B349C55" w14:textId="77777777" w:rsidR="00592C29" w:rsidRDefault="00592C29">
      <w:pPr>
        <w:spacing w:before="120"/>
        <w:ind w:left="720"/>
        <w:jc w:val="both"/>
        <w:rPr>
          <w:sz w:val="22"/>
          <w:szCs w:val="22"/>
        </w:rPr>
      </w:pPr>
    </w:p>
    <w:p w14:paraId="3C5E4112" w14:textId="77777777" w:rsidR="00592C29" w:rsidRDefault="0048296D">
      <w:pPr>
        <w:spacing w:before="120"/>
        <w:ind w:left="720"/>
        <w:jc w:val="both"/>
        <w:rPr>
          <w:sz w:val="22"/>
          <w:szCs w:val="22"/>
        </w:rPr>
      </w:pPr>
      <w:r>
        <w:rPr>
          <w:rFonts w:ascii="Arial" w:eastAsia="Arial" w:hAnsi="Arial" w:cs="Arial"/>
          <w:sz w:val="22"/>
          <w:szCs w:val="22"/>
        </w:rPr>
        <w:t>For more information on how Lloyd’s Brussels will operate and what it means for you, please visit or contact:</w:t>
      </w:r>
    </w:p>
    <w:p w14:paraId="06F3215D" w14:textId="77777777" w:rsidR="00592C29" w:rsidRDefault="00592C29">
      <w:pPr>
        <w:spacing w:before="120"/>
        <w:ind w:left="720"/>
        <w:jc w:val="both"/>
        <w:rPr>
          <w:sz w:val="22"/>
          <w:szCs w:val="22"/>
        </w:rPr>
      </w:pPr>
    </w:p>
    <w:p w14:paraId="3853ADC0" w14:textId="4921354F" w:rsidR="00592C29" w:rsidRDefault="0048296D">
      <w:pPr>
        <w:spacing w:before="120"/>
        <w:ind w:left="720"/>
        <w:jc w:val="both"/>
        <w:rPr>
          <w:sz w:val="22"/>
          <w:szCs w:val="22"/>
        </w:rPr>
      </w:pPr>
      <w:r>
        <w:rPr>
          <w:rFonts w:ascii="Arial" w:eastAsia="Arial" w:hAnsi="Arial" w:cs="Arial"/>
          <w:sz w:val="22"/>
          <w:szCs w:val="22"/>
        </w:rPr>
        <w:t xml:space="preserve">Website: </w:t>
      </w:r>
      <w:hyperlink r:id="rId14" w:history="1">
        <w:r w:rsidR="006B4A33" w:rsidRPr="006B4A33">
          <w:rPr>
            <w:rStyle w:val="Hyperlink"/>
            <w:rFonts w:ascii="Arial" w:eastAsia="Arial" w:hAnsi="Arial" w:cs="Arial"/>
            <w:sz w:val="22"/>
            <w:szCs w:val="22"/>
          </w:rPr>
          <w:t>https://www.lloyds.com/tools-and-systems/crystal</w:t>
        </w:r>
      </w:hyperlink>
    </w:p>
    <w:p w14:paraId="7D3D64BB" w14:textId="7340FF40" w:rsidR="00592C29" w:rsidRDefault="0048296D">
      <w:pPr>
        <w:spacing w:before="120"/>
        <w:ind w:left="720"/>
        <w:jc w:val="both"/>
        <w:rPr>
          <w:sz w:val="22"/>
          <w:szCs w:val="22"/>
        </w:rPr>
      </w:pPr>
      <w:r>
        <w:rPr>
          <w:rFonts w:ascii="Arial" w:eastAsia="Arial" w:hAnsi="Arial" w:cs="Arial"/>
          <w:sz w:val="22"/>
          <w:szCs w:val="22"/>
        </w:rPr>
        <w:t xml:space="preserve">E-mail: </w:t>
      </w:r>
      <w:r w:rsidRPr="00A06FD4">
        <w:rPr>
          <w:rFonts w:ascii="Arial" w:eastAsia="Arial" w:hAnsi="Arial" w:cs="Arial"/>
          <w:color w:val="0000FF"/>
          <w:sz w:val="22"/>
          <w:szCs w:val="22"/>
        </w:rPr>
        <w:t>Lloydsbrussels@lloyds.com</w:t>
      </w:r>
    </w:p>
    <w:p w14:paraId="51E5197B" w14:textId="77777777" w:rsidR="00592C29" w:rsidRDefault="00592C29">
      <w:pPr>
        <w:spacing w:before="120"/>
        <w:ind w:left="720"/>
        <w:jc w:val="both"/>
        <w:rPr>
          <w:sz w:val="22"/>
          <w:szCs w:val="22"/>
        </w:rPr>
      </w:pPr>
    </w:p>
    <w:p w14:paraId="5D0F68AF" w14:textId="46AEA3E2" w:rsidR="00592C29" w:rsidRDefault="0048296D">
      <w:pPr>
        <w:spacing w:before="120"/>
        <w:ind w:left="720"/>
        <w:jc w:val="both"/>
        <w:rPr>
          <w:sz w:val="22"/>
          <w:szCs w:val="22"/>
        </w:rPr>
      </w:pPr>
      <w:r>
        <w:rPr>
          <w:rFonts w:ascii="Arial" w:eastAsia="Arial" w:hAnsi="Arial" w:cs="Arial"/>
          <w:sz w:val="22"/>
          <w:szCs w:val="22"/>
        </w:rPr>
        <w:t xml:space="preserve">Refer to the </w:t>
      </w:r>
      <w:hyperlink r:id="rId15" w:history="1">
        <w:r w:rsidRPr="006B4A33">
          <w:rPr>
            <w:rStyle w:val="Hyperlink"/>
            <w:rFonts w:ascii="Arial" w:eastAsia="Arial" w:hAnsi="Arial" w:cs="Arial"/>
            <w:sz w:val="22"/>
            <w:szCs w:val="22"/>
          </w:rPr>
          <w:t>Lloyd’s Brexit Toolkit</w:t>
        </w:r>
      </w:hyperlink>
      <w:r>
        <w:rPr>
          <w:rFonts w:ascii="Arial" w:eastAsia="Arial" w:hAnsi="Arial" w:cs="Arial"/>
          <w:sz w:val="22"/>
          <w:szCs w:val="22"/>
        </w:rPr>
        <w:t xml:space="preserve"> widely distributed within the London market</w:t>
      </w:r>
      <w:r w:rsidR="005E0C82">
        <w:rPr>
          <w:rFonts w:ascii="Arial" w:eastAsia="Arial" w:hAnsi="Arial" w:cs="Arial"/>
          <w:sz w:val="22"/>
          <w:szCs w:val="22"/>
        </w:rPr>
        <w:t xml:space="preserve">, and accessible via </w:t>
      </w:r>
      <w:r w:rsidR="00A06FD4">
        <w:rPr>
          <w:rFonts w:ascii="Arial" w:eastAsia="Arial" w:hAnsi="Arial" w:cs="Arial"/>
          <w:sz w:val="22"/>
          <w:szCs w:val="22"/>
        </w:rPr>
        <w:t>C</w:t>
      </w:r>
      <w:r w:rsidR="005E0C82">
        <w:rPr>
          <w:rFonts w:ascii="Arial" w:eastAsia="Arial" w:hAnsi="Arial" w:cs="Arial"/>
          <w:sz w:val="22"/>
          <w:szCs w:val="22"/>
        </w:rPr>
        <w:t xml:space="preserve">rystal </w:t>
      </w:r>
      <w:r>
        <w:rPr>
          <w:rFonts w:ascii="Arial" w:eastAsia="Arial" w:hAnsi="Arial" w:cs="Arial"/>
          <w:sz w:val="22"/>
          <w:szCs w:val="22"/>
        </w:rPr>
        <w:t xml:space="preserve">. </w:t>
      </w:r>
    </w:p>
    <w:p w14:paraId="750B4583" w14:textId="77777777" w:rsidR="005E0C82" w:rsidRDefault="005E0C82" w:rsidP="005E0C82">
      <w:pPr>
        <w:spacing w:before="120"/>
        <w:ind w:left="720"/>
        <w:jc w:val="both"/>
        <w:rPr>
          <w:rFonts w:ascii="Arial" w:eastAsia="Arial" w:hAnsi="Arial" w:cs="Arial"/>
          <w:sz w:val="22"/>
          <w:szCs w:val="22"/>
        </w:rPr>
      </w:pPr>
    </w:p>
    <w:p w14:paraId="71676D6D" w14:textId="2ED9CFF2" w:rsidR="00592C29" w:rsidRPr="005E0C82" w:rsidRDefault="0048296D" w:rsidP="005E0C82">
      <w:pPr>
        <w:spacing w:before="120"/>
        <w:ind w:left="720"/>
        <w:jc w:val="both"/>
        <w:rPr>
          <w:rFonts w:ascii="Arial" w:eastAsia="Arial" w:hAnsi="Arial" w:cs="Arial"/>
          <w:sz w:val="22"/>
          <w:szCs w:val="22"/>
        </w:rPr>
      </w:pPr>
      <w:r>
        <w:rPr>
          <w:rFonts w:ascii="Arial" w:eastAsia="Arial" w:hAnsi="Arial" w:cs="Arial"/>
          <w:sz w:val="22"/>
          <w:szCs w:val="22"/>
        </w:rPr>
        <w:t>If you need a copy of this documentation please contact:</w:t>
      </w:r>
    </w:p>
    <w:p w14:paraId="27DDED14" w14:textId="77777777" w:rsidR="00592C29" w:rsidRDefault="0048296D">
      <w:pPr>
        <w:spacing w:before="120"/>
        <w:ind w:left="720"/>
        <w:jc w:val="both"/>
        <w:rPr>
          <w:sz w:val="22"/>
          <w:szCs w:val="22"/>
        </w:rPr>
      </w:pPr>
      <w:r>
        <w:rPr>
          <w:rFonts w:ascii="Arial" w:eastAsia="Arial" w:hAnsi="Arial" w:cs="Arial"/>
          <w:sz w:val="22"/>
          <w:szCs w:val="22"/>
        </w:rPr>
        <w:t>Lloyd’s</w:t>
      </w:r>
    </w:p>
    <w:p w14:paraId="07DCE31F" w14:textId="77777777" w:rsidR="00592C29" w:rsidRDefault="0048296D">
      <w:pPr>
        <w:spacing w:before="120"/>
        <w:ind w:left="720"/>
        <w:jc w:val="both"/>
        <w:rPr>
          <w:sz w:val="22"/>
          <w:szCs w:val="22"/>
        </w:rPr>
      </w:pPr>
      <w:r>
        <w:rPr>
          <w:rFonts w:ascii="Arial" w:eastAsia="Arial" w:hAnsi="Arial" w:cs="Arial"/>
          <w:sz w:val="22"/>
          <w:szCs w:val="22"/>
        </w:rPr>
        <w:t>LMA</w:t>
      </w:r>
    </w:p>
    <w:p w14:paraId="4001E159" w14:textId="77777777" w:rsidR="00592C29" w:rsidRDefault="0048296D">
      <w:pPr>
        <w:spacing w:before="120"/>
        <w:ind w:left="720"/>
        <w:jc w:val="both"/>
        <w:rPr>
          <w:sz w:val="22"/>
          <w:szCs w:val="22"/>
        </w:rPr>
      </w:pPr>
      <w:r>
        <w:rPr>
          <w:rFonts w:ascii="Arial" w:eastAsia="Arial" w:hAnsi="Arial" w:cs="Arial"/>
          <w:sz w:val="22"/>
          <w:szCs w:val="22"/>
        </w:rPr>
        <w:t>LIIBA</w:t>
      </w:r>
    </w:p>
    <w:p w14:paraId="232ED8F1" w14:textId="77777777" w:rsidR="00592C29" w:rsidRDefault="0048296D">
      <w:pPr>
        <w:spacing w:after="200" w:line="276" w:lineRule="auto"/>
        <w:rPr>
          <w:sz w:val="22"/>
          <w:szCs w:val="22"/>
        </w:rPr>
      </w:pPr>
      <w:r>
        <w:rPr>
          <w:sz w:val="22"/>
          <w:szCs w:val="22"/>
        </w:rPr>
        <w:br w:type="page"/>
      </w:r>
    </w:p>
    <w:p w14:paraId="57456593" w14:textId="77777777" w:rsidR="00592C29" w:rsidRDefault="00592C29">
      <w:pPr>
        <w:spacing w:after="200" w:line="276" w:lineRule="auto"/>
        <w:rPr>
          <w:sz w:val="22"/>
          <w:szCs w:val="22"/>
        </w:rPr>
      </w:pPr>
    </w:p>
    <w:p w14:paraId="1C5691F2" w14:textId="77777777" w:rsidR="00592C29" w:rsidRDefault="0048296D">
      <w:pPr>
        <w:pStyle w:val="Heading1"/>
        <w:rPr>
          <w:sz w:val="40"/>
          <w:szCs w:val="40"/>
        </w:rPr>
      </w:pPr>
      <w:bookmarkStart w:id="30" w:name="_Toc21706641"/>
      <w:bookmarkStart w:id="31" w:name="_Toc31396076"/>
      <w:r>
        <w:rPr>
          <w:rFonts w:ascii="Arial" w:eastAsia="Arial" w:hAnsi="Arial" w:cs="Arial"/>
          <w:color w:val="0070C0"/>
          <w:sz w:val="40"/>
          <w:szCs w:val="40"/>
        </w:rPr>
        <w:t>Chapter 4 - RISK DETAILS Guidance</w:t>
      </w:r>
      <w:bookmarkEnd w:id="30"/>
      <w:bookmarkEnd w:id="31"/>
      <w:r>
        <w:rPr>
          <w:rFonts w:ascii="Arial" w:eastAsia="Arial" w:hAnsi="Arial" w:cs="Arial"/>
          <w:color w:val="0070C0"/>
          <w:sz w:val="40"/>
          <w:szCs w:val="40"/>
        </w:rPr>
        <w:t xml:space="preserve"> </w:t>
      </w:r>
    </w:p>
    <w:p w14:paraId="4029A6B7" w14:textId="77777777" w:rsidR="00592C29" w:rsidRDefault="00592C29">
      <w:pPr>
        <w:rPr>
          <w:sz w:val="22"/>
          <w:szCs w:val="22"/>
        </w:rPr>
      </w:pPr>
    </w:p>
    <w:p w14:paraId="18ED7DFE" w14:textId="77777777" w:rsidR="00592C29" w:rsidRDefault="0048296D">
      <w:pPr>
        <w:pStyle w:val="Heading2"/>
        <w:rPr>
          <w:sz w:val="28"/>
          <w:szCs w:val="28"/>
        </w:rPr>
      </w:pPr>
      <w:bookmarkStart w:id="32" w:name="_Toc21706642"/>
      <w:bookmarkStart w:id="33" w:name="_Toc31396077"/>
      <w:r>
        <w:rPr>
          <w:rFonts w:ascii="Arial" w:eastAsia="Arial" w:hAnsi="Arial" w:cs="Arial"/>
          <w:i/>
          <w:color w:val="0070C0"/>
          <w:sz w:val="28"/>
          <w:szCs w:val="28"/>
        </w:rPr>
        <w:t>4.1 General Guidance</w:t>
      </w:r>
      <w:bookmarkEnd w:id="32"/>
      <w:bookmarkEnd w:id="33"/>
    </w:p>
    <w:p w14:paraId="6A0745FF" w14:textId="77777777" w:rsidR="00592C29" w:rsidRDefault="00592C29">
      <w:pPr>
        <w:rPr>
          <w:sz w:val="22"/>
          <w:szCs w:val="22"/>
        </w:rPr>
      </w:pPr>
    </w:p>
    <w:p w14:paraId="341547D7" w14:textId="4533F9AD" w:rsidR="00592C29" w:rsidRDefault="0048296D">
      <w:pPr>
        <w:spacing w:before="120"/>
        <w:ind w:left="720"/>
        <w:jc w:val="both"/>
        <w:rPr>
          <w:sz w:val="22"/>
          <w:szCs w:val="22"/>
        </w:rPr>
      </w:pPr>
      <w:r>
        <w:rPr>
          <w:rFonts w:ascii="Arial" w:eastAsia="Arial" w:hAnsi="Arial" w:cs="Arial"/>
          <w:sz w:val="22"/>
          <w:szCs w:val="22"/>
        </w:rPr>
        <w:t xml:space="preserve">Brief completion instructions and further considerations for each of the key headings given below.  For ease of reference, the numbering used, e.g. for headings, in this document replicates the numbering system within the Market Reform Contract Open Market Implementation Guide </w:t>
      </w:r>
      <w:r w:rsidRPr="00633638">
        <w:rPr>
          <w:rFonts w:ascii="Arial" w:eastAsia="Arial" w:hAnsi="Arial" w:cs="Arial"/>
          <w:sz w:val="22"/>
          <w:szCs w:val="22"/>
        </w:rPr>
        <w:t>v 2.0.  Where there</w:t>
      </w:r>
      <w:r>
        <w:rPr>
          <w:rFonts w:ascii="Arial" w:eastAsia="Arial" w:hAnsi="Arial" w:cs="Arial"/>
          <w:sz w:val="22"/>
          <w:szCs w:val="22"/>
        </w:rPr>
        <w:t xml:space="preserve"> is no supplementary guidance, the paragraph/section within this document has been left intentionally blank.</w:t>
      </w:r>
    </w:p>
    <w:p w14:paraId="2F71D4C7" w14:textId="77777777" w:rsidR="00592C29" w:rsidRDefault="00592C29">
      <w:pPr>
        <w:spacing w:before="120"/>
        <w:jc w:val="both"/>
        <w:rPr>
          <w:sz w:val="22"/>
          <w:szCs w:val="22"/>
        </w:rPr>
      </w:pPr>
    </w:p>
    <w:p w14:paraId="3CFCAFAF" w14:textId="77777777" w:rsidR="00592C29" w:rsidRDefault="0048296D">
      <w:pPr>
        <w:pStyle w:val="Heading2"/>
        <w:rPr>
          <w:sz w:val="28"/>
          <w:szCs w:val="28"/>
        </w:rPr>
      </w:pPr>
      <w:bookmarkStart w:id="34" w:name="_Toc21706643"/>
      <w:bookmarkStart w:id="35" w:name="_Toc31396078"/>
      <w:r>
        <w:rPr>
          <w:rFonts w:ascii="Arial" w:eastAsia="Arial" w:hAnsi="Arial" w:cs="Arial"/>
          <w:i/>
          <w:color w:val="0070C0"/>
          <w:sz w:val="28"/>
          <w:szCs w:val="28"/>
        </w:rPr>
        <w:t>4.2 Guidance on Specific Fields</w:t>
      </w:r>
      <w:bookmarkEnd w:id="34"/>
      <w:bookmarkEnd w:id="35"/>
    </w:p>
    <w:p w14:paraId="44EC9ACD" w14:textId="77777777" w:rsidR="00592C29" w:rsidRDefault="00592C29">
      <w:pPr>
        <w:rPr>
          <w:sz w:val="22"/>
          <w:szCs w:val="22"/>
        </w:rPr>
      </w:pPr>
    </w:p>
    <w:p w14:paraId="43FB763A" w14:textId="77777777" w:rsidR="00592C29" w:rsidRDefault="0048296D">
      <w:pPr>
        <w:spacing w:before="120"/>
        <w:ind w:left="720"/>
        <w:jc w:val="both"/>
        <w:rPr>
          <w:sz w:val="22"/>
          <w:szCs w:val="22"/>
        </w:rPr>
      </w:pPr>
      <w:r>
        <w:rPr>
          <w:rFonts w:ascii="Arial" w:eastAsia="Arial" w:hAnsi="Arial" w:cs="Arial"/>
          <w:b/>
          <w:bCs/>
          <w:sz w:val="22"/>
          <w:szCs w:val="22"/>
        </w:rPr>
        <w:t>A.1</w:t>
      </w:r>
      <w:r>
        <w:rPr>
          <w:rFonts w:ascii="Arial" w:eastAsia="Arial" w:hAnsi="Arial" w:cs="Arial"/>
          <w:b/>
          <w:bCs/>
          <w:sz w:val="22"/>
          <w:szCs w:val="22"/>
        </w:rPr>
        <w:tab/>
        <w:t>Unique Market Reference - Mandatory:</w:t>
      </w:r>
    </w:p>
    <w:p w14:paraId="20F35B0D" w14:textId="77777777" w:rsidR="00592C29" w:rsidRDefault="0048296D">
      <w:pPr>
        <w:spacing w:before="120"/>
        <w:ind w:left="1080"/>
        <w:jc w:val="both"/>
        <w:rPr>
          <w:sz w:val="22"/>
          <w:szCs w:val="22"/>
        </w:rPr>
      </w:pPr>
      <w:r>
        <w:rPr>
          <w:rFonts w:ascii="Arial" w:eastAsia="Arial" w:hAnsi="Arial" w:cs="Arial"/>
          <w:sz w:val="22"/>
          <w:szCs w:val="22"/>
        </w:rPr>
        <w:t>The UMR must be stated in the Risk Details section in the correct format.</w:t>
      </w:r>
    </w:p>
    <w:p w14:paraId="32F8BC3E" w14:textId="77777777" w:rsidR="00592C29" w:rsidRDefault="0048296D">
      <w:pPr>
        <w:numPr>
          <w:ilvl w:val="0"/>
          <w:numId w:val="15"/>
        </w:numPr>
        <w:pBdr>
          <w:left w:val="none" w:sz="0" w:space="7" w:color="auto"/>
        </w:pBdr>
        <w:spacing w:before="120"/>
        <w:ind w:left="1440" w:hanging="430"/>
        <w:jc w:val="both"/>
        <w:rPr>
          <w:color w:val="0070C0"/>
          <w:sz w:val="22"/>
          <w:szCs w:val="22"/>
        </w:rPr>
      </w:pPr>
      <w:r>
        <w:rPr>
          <w:rFonts w:ascii="Arial" w:eastAsia="Arial" w:hAnsi="Arial" w:cs="Arial"/>
          <w:color w:val="000000"/>
          <w:sz w:val="22"/>
          <w:szCs w:val="22"/>
        </w:rPr>
        <w:t>Where the Lloyd’s Brussels/ non-Lloyd’s Brussels risks are placed on two separate MRCs, each must have a different UMR.</w:t>
      </w:r>
    </w:p>
    <w:p w14:paraId="0B5A6B0C" w14:textId="77777777" w:rsidR="00592C29" w:rsidRDefault="0048296D">
      <w:pPr>
        <w:numPr>
          <w:ilvl w:val="0"/>
          <w:numId w:val="15"/>
        </w:numPr>
        <w:pBdr>
          <w:left w:val="none" w:sz="0" w:space="7" w:color="auto"/>
        </w:pBdr>
        <w:spacing w:before="120"/>
        <w:ind w:left="1440" w:hanging="430"/>
        <w:jc w:val="both"/>
        <w:rPr>
          <w:color w:val="0070C0"/>
          <w:sz w:val="22"/>
          <w:szCs w:val="22"/>
        </w:rPr>
      </w:pPr>
      <w:r>
        <w:rPr>
          <w:rFonts w:ascii="Arial" w:eastAsia="Arial" w:hAnsi="Arial" w:cs="Arial"/>
          <w:color w:val="000000"/>
          <w:sz w:val="22"/>
          <w:szCs w:val="22"/>
        </w:rPr>
        <w:t>Where the Lloyd’s Brussels/ non-Lloyd’s Brussels risks are placed on the same, split/</w:t>
      </w:r>
      <w:proofErr w:type="spellStart"/>
      <w:r>
        <w:rPr>
          <w:rFonts w:ascii="Arial" w:eastAsia="Arial" w:hAnsi="Arial" w:cs="Arial"/>
          <w:color w:val="000000"/>
          <w:sz w:val="22"/>
          <w:szCs w:val="22"/>
        </w:rPr>
        <w:t>sectionalised</w:t>
      </w:r>
      <w:proofErr w:type="spellEnd"/>
      <w:r>
        <w:rPr>
          <w:rFonts w:ascii="Arial" w:eastAsia="Arial" w:hAnsi="Arial" w:cs="Arial"/>
          <w:color w:val="000000"/>
          <w:sz w:val="22"/>
          <w:szCs w:val="22"/>
        </w:rPr>
        <w:t>, MRC, there will be one UMR applied to both contracts.</w:t>
      </w:r>
    </w:p>
    <w:p w14:paraId="26C95AA4" w14:textId="77777777" w:rsidR="00592C29" w:rsidRDefault="00592C29">
      <w:pPr>
        <w:spacing w:before="120"/>
        <w:ind w:left="720"/>
        <w:jc w:val="both"/>
        <w:rPr>
          <w:sz w:val="22"/>
          <w:szCs w:val="22"/>
        </w:rPr>
      </w:pPr>
    </w:p>
    <w:p w14:paraId="15A710A9" w14:textId="77777777" w:rsidR="00592C29" w:rsidRDefault="0048296D">
      <w:pPr>
        <w:spacing w:before="120"/>
        <w:ind w:left="720"/>
        <w:jc w:val="both"/>
        <w:rPr>
          <w:sz w:val="22"/>
          <w:szCs w:val="22"/>
        </w:rPr>
      </w:pPr>
      <w:r>
        <w:rPr>
          <w:rFonts w:ascii="Arial" w:eastAsia="Arial" w:hAnsi="Arial" w:cs="Arial"/>
          <w:b/>
          <w:bCs/>
          <w:sz w:val="22"/>
          <w:szCs w:val="22"/>
        </w:rPr>
        <w:t>A.2</w:t>
      </w:r>
      <w:r>
        <w:rPr>
          <w:rFonts w:ascii="Arial" w:eastAsia="Arial" w:hAnsi="Arial" w:cs="Arial"/>
          <w:b/>
          <w:bCs/>
          <w:sz w:val="22"/>
          <w:szCs w:val="22"/>
        </w:rPr>
        <w:tab/>
        <w:t xml:space="preserve">Type - Mandatory: </w:t>
      </w:r>
    </w:p>
    <w:p w14:paraId="4536D705" w14:textId="690B5C87" w:rsidR="00592C29" w:rsidRDefault="0048296D">
      <w:pPr>
        <w:numPr>
          <w:ilvl w:val="0"/>
          <w:numId w:val="16"/>
        </w:numPr>
        <w:pBdr>
          <w:left w:val="none" w:sz="0" w:space="7" w:color="auto"/>
        </w:pBdr>
        <w:spacing w:before="120"/>
        <w:ind w:left="1440" w:hanging="430"/>
        <w:jc w:val="both"/>
        <w:rPr>
          <w:color w:val="0070C0"/>
          <w:sz w:val="22"/>
          <w:szCs w:val="22"/>
        </w:rPr>
      </w:pPr>
      <w:r>
        <w:rPr>
          <w:rFonts w:ascii="Arial" w:eastAsia="Arial" w:hAnsi="Arial" w:cs="Arial"/>
          <w:color w:val="000000"/>
          <w:sz w:val="22"/>
          <w:szCs w:val="22"/>
        </w:rPr>
        <w:t xml:space="preserve">This heading indicates the type of contract (e.g. Marine Hull) being underwritten. Please refer to </w:t>
      </w:r>
      <w:hyperlink r:id="rId16" w:history="1">
        <w:r w:rsidRPr="00633638">
          <w:rPr>
            <w:rStyle w:val="Hyperlink"/>
            <w:rFonts w:ascii="Arial" w:eastAsia="Arial" w:hAnsi="Arial" w:cs="Arial"/>
            <w:sz w:val="22"/>
            <w:szCs w:val="22"/>
          </w:rPr>
          <w:t>www.lloyds.com/tools-and-systems/crystal</w:t>
        </w:r>
      </w:hyperlink>
      <w:r>
        <w:rPr>
          <w:rFonts w:ascii="Arial" w:eastAsia="Arial" w:hAnsi="Arial" w:cs="Arial"/>
          <w:color w:val="000000"/>
          <w:sz w:val="22"/>
          <w:szCs w:val="22"/>
        </w:rPr>
        <w:t xml:space="preserve"> for the trading rights of Lloyd’s Brussels and the trading rights of Lloyd’s Underwriters post-Brexit. N.B. Lloyd’s Brussels is only </w:t>
      </w:r>
      <w:proofErr w:type="spellStart"/>
      <w:r>
        <w:rPr>
          <w:rFonts w:ascii="Arial" w:eastAsia="Arial" w:hAnsi="Arial" w:cs="Arial"/>
          <w:color w:val="000000"/>
          <w:sz w:val="22"/>
          <w:szCs w:val="22"/>
        </w:rPr>
        <w:t>authorised</w:t>
      </w:r>
      <w:proofErr w:type="spellEnd"/>
      <w:r>
        <w:rPr>
          <w:rFonts w:ascii="Arial" w:eastAsia="Arial" w:hAnsi="Arial" w:cs="Arial"/>
          <w:color w:val="000000"/>
          <w:sz w:val="22"/>
          <w:szCs w:val="22"/>
        </w:rPr>
        <w:t xml:space="preserve"> to underwrite non-life insurance (both primary and excess layer) and non-life reinsurance </w:t>
      </w:r>
      <w:r w:rsidR="00633638">
        <w:rPr>
          <w:rFonts w:ascii="Arial" w:eastAsia="Arial" w:hAnsi="Arial" w:cs="Arial"/>
          <w:color w:val="000000"/>
          <w:sz w:val="22"/>
          <w:szCs w:val="22"/>
        </w:rPr>
        <w:t xml:space="preserve">(facultative and non-proportional excess of loss </w:t>
      </w:r>
      <w:r>
        <w:rPr>
          <w:rFonts w:ascii="Arial" w:eastAsia="Arial" w:hAnsi="Arial" w:cs="Arial"/>
          <w:color w:val="000000"/>
          <w:sz w:val="22"/>
          <w:szCs w:val="22"/>
        </w:rPr>
        <w:t>reinsurance</w:t>
      </w:r>
      <w:r w:rsidR="00633638">
        <w:rPr>
          <w:rFonts w:ascii="Arial" w:eastAsia="Arial" w:hAnsi="Arial" w:cs="Arial"/>
          <w:color w:val="000000"/>
          <w:sz w:val="22"/>
          <w:szCs w:val="22"/>
        </w:rPr>
        <w:t>)</w:t>
      </w:r>
      <w:r>
        <w:rPr>
          <w:rFonts w:ascii="Arial" w:eastAsia="Arial" w:hAnsi="Arial" w:cs="Arial"/>
          <w:color w:val="000000"/>
          <w:sz w:val="22"/>
          <w:szCs w:val="22"/>
        </w:rPr>
        <w:t xml:space="preserve"> with EEA, UK and Monaco exposures.</w:t>
      </w:r>
    </w:p>
    <w:p w14:paraId="3273B8BF" w14:textId="77777777" w:rsidR="00592C29" w:rsidRDefault="00592C29">
      <w:pPr>
        <w:spacing w:before="120"/>
        <w:ind w:left="1440" w:hanging="720"/>
        <w:jc w:val="both"/>
        <w:rPr>
          <w:sz w:val="22"/>
          <w:szCs w:val="22"/>
        </w:rPr>
      </w:pPr>
    </w:p>
    <w:p w14:paraId="1C83465D" w14:textId="0145860D" w:rsidR="00592C29" w:rsidRDefault="0048296D" w:rsidP="00633638">
      <w:pPr>
        <w:spacing w:before="120" w:after="120"/>
        <w:ind w:left="1440" w:hanging="720"/>
        <w:jc w:val="both"/>
        <w:rPr>
          <w:sz w:val="22"/>
          <w:szCs w:val="22"/>
        </w:rPr>
      </w:pPr>
      <w:r>
        <w:rPr>
          <w:rFonts w:ascii="Arial" w:eastAsia="Arial" w:hAnsi="Arial" w:cs="Arial"/>
          <w:b/>
          <w:bCs/>
          <w:sz w:val="22"/>
          <w:szCs w:val="22"/>
        </w:rPr>
        <w:t>A.3</w:t>
      </w:r>
      <w:r>
        <w:rPr>
          <w:rFonts w:ascii="Arial" w:eastAsia="Arial" w:hAnsi="Arial" w:cs="Arial"/>
          <w:b/>
          <w:bCs/>
          <w:sz w:val="22"/>
          <w:szCs w:val="22"/>
        </w:rPr>
        <w:tab/>
        <w:t xml:space="preserve">Insured - Conditional:  Required for insurance risks – name variations exist.  </w:t>
      </w:r>
    </w:p>
    <w:p w14:paraId="732F227E" w14:textId="77777777" w:rsidR="00592C29" w:rsidRDefault="0048296D">
      <w:pPr>
        <w:numPr>
          <w:ilvl w:val="0"/>
          <w:numId w:val="17"/>
        </w:numPr>
        <w:pBdr>
          <w:left w:val="none" w:sz="0" w:space="7" w:color="auto"/>
        </w:pBdr>
        <w:ind w:left="1462" w:hanging="430"/>
        <w:jc w:val="both"/>
        <w:rPr>
          <w:color w:val="0070C0"/>
          <w:sz w:val="22"/>
          <w:szCs w:val="22"/>
        </w:rPr>
      </w:pPr>
      <w:r>
        <w:rPr>
          <w:rFonts w:ascii="Arial" w:eastAsia="Arial" w:hAnsi="Arial" w:cs="Arial"/>
          <w:color w:val="000000"/>
          <w:sz w:val="22"/>
          <w:szCs w:val="22"/>
        </w:rPr>
        <w:t xml:space="preserve">The insured’s address, where included as appropriate, and/or those of the “Additional Insureds” listed (if any) </w:t>
      </w:r>
      <w:r>
        <w:rPr>
          <w:rFonts w:ascii="Arial" w:eastAsia="Arial" w:hAnsi="Arial" w:cs="Arial"/>
          <w:color w:val="000000"/>
          <w:sz w:val="22"/>
          <w:szCs w:val="22"/>
          <w:u w:val="single" w:color="000000"/>
        </w:rPr>
        <w:t>may</w:t>
      </w:r>
      <w:r>
        <w:rPr>
          <w:rFonts w:ascii="Arial" w:eastAsia="Arial" w:hAnsi="Arial" w:cs="Arial"/>
          <w:color w:val="000000"/>
          <w:sz w:val="22"/>
          <w:szCs w:val="22"/>
        </w:rPr>
        <w:t xml:space="preserve"> affect/dictate/determine the “Risk Location” (and therefore whether the placement is considered Lloyd’s Brussels and/or non-Lloyd’s Brussels). The additional Insureds addresses may be presented as a schedule in Information.</w:t>
      </w:r>
    </w:p>
    <w:p w14:paraId="724B2B44" w14:textId="011E8A64" w:rsidR="00592C29" w:rsidRDefault="0048296D">
      <w:pPr>
        <w:numPr>
          <w:ilvl w:val="0"/>
          <w:numId w:val="17"/>
        </w:numPr>
        <w:pBdr>
          <w:left w:val="none" w:sz="0" w:space="7" w:color="auto"/>
        </w:pBdr>
        <w:spacing w:before="120"/>
        <w:ind w:left="1462" w:hanging="430"/>
        <w:jc w:val="both"/>
        <w:rPr>
          <w:color w:val="0070C0"/>
          <w:sz w:val="22"/>
          <w:szCs w:val="22"/>
        </w:rPr>
      </w:pPr>
      <w:r>
        <w:rPr>
          <w:rFonts w:ascii="Arial" w:eastAsia="Arial" w:hAnsi="Arial" w:cs="Arial"/>
          <w:color w:val="000000"/>
          <w:sz w:val="22"/>
          <w:szCs w:val="22"/>
        </w:rPr>
        <w:t xml:space="preserve">For further </w:t>
      </w:r>
      <w:r w:rsidRPr="007F46C0">
        <w:rPr>
          <w:rFonts w:ascii="Arial" w:eastAsia="Arial" w:hAnsi="Arial" w:cs="Arial"/>
          <w:sz w:val="22"/>
          <w:szCs w:val="22"/>
        </w:rPr>
        <w:t>guidance on “Regulatory Risk Location” see guidance on heading E.3 (within Chapter 8)</w:t>
      </w:r>
      <w:r>
        <w:rPr>
          <w:rFonts w:ascii="Arial" w:eastAsia="Arial" w:hAnsi="Arial" w:cs="Arial"/>
          <w:color w:val="000000"/>
          <w:sz w:val="22"/>
          <w:szCs w:val="22"/>
        </w:rPr>
        <w:t xml:space="preserve"> below.</w:t>
      </w:r>
    </w:p>
    <w:p w14:paraId="48C7B455" w14:textId="77777777" w:rsidR="00592C29" w:rsidRDefault="00592C29">
      <w:pPr>
        <w:spacing w:before="120"/>
        <w:ind w:left="720"/>
        <w:jc w:val="both"/>
        <w:rPr>
          <w:sz w:val="22"/>
          <w:szCs w:val="22"/>
        </w:rPr>
      </w:pPr>
    </w:p>
    <w:p w14:paraId="2017BA24" w14:textId="053C9C51" w:rsidR="00592C29" w:rsidRDefault="0048296D" w:rsidP="00633638">
      <w:pPr>
        <w:spacing w:before="120"/>
        <w:ind w:left="1440" w:hanging="720"/>
        <w:jc w:val="both"/>
        <w:rPr>
          <w:sz w:val="22"/>
          <w:szCs w:val="22"/>
        </w:rPr>
      </w:pPr>
      <w:r>
        <w:rPr>
          <w:rFonts w:ascii="Arial" w:eastAsia="Arial" w:hAnsi="Arial" w:cs="Arial"/>
          <w:b/>
          <w:bCs/>
          <w:sz w:val="22"/>
          <w:szCs w:val="22"/>
        </w:rPr>
        <w:t>A.4</w:t>
      </w:r>
      <w:r>
        <w:rPr>
          <w:rFonts w:ascii="Arial" w:eastAsia="Arial" w:hAnsi="Arial" w:cs="Arial"/>
          <w:b/>
          <w:bCs/>
          <w:sz w:val="22"/>
          <w:szCs w:val="22"/>
        </w:rPr>
        <w:tab/>
        <w:t xml:space="preserve">Period - Mandatory: Name variations exist. </w:t>
      </w:r>
      <w:r>
        <w:rPr>
          <w:rFonts w:ascii="Arial" w:eastAsia="Arial" w:hAnsi="Arial" w:cs="Arial"/>
          <w:b/>
          <w:bCs/>
          <w:sz w:val="22"/>
          <w:szCs w:val="22"/>
        </w:rPr>
        <w:tab/>
      </w:r>
    </w:p>
    <w:p w14:paraId="494CAA67" w14:textId="046F2337" w:rsidR="00592C29" w:rsidRDefault="0048296D">
      <w:pPr>
        <w:numPr>
          <w:ilvl w:val="0"/>
          <w:numId w:val="18"/>
        </w:numPr>
        <w:pBdr>
          <w:left w:val="none" w:sz="0" w:space="7" w:color="auto"/>
        </w:pBdr>
        <w:spacing w:before="120"/>
        <w:ind w:left="1440" w:hanging="430"/>
        <w:jc w:val="both"/>
        <w:rPr>
          <w:color w:val="0070C0"/>
          <w:sz w:val="22"/>
          <w:szCs w:val="22"/>
        </w:rPr>
      </w:pPr>
      <w:r>
        <w:rPr>
          <w:rFonts w:ascii="Arial" w:eastAsia="Arial" w:hAnsi="Arial" w:cs="Arial"/>
          <w:color w:val="000000"/>
          <w:sz w:val="22"/>
          <w:szCs w:val="22"/>
        </w:rPr>
        <w:t xml:space="preserve">Post </w:t>
      </w:r>
      <w:r w:rsidRPr="007F46C0">
        <w:rPr>
          <w:rFonts w:ascii="Arial" w:eastAsia="Arial" w:hAnsi="Arial" w:cs="Arial"/>
          <w:sz w:val="22"/>
          <w:szCs w:val="22"/>
        </w:rPr>
        <w:t>Brexit, Lloyd’s syndicates</w:t>
      </w:r>
      <w:r>
        <w:rPr>
          <w:rFonts w:ascii="Arial" w:eastAsia="Arial" w:hAnsi="Arial" w:cs="Arial"/>
          <w:color w:val="000000"/>
          <w:sz w:val="22"/>
          <w:szCs w:val="22"/>
        </w:rPr>
        <w:t xml:space="preserve"> will not be </w:t>
      </w:r>
      <w:proofErr w:type="spellStart"/>
      <w:r>
        <w:rPr>
          <w:rFonts w:ascii="Arial" w:eastAsia="Arial" w:hAnsi="Arial" w:cs="Arial"/>
          <w:color w:val="000000"/>
          <w:sz w:val="22"/>
          <w:szCs w:val="22"/>
        </w:rPr>
        <w:t>authorised</w:t>
      </w:r>
      <w:proofErr w:type="spellEnd"/>
      <w:r>
        <w:rPr>
          <w:rFonts w:ascii="Arial" w:eastAsia="Arial" w:hAnsi="Arial" w:cs="Arial"/>
          <w:color w:val="000000"/>
          <w:sz w:val="22"/>
          <w:szCs w:val="22"/>
        </w:rPr>
        <w:t xml:space="preserve"> to underwrite EEA or Monaco risks.</w:t>
      </w:r>
    </w:p>
    <w:p w14:paraId="55FA7F4A" w14:textId="77777777" w:rsidR="006C6238" w:rsidRPr="006C6238" w:rsidRDefault="0048296D" w:rsidP="007F46C0">
      <w:pPr>
        <w:numPr>
          <w:ilvl w:val="0"/>
          <w:numId w:val="18"/>
        </w:numPr>
        <w:pBdr>
          <w:left w:val="none" w:sz="0" w:space="7" w:color="auto"/>
        </w:pBdr>
        <w:spacing w:before="120"/>
        <w:ind w:left="1440" w:hanging="430"/>
        <w:jc w:val="both"/>
        <w:rPr>
          <w:color w:val="0070C0"/>
          <w:sz w:val="22"/>
          <w:szCs w:val="22"/>
        </w:rPr>
      </w:pPr>
      <w:r>
        <w:rPr>
          <w:rFonts w:ascii="Arial" w:eastAsia="Arial" w:hAnsi="Arial" w:cs="Arial"/>
          <w:color w:val="000000"/>
          <w:sz w:val="22"/>
          <w:szCs w:val="22"/>
        </w:rPr>
        <w:t xml:space="preserve">Irrespective of any transitional arrangements that may be put in place, Lloyd’s </w:t>
      </w:r>
      <w:r w:rsidRPr="007F46C0">
        <w:rPr>
          <w:rFonts w:ascii="Arial" w:eastAsia="Arial" w:hAnsi="Arial" w:cs="Arial"/>
          <w:sz w:val="22"/>
          <w:szCs w:val="22"/>
        </w:rPr>
        <w:t xml:space="preserve">Brussels is </w:t>
      </w:r>
      <w:proofErr w:type="spellStart"/>
      <w:r w:rsidRPr="007F46C0">
        <w:rPr>
          <w:rFonts w:ascii="Arial" w:eastAsia="Arial" w:hAnsi="Arial" w:cs="Arial"/>
          <w:sz w:val="22"/>
          <w:szCs w:val="22"/>
        </w:rPr>
        <w:t>authorised</w:t>
      </w:r>
      <w:proofErr w:type="spellEnd"/>
      <w:r w:rsidRPr="007F46C0">
        <w:rPr>
          <w:rFonts w:ascii="Arial" w:eastAsia="Arial" w:hAnsi="Arial" w:cs="Arial"/>
          <w:sz w:val="22"/>
          <w:szCs w:val="22"/>
        </w:rPr>
        <w:t xml:space="preserve"> to underwrite non-life insurance and non-life reinsurance for risks located in the EEA, Monaco and UK incepting on/after 01 January 2019</w:t>
      </w:r>
    </w:p>
    <w:p w14:paraId="5E5CDFF7" w14:textId="3E9E323F" w:rsidR="00592C29" w:rsidRPr="007F46C0" w:rsidRDefault="0048296D" w:rsidP="007F46C0">
      <w:pPr>
        <w:numPr>
          <w:ilvl w:val="0"/>
          <w:numId w:val="18"/>
        </w:numPr>
        <w:pBdr>
          <w:left w:val="none" w:sz="0" w:space="7" w:color="auto"/>
        </w:pBdr>
        <w:spacing w:before="120"/>
        <w:ind w:left="1440" w:hanging="430"/>
        <w:jc w:val="both"/>
        <w:rPr>
          <w:color w:val="0070C0"/>
          <w:sz w:val="22"/>
          <w:szCs w:val="22"/>
        </w:rPr>
      </w:pPr>
      <w:r w:rsidRPr="007F46C0">
        <w:rPr>
          <w:rFonts w:ascii="Arial" w:eastAsia="Arial" w:hAnsi="Arial" w:cs="Arial"/>
          <w:sz w:val="22"/>
          <w:szCs w:val="22"/>
        </w:rPr>
        <w:lastRenderedPageBreak/>
        <w:t>Therefore, any EEA risks with inception dates on/after 01 January 2019, should now be placed with Lloyd’s Brussels</w:t>
      </w:r>
    </w:p>
    <w:p w14:paraId="2C08FFE4" w14:textId="77777777" w:rsidR="00592C29" w:rsidRDefault="00592C29">
      <w:pPr>
        <w:spacing w:before="120"/>
        <w:ind w:left="1440" w:hanging="720"/>
        <w:jc w:val="both"/>
        <w:rPr>
          <w:sz w:val="22"/>
          <w:szCs w:val="22"/>
        </w:rPr>
      </w:pPr>
    </w:p>
    <w:p w14:paraId="74BCA348" w14:textId="2C6D7538" w:rsidR="00592C29" w:rsidRPr="009D4E34" w:rsidRDefault="0048296D" w:rsidP="009D4E34">
      <w:pPr>
        <w:spacing w:before="120"/>
        <w:ind w:left="1440" w:hanging="720"/>
        <w:jc w:val="both"/>
        <w:rPr>
          <w:sz w:val="22"/>
          <w:szCs w:val="22"/>
        </w:rPr>
      </w:pPr>
      <w:r>
        <w:rPr>
          <w:rFonts w:ascii="Arial" w:eastAsia="Arial" w:hAnsi="Arial" w:cs="Arial"/>
          <w:b/>
          <w:bCs/>
          <w:sz w:val="22"/>
          <w:szCs w:val="22"/>
        </w:rPr>
        <w:t>A.5</w:t>
      </w:r>
      <w:r>
        <w:rPr>
          <w:rFonts w:ascii="Arial" w:eastAsia="Arial" w:hAnsi="Arial" w:cs="Arial"/>
          <w:b/>
          <w:bCs/>
          <w:sz w:val="22"/>
          <w:szCs w:val="22"/>
        </w:rPr>
        <w:tab/>
        <w:t>Interest - Mandatory: Name variations exist.</w:t>
      </w:r>
    </w:p>
    <w:p w14:paraId="3040BCA9" w14:textId="77777777" w:rsidR="009D4E34" w:rsidRPr="009D4E34" w:rsidRDefault="009D4E34">
      <w:pPr>
        <w:numPr>
          <w:ilvl w:val="0"/>
          <w:numId w:val="19"/>
        </w:numPr>
        <w:pBdr>
          <w:left w:val="none" w:sz="0" w:space="7" w:color="auto"/>
        </w:pBdr>
        <w:spacing w:before="120"/>
        <w:ind w:left="1440" w:hanging="383"/>
        <w:jc w:val="both"/>
        <w:rPr>
          <w:color w:val="0070C0"/>
          <w:sz w:val="16"/>
          <w:szCs w:val="16"/>
        </w:rPr>
      </w:pPr>
      <w:r w:rsidRPr="007F46C0">
        <w:rPr>
          <w:rFonts w:ascii="Arial" w:eastAsia="Arial" w:hAnsi="Arial" w:cs="Arial"/>
          <w:color w:val="000000"/>
          <w:sz w:val="22"/>
          <w:szCs w:val="22"/>
        </w:rPr>
        <w:t>Depending on the Interest or subject matter insured or nature of liability specified under</w:t>
      </w:r>
      <w:r>
        <w:rPr>
          <w:rFonts w:ascii="Arial" w:eastAsia="Arial" w:hAnsi="Arial" w:cs="Arial"/>
          <w:sz w:val="22"/>
          <w:szCs w:val="22"/>
        </w:rPr>
        <w:t xml:space="preserve"> the heading, this </w:t>
      </w:r>
      <w:r>
        <w:rPr>
          <w:rFonts w:ascii="Arial" w:eastAsia="Arial" w:hAnsi="Arial" w:cs="Arial"/>
          <w:sz w:val="22"/>
          <w:szCs w:val="22"/>
          <w:u w:val="single"/>
        </w:rPr>
        <w:t>may</w:t>
      </w:r>
      <w:r>
        <w:rPr>
          <w:rFonts w:ascii="Arial" w:eastAsia="Arial" w:hAnsi="Arial" w:cs="Arial"/>
          <w:sz w:val="22"/>
          <w:szCs w:val="22"/>
        </w:rPr>
        <w:t xml:space="preserve"> affect “Regulatory Risk Location”.</w:t>
      </w:r>
    </w:p>
    <w:p w14:paraId="03D0EC15" w14:textId="2A8E4D85" w:rsidR="00592C29" w:rsidRDefault="0048296D">
      <w:pPr>
        <w:numPr>
          <w:ilvl w:val="0"/>
          <w:numId w:val="19"/>
        </w:numPr>
        <w:pBdr>
          <w:left w:val="none" w:sz="0" w:space="7" w:color="auto"/>
        </w:pBdr>
        <w:spacing w:before="120"/>
        <w:ind w:left="1440" w:hanging="383"/>
        <w:jc w:val="both"/>
        <w:rPr>
          <w:color w:val="0070C0"/>
          <w:sz w:val="16"/>
          <w:szCs w:val="16"/>
        </w:rPr>
      </w:pPr>
      <w:r>
        <w:rPr>
          <w:rFonts w:ascii="Arial" w:eastAsia="Arial" w:hAnsi="Arial" w:cs="Arial"/>
          <w:color w:val="000000"/>
          <w:sz w:val="22"/>
          <w:szCs w:val="22"/>
        </w:rPr>
        <w:t xml:space="preserve">For further guidance on “Regulatory Risk Location” please refer to: </w:t>
      </w:r>
      <w:hyperlink r:id="rId17" w:history="1">
        <w:r>
          <w:rPr>
            <w:rFonts w:ascii="Arial" w:eastAsia="Arial" w:hAnsi="Arial" w:cs="Arial"/>
            <w:color w:val="0000FF"/>
            <w:sz w:val="22"/>
            <w:szCs w:val="22"/>
            <w:u w:val="single" w:color="0000FF"/>
          </w:rPr>
          <w:t>https://www.lloyds.com/tools-and-systems/risk-locator</w:t>
        </w:r>
      </w:hyperlink>
      <w:r>
        <w:rPr>
          <w:rFonts w:ascii="Arial" w:eastAsia="Arial" w:hAnsi="Arial" w:cs="Arial"/>
          <w:color w:val="000000"/>
          <w:sz w:val="16"/>
          <w:szCs w:val="16"/>
        </w:rPr>
        <w:t xml:space="preserve"> </w:t>
      </w:r>
    </w:p>
    <w:p w14:paraId="00FD9CE7" w14:textId="77777777" w:rsidR="00592C29" w:rsidRDefault="00592C29">
      <w:pPr>
        <w:spacing w:before="120"/>
        <w:ind w:left="1440" w:hanging="720"/>
        <w:jc w:val="both"/>
        <w:rPr>
          <w:sz w:val="22"/>
          <w:szCs w:val="22"/>
        </w:rPr>
      </w:pPr>
    </w:p>
    <w:p w14:paraId="1C78F108" w14:textId="77777777" w:rsidR="00592C29" w:rsidRDefault="0048296D">
      <w:pPr>
        <w:spacing w:before="120"/>
        <w:ind w:left="1440" w:hanging="720"/>
        <w:jc w:val="both"/>
        <w:rPr>
          <w:sz w:val="22"/>
          <w:szCs w:val="22"/>
        </w:rPr>
      </w:pPr>
      <w:r>
        <w:rPr>
          <w:rFonts w:ascii="Arial" w:eastAsia="Arial" w:hAnsi="Arial" w:cs="Arial"/>
          <w:b/>
          <w:bCs/>
          <w:sz w:val="22"/>
          <w:szCs w:val="22"/>
        </w:rPr>
        <w:t>A.6</w:t>
      </w:r>
      <w:r>
        <w:rPr>
          <w:rFonts w:ascii="Arial" w:eastAsia="Arial" w:hAnsi="Arial" w:cs="Arial"/>
          <w:b/>
          <w:bCs/>
          <w:sz w:val="22"/>
          <w:szCs w:val="22"/>
        </w:rPr>
        <w:tab/>
        <w:t xml:space="preserve">Limit of Liability - Mandatory: Name variations exist. </w:t>
      </w:r>
      <w:r>
        <w:rPr>
          <w:rFonts w:ascii="Arial" w:eastAsia="Arial" w:hAnsi="Arial" w:cs="Arial"/>
          <w:b/>
          <w:bCs/>
          <w:sz w:val="22"/>
          <w:szCs w:val="22"/>
        </w:rPr>
        <w:tab/>
      </w:r>
      <w:r>
        <w:rPr>
          <w:rFonts w:ascii="Arial" w:eastAsia="Arial" w:hAnsi="Arial" w:cs="Arial"/>
          <w:sz w:val="22"/>
          <w:szCs w:val="22"/>
        </w:rPr>
        <w:t xml:space="preserve"> </w:t>
      </w:r>
    </w:p>
    <w:p w14:paraId="66C392B3" w14:textId="18456288" w:rsidR="00592C29" w:rsidRDefault="0048296D">
      <w:pPr>
        <w:numPr>
          <w:ilvl w:val="0"/>
          <w:numId w:val="20"/>
        </w:numPr>
        <w:pBdr>
          <w:left w:val="none" w:sz="0" w:space="7" w:color="auto"/>
        </w:pBdr>
        <w:spacing w:before="120"/>
        <w:ind w:left="1440" w:hanging="430"/>
        <w:jc w:val="both"/>
        <w:rPr>
          <w:color w:val="0070C0"/>
          <w:sz w:val="22"/>
          <w:szCs w:val="22"/>
        </w:rPr>
      </w:pPr>
      <w:r>
        <w:rPr>
          <w:rFonts w:ascii="Arial" w:eastAsia="Arial" w:hAnsi="Arial" w:cs="Arial"/>
          <w:color w:val="000000"/>
          <w:sz w:val="22"/>
          <w:szCs w:val="22"/>
        </w:rPr>
        <w:t>Irrespective of whether the risks are placed on two separate MRCs, or placed on the same, split/</w:t>
      </w:r>
      <w:proofErr w:type="spellStart"/>
      <w:r>
        <w:rPr>
          <w:rFonts w:ascii="Arial" w:eastAsia="Arial" w:hAnsi="Arial" w:cs="Arial"/>
          <w:color w:val="000000"/>
          <w:sz w:val="22"/>
          <w:szCs w:val="22"/>
        </w:rPr>
        <w:t>sectionalised</w:t>
      </w:r>
      <w:proofErr w:type="spellEnd"/>
      <w:r>
        <w:rPr>
          <w:rFonts w:ascii="Arial" w:eastAsia="Arial" w:hAnsi="Arial" w:cs="Arial"/>
          <w:color w:val="000000"/>
          <w:sz w:val="22"/>
          <w:szCs w:val="22"/>
        </w:rPr>
        <w:t xml:space="preserve"> MRC, careful consideration needs to be given to the wording of clauses and conditions which apply across separate MRCs or sections within an MRC. Such clauses and conditions should clearly state how any “shared” provisions (e.g. sums insured, limits of indemnity, deductibles excesses, insured’s retentions, especially where these are aggregated/</w:t>
      </w:r>
      <w:r w:rsidR="00B0372E">
        <w:rPr>
          <w:rFonts w:ascii="Arial" w:eastAsia="Arial" w:hAnsi="Arial" w:cs="Arial"/>
          <w:color w:val="000000"/>
          <w:sz w:val="22"/>
          <w:szCs w:val="22"/>
        </w:rPr>
        <w:t>ranking) are</w:t>
      </w:r>
      <w:r>
        <w:rPr>
          <w:rFonts w:ascii="Arial" w:eastAsia="Arial" w:hAnsi="Arial" w:cs="Arial"/>
          <w:color w:val="000000"/>
          <w:sz w:val="22"/>
          <w:szCs w:val="22"/>
        </w:rPr>
        <w:t xml:space="preserve"> clearly expressed.</w:t>
      </w:r>
    </w:p>
    <w:p w14:paraId="77DFDDB7" w14:textId="302364D3" w:rsidR="00592C29" w:rsidRDefault="0048296D">
      <w:pPr>
        <w:numPr>
          <w:ilvl w:val="0"/>
          <w:numId w:val="20"/>
        </w:numPr>
        <w:pBdr>
          <w:left w:val="none" w:sz="0" w:space="7" w:color="auto"/>
        </w:pBdr>
        <w:spacing w:before="120"/>
        <w:ind w:left="1440" w:hanging="430"/>
        <w:jc w:val="both"/>
        <w:rPr>
          <w:color w:val="0070C0"/>
          <w:sz w:val="22"/>
          <w:szCs w:val="22"/>
        </w:rPr>
      </w:pPr>
      <w:r>
        <w:rPr>
          <w:rFonts w:ascii="Arial" w:eastAsia="Arial" w:hAnsi="Arial" w:cs="Arial"/>
          <w:color w:val="000000"/>
          <w:sz w:val="22"/>
          <w:szCs w:val="22"/>
        </w:rPr>
        <w:t xml:space="preserve">Lloyd’s, in conjunction with the LMA drafted model “interlocking language” clauses for use on Lloyd’s Brussels placements – Shared Limit Endorsement and Shared Aggregate Deductible Endorsement (available within the Lloyd’s Wordings Repository (LWR) at </w:t>
      </w:r>
      <w:hyperlink r:id="rId18" w:history="1">
        <w:r>
          <w:rPr>
            <w:rFonts w:ascii="Arial" w:eastAsia="Arial" w:hAnsi="Arial" w:cs="Arial"/>
            <w:color w:val="0000FF"/>
            <w:sz w:val="22"/>
            <w:szCs w:val="22"/>
            <w:u w:val="single" w:color="0000FF"/>
          </w:rPr>
          <w:t>www.lloydswordings.com</w:t>
        </w:r>
      </w:hyperlink>
      <w:r>
        <w:rPr>
          <w:rFonts w:ascii="Arial" w:eastAsia="Arial" w:hAnsi="Arial" w:cs="Arial"/>
          <w:color w:val="000000"/>
          <w:sz w:val="22"/>
          <w:szCs w:val="22"/>
        </w:rPr>
        <w:t xml:space="preserve"> )</w:t>
      </w:r>
    </w:p>
    <w:p w14:paraId="6249A13A" w14:textId="77777777" w:rsidR="00592C29" w:rsidRDefault="00592C29">
      <w:pPr>
        <w:spacing w:before="120"/>
        <w:ind w:left="1440" w:hanging="720"/>
        <w:jc w:val="both"/>
        <w:rPr>
          <w:sz w:val="22"/>
          <w:szCs w:val="22"/>
        </w:rPr>
      </w:pPr>
    </w:p>
    <w:p w14:paraId="3DBB0FB4" w14:textId="77777777" w:rsidR="00592C29" w:rsidRDefault="0048296D">
      <w:pPr>
        <w:spacing w:before="120"/>
        <w:ind w:left="1440" w:hanging="720"/>
        <w:jc w:val="both"/>
        <w:rPr>
          <w:sz w:val="22"/>
          <w:szCs w:val="22"/>
        </w:rPr>
      </w:pPr>
      <w:r>
        <w:rPr>
          <w:rFonts w:ascii="Arial" w:eastAsia="Arial" w:hAnsi="Arial" w:cs="Arial"/>
          <w:b/>
          <w:bCs/>
          <w:sz w:val="22"/>
          <w:szCs w:val="22"/>
        </w:rPr>
        <w:t>A.7</w:t>
      </w:r>
      <w:r>
        <w:rPr>
          <w:rFonts w:ascii="Arial" w:eastAsia="Arial" w:hAnsi="Arial" w:cs="Arial"/>
          <w:b/>
          <w:bCs/>
          <w:sz w:val="22"/>
          <w:szCs w:val="22"/>
        </w:rPr>
        <w:tab/>
        <w:t xml:space="preserve">Situation - Mandatory: Name variations exist. </w:t>
      </w:r>
      <w:r>
        <w:rPr>
          <w:rFonts w:ascii="Arial" w:eastAsia="Arial" w:hAnsi="Arial" w:cs="Arial"/>
          <w:b/>
          <w:bCs/>
          <w:sz w:val="22"/>
          <w:szCs w:val="22"/>
        </w:rPr>
        <w:tab/>
      </w:r>
      <w:r>
        <w:rPr>
          <w:rFonts w:ascii="Arial" w:eastAsia="Arial" w:hAnsi="Arial" w:cs="Arial"/>
          <w:sz w:val="22"/>
          <w:szCs w:val="22"/>
        </w:rPr>
        <w:t xml:space="preserve"> </w:t>
      </w:r>
    </w:p>
    <w:p w14:paraId="4C5639DE" w14:textId="77777777" w:rsidR="00592C29" w:rsidRDefault="0048296D">
      <w:pPr>
        <w:numPr>
          <w:ilvl w:val="0"/>
          <w:numId w:val="21"/>
        </w:numPr>
        <w:pBdr>
          <w:left w:val="none" w:sz="0" w:space="7" w:color="auto"/>
        </w:pBdr>
        <w:spacing w:before="120"/>
        <w:ind w:left="1440" w:hanging="430"/>
        <w:jc w:val="both"/>
        <w:rPr>
          <w:color w:val="0070C0"/>
          <w:sz w:val="22"/>
          <w:szCs w:val="22"/>
        </w:rPr>
      </w:pPr>
      <w:r>
        <w:rPr>
          <w:rFonts w:ascii="Arial" w:eastAsia="Arial" w:hAnsi="Arial" w:cs="Arial"/>
          <w:color w:val="000000"/>
          <w:sz w:val="22"/>
          <w:szCs w:val="22"/>
        </w:rPr>
        <w:t xml:space="preserve">Situation, territorial limits or scope, trading warranties or </w:t>
      </w:r>
      <w:r w:rsidRPr="00CB5697">
        <w:rPr>
          <w:rFonts w:ascii="Arial" w:eastAsia="Arial" w:hAnsi="Arial" w:cs="Arial"/>
          <w:sz w:val="22"/>
          <w:szCs w:val="22"/>
        </w:rPr>
        <w:t xml:space="preserve">location, depending on class of business. The location of the insured or the object insured </w:t>
      </w:r>
      <w:r w:rsidRPr="00CB5697">
        <w:rPr>
          <w:rFonts w:ascii="Arial" w:eastAsia="Arial" w:hAnsi="Arial" w:cs="Arial"/>
          <w:sz w:val="22"/>
          <w:szCs w:val="22"/>
          <w:u w:val="single" w:color="000000"/>
        </w:rPr>
        <w:t>may</w:t>
      </w:r>
      <w:r w:rsidRPr="00CB5697">
        <w:rPr>
          <w:rFonts w:ascii="Arial" w:eastAsia="Arial" w:hAnsi="Arial" w:cs="Arial"/>
          <w:sz w:val="22"/>
          <w:szCs w:val="22"/>
        </w:rPr>
        <w:t xml:space="preserve"> affect/determine the “Risk Location”, but the situation does not always</w:t>
      </w:r>
      <w:r>
        <w:rPr>
          <w:rFonts w:ascii="Arial" w:eastAsia="Arial" w:hAnsi="Arial" w:cs="Arial"/>
          <w:color w:val="000000"/>
          <w:sz w:val="22"/>
          <w:szCs w:val="22"/>
        </w:rPr>
        <w:t xml:space="preserve"> drive the regulatory risk location, e.g. the fact that a vessel is trading worldwide is irrelevant in determining location of risk because it’s the vessel’s registration that is the determining factor in the use of Lloyd’s Brussels.</w:t>
      </w:r>
    </w:p>
    <w:p w14:paraId="22F6CC72" w14:textId="1441F372" w:rsidR="00592C29" w:rsidRDefault="0048296D">
      <w:pPr>
        <w:numPr>
          <w:ilvl w:val="0"/>
          <w:numId w:val="21"/>
        </w:numPr>
        <w:pBdr>
          <w:left w:val="none" w:sz="0" w:space="7" w:color="auto"/>
        </w:pBdr>
        <w:spacing w:before="120"/>
        <w:ind w:left="1440" w:hanging="430"/>
        <w:jc w:val="both"/>
        <w:rPr>
          <w:color w:val="0070C0"/>
          <w:sz w:val="22"/>
          <w:szCs w:val="22"/>
        </w:rPr>
      </w:pPr>
      <w:r>
        <w:rPr>
          <w:rFonts w:ascii="Arial" w:eastAsia="Arial" w:hAnsi="Arial" w:cs="Arial"/>
          <w:color w:val="000000"/>
          <w:sz w:val="22"/>
          <w:szCs w:val="22"/>
        </w:rPr>
        <w:t>For further guidance on “Regulatory Risk Location” see guidance on heading E.3 (</w:t>
      </w:r>
      <w:r w:rsidRPr="00CB5697">
        <w:rPr>
          <w:rFonts w:ascii="Arial" w:eastAsia="Arial" w:hAnsi="Arial" w:cs="Arial"/>
          <w:sz w:val="22"/>
          <w:szCs w:val="22"/>
        </w:rPr>
        <w:t>within Chapter 8) below</w:t>
      </w:r>
    </w:p>
    <w:p w14:paraId="710E003C" w14:textId="21B87D5D" w:rsidR="00592C29" w:rsidRDefault="0048296D">
      <w:pPr>
        <w:numPr>
          <w:ilvl w:val="0"/>
          <w:numId w:val="21"/>
        </w:numPr>
        <w:pBdr>
          <w:left w:val="none" w:sz="0" w:space="7" w:color="auto"/>
        </w:pBdr>
        <w:spacing w:before="120"/>
        <w:ind w:left="1440" w:hanging="430"/>
        <w:jc w:val="both"/>
        <w:rPr>
          <w:color w:val="0070C0"/>
          <w:sz w:val="22"/>
          <w:szCs w:val="22"/>
        </w:rPr>
      </w:pPr>
      <w:r>
        <w:rPr>
          <w:rFonts w:ascii="Arial" w:eastAsia="Arial" w:hAnsi="Arial" w:cs="Arial"/>
          <w:color w:val="000000"/>
          <w:sz w:val="22"/>
          <w:szCs w:val="22"/>
        </w:rPr>
        <w:t xml:space="preserve">Where the </w:t>
      </w:r>
      <w:r w:rsidRPr="00CB5697">
        <w:rPr>
          <w:rFonts w:ascii="Arial" w:eastAsia="Arial" w:hAnsi="Arial" w:cs="Arial"/>
          <w:sz w:val="22"/>
          <w:szCs w:val="22"/>
        </w:rPr>
        <w:t>risk has locations in both EEA and non-EEA territories the EEA risks must be placed with Lloyd’s Brussels by means of split/</w:t>
      </w:r>
      <w:proofErr w:type="spellStart"/>
      <w:r w:rsidRPr="00CB5697">
        <w:rPr>
          <w:rFonts w:ascii="Arial" w:eastAsia="Arial" w:hAnsi="Arial" w:cs="Arial"/>
          <w:sz w:val="22"/>
          <w:szCs w:val="22"/>
        </w:rPr>
        <w:t>sectionalised</w:t>
      </w:r>
      <w:proofErr w:type="spellEnd"/>
      <w:r w:rsidRPr="00CB5697">
        <w:rPr>
          <w:rFonts w:ascii="Arial" w:eastAsia="Arial" w:hAnsi="Arial" w:cs="Arial"/>
          <w:sz w:val="22"/>
          <w:szCs w:val="22"/>
        </w:rPr>
        <w:t xml:space="preserve"> (or separate) MRC(s).</w:t>
      </w:r>
      <w:r>
        <w:rPr>
          <w:rFonts w:ascii="Arial" w:eastAsia="Arial" w:hAnsi="Arial" w:cs="Arial"/>
          <w:color w:val="000000"/>
          <w:sz w:val="22"/>
          <w:szCs w:val="22"/>
        </w:rPr>
        <w:t xml:space="preserve"> </w:t>
      </w:r>
    </w:p>
    <w:p w14:paraId="412C014C" w14:textId="77777777" w:rsidR="00592C29" w:rsidRDefault="00592C29">
      <w:pPr>
        <w:spacing w:before="120"/>
        <w:jc w:val="both"/>
        <w:rPr>
          <w:sz w:val="22"/>
          <w:szCs w:val="22"/>
        </w:rPr>
      </w:pPr>
    </w:p>
    <w:p w14:paraId="503A920E" w14:textId="77777777" w:rsidR="00592C29" w:rsidRDefault="0048296D">
      <w:pPr>
        <w:spacing w:before="120"/>
        <w:ind w:left="1440" w:hanging="720"/>
        <w:jc w:val="both"/>
        <w:rPr>
          <w:sz w:val="22"/>
          <w:szCs w:val="22"/>
        </w:rPr>
      </w:pPr>
      <w:r>
        <w:rPr>
          <w:rFonts w:ascii="Arial" w:eastAsia="Arial" w:hAnsi="Arial" w:cs="Arial"/>
          <w:b/>
          <w:bCs/>
          <w:sz w:val="22"/>
          <w:szCs w:val="22"/>
        </w:rPr>
        <w:t>A.8</w:t>
      </w:r>
      <w:r>
        <w:rPr>
          <w:rFonts w:ascii="Arial" w:eastAsia="Arial" w:hAnsi="Arial" w:cs="Arial"/>
          <w:b/>
          <w:bCs/>
          <w:sz w:val="22"/>
          <w:szCs w:val="22"/>
        </w:rPr>
        <w:tab/>
        <w:t xml:space="preserve">Conditions - Mandatory: Name variations exist. </w:t>
      </w:r>
      <w:r>
        <w:rPr>
          <w:rFonts w:ascii="Arial" w:eastAsia="Arial" w:hAnsi="Arial" w:cs="Arial"/>
          <w:b/>
          <w:bCs/>
          <w:sz w:val="22"/>
          <w:szCs w:val="22"/>
        </w:rPr>
        <w:tab/>
      </w:r>
      <w:r>
        <w:rPr>
          <w:rFonts w:ascii="Arial" w:eastAsia="Arial" w:hAnsi="Arial" w:cs="Arial"/>
          <w:sz w:val="22"/>
          <w:szCs w:val="22"/>
        </w:rPr>
        <w:t xml:space="preserve"> </w:t>
      </w:r>
    </w:p>
    <w:p w14:paraId="72020DEE" w14:textId="77777777" w:rsidR="00592C29" w:rsidRPr="00CB5697" w:rsidRDefault="0048296D" w:rsidP="00CB5697">
      <w:pPr>
        <w:numPr>
          <w:ilvl w:val="0"/>
          <w:numId w:val="45"/>
        </w:numPr>
        <w:pBdr>
          <w:left w:val="none" w:sz="0" w:space="7" w:color="auto"/>
        </w:pBdr>
        <w:spacing w:before="120"/>
        <w:jc w:val="both"/>
        <w:rPr>
          <w:color w:val="0070C0"/>
          <w:sz w:val="22"/>
          <w:szCs w:val="22"/>
        </w:rPr>
      </w:pPr>
      <w:r>
        <w:rPr>
          <w:rFonts w:ascii="Arial" w:eastAsia="Arial" w:hAnsi="Arial" w:cs="Arial"/>
          <w:color w:val="000000"/>
          <w:sz w:val="22"/>
          <w:szCs w:val="22"/>
        </w:rPr>
        <w:t xml:space="preserve">All risks incepting from 01 January 2019 that include both Lloyd’s Brussels and non-Lloyd’s Brussels exposures will have to be priced separately and the MRC will need to be split, have separate sections or two separate MRCs produced. The Lloyd’s Brussels licensed risk must be bound using the syndicate’s Lloyd’s Brussels stamp and the non-EEA risk under the syndicate stamp. </w:t>
      </w:r>
    </w:p>
    <w:p w14:paraId="53DD6469" w14:textId="066BD9F3" w:rsidR="00592C29" w:rsidRPr="00CB5697" w:rsidRDefault="0048296D" w:rsidP="00CB5697">
      <w:pPr>
        <w:numPr>
          <w:ilvl w:val="0"/>
          <w:numId w:val="45"/>
        </w:numPr>
        <w:pBdr>
          <w:left w:val="none" w:sz="0" w:space="7" w:color="auto"/>
        </w:pBdr>
        <w:spacing w:before="120"/>
        <w:jc w:val="both"/>
        <w:rPr>
          <w:color w:val="0070C0"/>
          <w:sz w:val="22"/>
          <w:szCs w:val="22"/>
        </w:rPr>
      </w:pPr>
      <w:r>
        <w:rPr>
          <w:rFonts w:ascii="Arial" w:eastAsia="Arial" w:hAnsi="Arial" w:cs="Arial"/>
          <w:color w:val="000000"/>
          <w:sz w:val="22"/>
          <w:szCs w:val="22"/>
        </w:rPr>
        <w:t xml:space="preserve">Different contractual terms and conditions may also apply dependent on upon the location of the risk and/or the Regulatory Risk Location and/or jurisdiction. For further details, refer to Crystal- </w:t>
      </w:r>
      <w:hyperlink r:id="rId19" w:history="1">
        <w:r w:rsidRPr="00CB5697">
          <w:rPr>
            <w:rStyle w:val="Hyperlink"/>
            <w:rFonts w:ascii="Arial" w:eastAsia="Arial" w:hAnsi="Arial" w:cs="Arial"/>
            <w:sz w:val="22"/>
            <w:szCs w:val="22"/>
          </w:rPr>
          <w:t>www.lloyds.com/tools-and-systems/crystal</w:t>
        </w:r>
      </w:hyperlink>
    </w:p>
    <w:p w14:paraId="1DD55221" w14:textId="77777777" w:rsidR="00592C29" w:rsidRPr="00CB5697" w:rsidRDefault="0048296D" w:rsidP="00CB5697">
      <w:pPr>
        <w:numPr>
          <w:ilvl w:val="0"/>
          <w:numId w:val="45"/>
        </w:numPr>
        <w:pBdr>
          <w:left w:val="none" w:sz="0" w:space="7" w:color="auto"/>
        </w:pBdr>
        <w:spacing w:before="120"/>
        <w:jc w:val="both"/>
        <w:rPr>
          <w:color w:val="0070C0"/>
          <w:sz w:val="22"/>
          <w:szCs w:val="22"/>
        </w:rPr>
      </w:pPr>
      <w:r>
        <w:rPr>
          <w:rFonts w:ascii="Arial" w:eastAsia="Arial" w:hAnsi="Arial" w:cs="Arial"/>
          <w:color w:val="000000"/>
          <w:sz w:val="22"/>
          <w:szCs w:val="22"/>
        </w:rPr>
        <w:t xml:space="preserve">The terms and conditions of the two separate sections of the MRC must comply with the applicable regulatory requirements in the territories where the risks are </w:t>
      </w:r>
      <w:r>
        <w:rPr>
          <w:rFonts w:ascii="Arial" w:eastAsia="Arial" w:hAnsi="Arial" w:cs="Arial"/>
          <w:color w:val="000000"/>
          <w:sz w:val="22"/>
          <w:szCs w:val="22"/>
        </w:rPr>
        <w:lastRenderedPageBreak/>
        <w:t>located. There may be local legal or regulatory requirements for specific policy conditions to be included in the MRC/placement.</w:t>
      </w:r>
    </w:p>
    <w:p w14:paraId="1BBC89D7" w14:textId="77777777" w:rsidR="00592C29" w:rsidRPr="00E5633A" w:rsidRDefault="0048296D" w:rsidP="00CB5697">
      <w:pPr>
        <w:numPr>
          <w:ilvl w:val="0"/>
          <w:numId w:val="45"/>
        </w:numPr>
        <w:pBdr>
          <w:left w:val="none" w:sz="0" w:space="7" w:color="auto"/>
        </w:pBdr>
        <w:spacing w:before="120" w:after="120"/>
        <w:jc w:val="both"/>
        <w:rPr>
          <w:color w:val="0070C0"/>
          <w:sz w:val="22"/>
          <w:szCs w:val="22"/>
        </w:rPr>
      </w:pPr>
      <w:r>
        <w:rPr>
          <w:rFonts w:ascii="Arial" w:eastAsia="Arial" w:hAnsi="Arial" w:cs="Arial"/>
          <w:color w:val="000000"/>
          <w:sz w:val="22"/>
          <w:szCs w:val="22"/>
        </w:rPr>
        <w:t>Aside from appropriate limit related “interlocking language” (refer heading A2.6 above), consideration may also need to be given to the application of other conditions according to territorial scope/risk location, where they either relate to only one section or differ across sections (i.e. the language of the clause may not change per se, but it may be applied only to the Lloyd’s Brussels or non-Lloyd’s Brussels section of the MRC). For example, whilst not an exhaustive list, property damage conditions which may need further consideration in this way, might include:</w:t>
      </w:r>
    </w:p>
    <w:tbl>
      <w:tblPr>
        <w:tblW w:w="0" w:type="auto"/>
        <w:tblInd w:w="144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691"/>
        <w:gridCol w:w="5471"/>
      </w:tblGrid>
      <w:tr w:rsidR="00592C29" w14:paraId="058C51BE" w14:textId="77777777" w:rsidTr="00E5633A">
        <w:tc>
          <w:tcPr>
            <w:tcW w:w="2691" w:type="dxa"/>
            <w:tcBorders>
              <w:bottom w:val="single" w:sz="6" w:space="0" w:color="000000"/>
              <w:right w:val="single" w:sz="6" w:space="0" w:color="000000"/>
            </w:tcBorders>
            <w:tcMar>
              <w:top w:w="8" w:type="dxa"/>
              <w:left w:w="108" w:type="dxa"/>
              <w:bottom w:w="8" w:type="dxa"/>
              <w:right w:w="108" w:type="dxa"/>
            </w:tcMar>
            <w:hideMark/>
          </w:tcPr>
          <w:p w14:paraId="2B00CC62" w14:textId="77777777" w:rsidR="00592C29" w:rsidRPr="00E5633A" w:rsidRDefault="0048296D" w:rsidP="00E5633A">
            <w:pPr>
              <w:spacing w:before="120"/>
              <w:ind w:left="120"/>
              <w:rPr>
                <w:color w:val="000000"/>
                <w:sz w:val="22"/>
                <w:szCs w:val="22"/>
              </w:rPr>
            </w:pPr>
            <w:r w:rsidRPr="00E5633A">
              <w:rPr>
                <w:rFonts w:ascii="Arial" w:eastAsia="Arial" w:hAnsi="Arial" w:cs="Arial"/>
                <w:color w:val="000000"/>
                <w:sz w:val="22"/>
                <w:szCs w:val="22"/>
              </w:rPr>
              <w:t>Margin</w:t>
            </w:r>
          </w:p>
          <w:p w14:paraId="58AD85D2" w14:textId="77777777" w:rsidR="00592C29" w:rsidRDefault="00592C29" w:rsidP="00E5633A">
            <w:pPr>
              <w:spacing w:before="120"/>
              <w:ind w:left="120"/>
              <w:rPr>
                <w:color w:val="000000"/>
                <w:sz w:val="22"/>
                <w:szCs w:val="22"/>
              </w:rPr>
            </w:pPr>
          </w:p>
        </w:tc>
        <w:tc>
          <w:tcPr>
            <w:tcW w:w="5471" w:type="dxa"/>
            <w:tcBorders>
              <w:left w:val="single" w:sz="6" w:space="0" w:color="000000"/>
              <w:bottom w:val="single" w:sz="6" w:space="0" w:color="000000"/>
            </w:tcBorders>
            <w:tcMar>
              <w:top w:w="8" w:type="dxa"/>
              <w:left w:w="108" w:type="dxa"/>
              <w:bottom w:w="8" w:type="dxa"/>
              <w:right w:w="108" w:type="dxa"/>
            </w:tcMar>
            <w:hideMark/>
          </w:tcPr>
          <w:p w14:paraId="13F3A84D" w14:textId="77777777" w:rsidR="00592C29" w:rsidRPr="00E5633A" w:rsidRDefault="0048296D" w:rsidP="00E5633A">
            <w:pPr>
              <w:spacing w:before="120" w:after="60"/>
              <w:ind w:left="129"/>
              <w:rPr>
                <w:color w:val="000000"/>
                <w:sz w:val="22"/>
                <w:szCs w:val="22"/>
              </w:rPr>
            </w:pPr>
            <w:r w:rsidRPr="00E5633A">
              <w:rPr>
                <w:rFonts w:ascii="Arial" w:eastAsia="Arial" w:hAnsi="Arial" w:cs="Arial"/>
                <w:color w:val="000000"/>
                <w:sz w:val="22"/>
                <w:szCs w:val="22"/>
              </w:rPr>
              <w:t>May need to consider that this is restricted to the territorial scope of the Lloyd’s Brussels/ non-Lloyd’s section, especially if “Automatic”.</w:t>
            </w:r>
          </w:p>
        </w:tc>
      </w:tr>
      <w:tr w:rsidR="00592C29" w14:paraId="46D8D02D" w14:textId="77777777" w:rsidTr="00E5633A">
        <w:tc>
          <w:tcPr>
            <w:tcW w:w="2691" w:type="dxa"/>
            <w:tcBorders>
              <w:top w:val="single" w:sz="6" w:space="0" w:color="000000"/>
              <w:bottom w:val="single" w:sz="6" w:space="0" w:color="000000"/>
              <w:right w:val="single" w:sz="6" w:space="0" w:color="000000"/>
            </w:tcBorders>
            <w:tcMar>
              <w:top w:w="8" w:type="dxa"/>
              <w:left w:w="108" w:type="dxa"/>
              <w:bottom w:w="8" w:type="dxa"/>
              <w:right w:w="108" w:type="dxa"/>
            </w:tcMar>
            <w:hideMark/>
          </w:tcPr>
          <w:p w14:paraId="7328893D" w14:textId="77777777" w:rsidR="00592C29" w:rsidRPr="00E5633A" w:rsidRDefault="0048296D" w:rsidP="00E5633A">
            <w:pPr>
              <w:spacing w:before="120"/>
              <w:ind w:left="120"/>
              <w:rPr>
                <w:color w:val="000000"/>
                <w:sz w:val="22"/>
                <w:szCs w:val="22"/>
              </w:rPr>
            </w:pPr>
            <w:r w:rsidRPr="00E5633A">
              <w:rPr>
                <w:rFonts w:ascii="Arial" w:eastAsia="Arial" w:hAnsi="Arial" w:cs="Arial"/>
                <w:color w:val="000000"/>
                <w:sz w:val="22"/>
                <w:szCs w:val="22"/>
              </w:rPr>
              <w:t>Capital Additions</w:t>
            </w:r>
          </w:p>
        </w:tc>
        <w:tc>
          <w:tcPr>
            <w:tcW w:w="5471" w:type="dxa"/>
            <w:tcBorders>
              <w:top w:val="single" w:sz="6" w:space="0" w:color="000000"/>
              <w:left w:val="single" w:sz="6" w:space="0" w:color="000000"/>
              <w:bottom w:val="single" w:sz="6" w:space="0" w:color="000000"/>
            </w:tcBorders>
            <w:tcMar>
              <w:top w:w="8" w:type="dxa"/>
              <w:left w:w="108" w:type="dxa"/>
              <w:bottom w:w="8" w:type="dxa"/>
              <w:right w:w="108" w:type="dxa"/>
            </w:tcMar>
            <w:hideMark/>
          </w:tcPr>
          <w:p w14:paraId="7525D13C" w14:textId="77777777" w:rsidR="00592C29" w:rsidRPr="00E5633A" w:rsidRDefault="0048296D" w:rsidP="00E5633A">
            <w:pPr>
              <w:spacing w:before="120" w:after="60"/>
              <w:ind w:left="129"/>
              <w:rPr>
                <w:color w:val="000000"/>
                <w:sz w:val="22"/>
                <w:szCs w:val="22"/>
              </w:rPr>
            </w:pPr>
            <w:r w:rsidRPr="00E5633A">
              <w:rPr>
                <w:rFonts w:ascii="Arial" w:eastAsia="Arial" w:hAnsi="Arial" w:cs="Arial"/>
                <w:color w:val="000000"/>
                <w:sz w:val="22"/>
                <w:szCs w:val="22"/>
              </w:rPr>
              <w:t>May need to consider that this is restricted to the territorial scope of the Lloyd’s Brussels/ non-Lloyd’s section, especially if “Automatic”.</w:t>
            </w:r>
          </w:p>
        </w:tc>
      </w:tr>
      <w:tr w:rsidR="00592C29" w14:paraId="5C584BCC" w14:textId="77777777" w:rsidTr="00E5633A">
        <w:tc>
          <w:tcPr>
            <w:tcW w:w="2691" w:type="dxa"/>
            <w:tcBorders>
              <w:top w:val="single" w:sz="6" w:space="0" w:color="000000"/>
              <w:bottom w:val="single" w:sz="6" w:space="0" w:color="000000"/>
              <w:right w:val="single" w:sz="6" w:space="0" w:color="000000"/>
            </w:tcBorders>
            <w:tcMar>
              <w:top w:w="8" w:type="dxa"/>
              <w:left w:w="108" w:type="dxa"/>
              <w:bottom w:w="8" w:type="dxa"/>
              <w:right w:w="108" w:type="dxa"/>
            </w:tcMar>
            <w:hideMark/>
          </w:tcPr>
          <w:p w14:paraId="06B71F0D" w14:textId="77777777" w:rsidR="00592C29" w:rsidRPr="00E5633A" w:rsidRDefault="0048296D" w:rsidP="00E5633A">
            <w:pPr>
              <w:spacing w:before="120"/>
              <w:ind w:left="120"/>
              <w:rPr>
                <w:color w:val="000000"/>
                <w:sz w:val="22"/>
                <w:szCs w:val="22"/>
              </w:rPr>
            </w:pPr>
            <w:r w:rsidRPr="00E5633A">
              <w:rPr>
                <w:rFonts w:ascii="Arial" w:eastAsia="Arial" w:hAnsi="Arial" w:cs="Arial"/>
                <w:color w:val="000000"/>
                <w:sz w:val="22"/>
                <w:szCs w:val="22"/>
              </w:rPr>
              <w:t>Acquisitions Clause / Additional Insureds</w:t>
            </w:r>
          </w:p>
          <w:p w14:paraId="3A2EDAE3" w14:textId="77777777" w:rsidR="00592C29" w:rsidRDefault="00592C29" w:rsidP="00E5633A">
            <w:pPr>
              <w:spacing w:before="120"/>
              <w:ind w:left="120"/>
              <w:rPr>
                <w:color w:val="000000"/>
                <w:sz w:val="22"/>
                <w:szCs w:val="22"/>
              </w:rPr>
            </w:pPr>
          </w:p>
        </w:tc>
        <w:tc>
          <w:tcPr>
            <w:tcW w:w="5471" w:type="dxa"/>
            <w:tcBorders>
              <w:top w:val="single" w:sz="6" w:space="0" w:color="000000"/>
              <w:left w:val="single" w:sz="6" w:space="0" w:color="000000"/>
              <w:bottom w:val="single" w:sz="6" w:space="0" w:color="000000"/>
            </w:tcBorders>
            <w:tcMar>
              <w:top w:w="8" w:type="dxa"/>
              <w:left w:w="108" w:type="dxa"/>
              <w:bottom w:w="8" w:type="dxa"/>
              <w:right w:w="108" w:type="dxa"/>
            </w:tcMar>
            <w:hideMark/>
          </w:tcPr>
          <w:p w14:paraId="329013E7" w14:textId="77777777" w:rsidR="00592C29" w:rsidRPr="00E5633A" w:rsidRDefault="0048296D" w:rsidP="00E5633A">
            <w:pPr>
              <w:spacing w:before="120" w:after="120"/>
              <w:ind w:left="129"/>
              <w:rPr>
                <w:color w:val="000000"/>
                <w:sz w:val="22"/>
                <w:szCs w:val="22"/>
              </w:rPr>
            </w:pPr>
            <w:r w:rsidRPr="00E5633A">
              <w:rPr>
                <w:rFonts w:ascii="Arial" w:eastAsia="Arial" w:hAnsi="Arial" w:cs="Arial"/>
                <w:color w:val="000000"/>
                <w:sz w:val="22"/>
                <w:szCs w:val="22"/>
              </w:rPr>
              <w:t>May need to consider that this is restricted to acquisitions within the territorial scope of the Lloyd’s Brussels/ non-Lloyd’s section, especially if “Automatic”.</w:t>
            </w:r>
          </w:p>
        </w:tc>
      </w:tr>
      <w:tr w:rsidR="00592C29" w14:paraId="6EE4E0B9" w14:textId="77777777" w:rsidTr="00E5633A">
        <w:tc>
          <w:tcPr>
            <w:tcW w:w="2691" w:type="dxa"/>
            <w:tcBorders>
              <w:top w:val="single" w:sz="6" w:space="0" w:color="000000"/>
              <w:bottom w:val="single" w:sz="6" w:space="0" w:color="000000"/>
              <w:right w:val="single" w:sz="6" w:space="0" w:color="000000"/>
            </w:tcBorders>
            <w:tcMar>
              <w:top w:w="8" w:type="dxa"/>
              <w:left w:w="108" w:type="dxa"/>
              <w:bottom w:w="8" w:type="dxa"/>
              <w:right w:w="108" w:type="dxa"/>
            </w:tcMar>
            <w:hideMark/>
          </w:tcPr>
          <w:p w14:paraId="4260CADE" w14:textId="77777777" w:rsidR="00592C29" w:rsidRPr="00E5633A" w:rsidRDefault="0048296D" w:rsidP="00E5633A">
            <w:pPr>
              <w:spacing w:before="120"/>
              <w:ind w:left="120"/>
              <w:rPr>
                <w:color w:val="000000"/>
                <w:sz w:val="22"/>
                <w:szCs w:val="22"/>
              </w:rPr>
            </w:pPr>
            <w:r w:rsidRPr="00E5633A">
              <w:rPr>
                <w:rFonts w:ascii="Arial" w:eastAsia="Arial" w:hAnsi="Arial" w:cs="Arial"/>
                <w:color w:val="000000"/>
                <w:sz w:val="22"/>
                <w:szCs w:val="22"/>
              </w:rPr>
              <w:t>Errors &amp; Omissions Clause</w:t>
            </w:r>
          </w:p>
          <w:p w14:paraId="165386DC" w14:textId="77777777" w:rsidR="00592C29" w:rsidRDefault="00592C29" w:rsidP="00E5633A">
            <w:pPr>
              <w:spacing w:before="120"/>
              <w:ind w:left="120"/>
              <w:rPr>
                <w:color w:val="000000"/>
                <w:sz w:val="22"/>
                <w:szCs w:val="22"/>
              </w:rPr>
            </w:pPr>
          </w:p>
        </w:tc>
        <w:tc>
          <w:tcPr>
            <w:tcW w:w="5471" w:type="dxa"/>
            <w:tcBorders>
              <w:top w:val="single" w:sz="6" w:space="0" w:color="000000"/>
              <w:left w:val="single" w:sz="6" w:space="0" w:color="000000"/>
              <w:bottom w:val="single" w:sz="6" w:space="0" w:color="000000"/>
            </w:tcBorders>
            <w:tcMar>
              <w:top w:w="8" w:type="dxa"/>
              <w:left w:w="108" w:type="dxa"/>
              <w:bottom w:w="8" w:type="dxa"/>
              <w:right w:w="108" w:type="dxa"/>
            </w:tcMar>
            <w:hideMark/>
          </w:tcPr>
          <w:p w14:paraId="1D696217" w14:textId="77777777" w:rsidR="00592C29" w:rsidRPr="00E5633A" w:rsidRDefault="0048296D" w:rsidP="00E5633A">
            <w:pPr>
              <w:spacing w:before="120"/>
              <w:ind w:left="129"/>
              <w:rPr>
                <w:color w:val="000000"/>
                <w:sz w:val="22"/>
                <w:szCs w:val="22"/>
              </w:rPr>
            </w:pPr>
            <w:r w:rsidRPr="00E5633A">
              <w:rPr>
                <w:rFonts w:ascii="Arial" w:eastAsia="Arial" w:hAnsi="Arial" w:cs="Arial"/>
                <w:color w:val="000000"/>
                <w:sz w:val="22"/>
                <w:szCs w:val="22"/>
              </w:rPr>
              <w:t>May need to consider that this is restricted to the territorial scope of the Lloyd’s Brussels/ non-Lloyd’s section/ existing schedule of locations.</w:t>
            </w:r>
          </w:p>
        </w:tc>
      </w:tr>
      <w:tr w:rsidR="00592C29" w14:paraId="76F2CBA4" w14:textId="77777777" w:rsidTr="00E5633A">
        <w:tc>
          <w:tcPr>
            <w:tcW w:w="2691" w:type="dxa"/>
            <w:tcBorders>
              <w:top w:val="single" w:sz="6" w:space="0" w:color="000000"/>
              <w:right w:val="single" w:sz="6" w:space="0" w:color="000000"/>
            </w:tcBorders>
            <w:tcMar>
              <w:top w:w="8" w:type="dxa"/>
              <w:left w:w="108" w:type="dxa"/>
              <w:bottom w:w="8" w:type="dxa"/>
              <w:right w:w="108" w:type="dxa"/>
            </w:tcMar>
            <w:hideMark/>
          </w:tcPr>
          <w:p w14:paraId="5D8E0746" w14:textId="77777777" w:rsidR="00592C29" w:rsidRPr="00E5633A" w:rsidRDefault="0048296D" w:rsidP="00E5633A">
            <w:pPr>
              <w:spacing w:before="120"/>
              <w:ind w:left="120"/>
              <w:rPr>
                <w:color w:val="000000"/>
                <w:sz w:val="22"/>
                <w:szCs w:val="22"/>
              </w:rPr>
            </w:pPr>
            <w:r w:rsidRPr="00E5633A">
              <w:rPr>
                <w:rFonts w:ascii="Arial" w:eastAsia="Arial" w:hAnsi="Arial" w:cs="Arial"/>
                <w:color w:val="000000"/>
                <w:sz w:val="22"/>
                <w:szCs w:val="22"/>
              </w:rPr>
              <w:t>Miscellaneous Unnamed Locations</w:t>
            </w:r>
          </w:p>
        </w:tc>
        <w:tc>
          <w:tcPr>
            <w:tcW w:w="5471" w:type="dxa"/>
            <w:tcBorders>
              <w:top w:val="single" w:sz="6" w:space="0" w:color="000000"/>
              <w:left w:val="single" w:sz="6" w:space="0" w:color="000000"/>
            </w:tcBorders>
            <w:tcMar>
              <w:top w:w="8" w:type="dxa"/>
              <w:left w:w="108" w:type="dxa"/>
              <w:bottom w:w="8" w:type="dxa"/>
              <w:right w:w="108" w:type="dxa"/>
            </w:tcMar>
            <w:hideMark/>
          </w:tcPr>
          <w:p w14:paraId="2CBA0231" w14:textId="77777777" w:rsidR="00592C29" w:rsidRPr="00E5633A" w:rsidRDefault="0048296D" w:rsidP="00E5633A">
            <w:pPr>
              <w:spacing w:before="120" w:after="120"/>
              <w:ind w:left="129"/>
              <w:rPr>
                <w:color w:val="000000"/>
                <w:sz w:val="22"/>
                <w:szCs w:val="22"/>
              </w:rPr>
            </w:pPr>
            <w:r w:rsidRPr="00E5633A">
              <w:rPr>
                <w:rFonts w:ascii="Arial" w:eastAsia="Arial" w:hAnsi="Arial" w:cs="Arial"/>
                <w:color w:val="000000"/>
                <w:sz w:val="22"/>
                <w:szCs w:val="22"/>
              </w:rPr>
              <w:t>May need to consider that this is restricted to the territorial scope of the Lloyd’s Brussels/ non-Lloyd’s section/ existing schedule of locations.</w:t>
            </w:r>
          </w:p>
        </w:tc>
      </w:tr>
    </w:tbl>
    <w:p w14:paraId="5B7B5B79" w14:textId="77777777" w:rsidR="00592C29" w:rsidRPr="00E5633A" w:rsidRDefault="0048296D" w:rsidP="00CB5697">
      <w:pPr>
        <w:numPr>
          <w:ilvl w:val="0"/>
          <w:numId w:val="45"/>
        </w:numPr>
        <w:pBdr>
          <w:left w:val="none" w:sz="0" w:space="7" w:color="auto"/>
        </w:pBdr>
        <w:spacing w:before="120" w:after="120"/>
        <w:jc w:val="both"/>
        <w:rPr>
          <w:color w:val="0070C0"/>
          <w:sz w:val="22"/>
          <w:szCs w:val="22"/>
        </w:rPr>
      </w:pPr>
      <w:r>
        <w:rPr>
          <w:rFonts w:ascii="Arial" w:eastAsia="Arial" w:hAnsi="Arial" w:cs="Arial"/>
          <w:color w:val="000000"/>
          <w:sz w:val="22"/>
          <w:szCs w:val="22"/>
        </w:rPr>
        <w:t>Where there is a requirement under the wording to include a “Loss Payee”, this may need to be different for each section and specified in accordance with the location of risk.</w:t>
      </w:r>
    </w:p>
    <w:p w14:paraId="26710567" w14:textId="77777777" w:rsidR="00592C29" w:rsidRPr="00E5633A" w:rsidRDefault="0048296D" w:rsidP="00CB5697">
      <w:pPr>
        <w:numPr>
          <w:ilvl w:val="0"/>
          <w:numId w:val="45"/>
        </w:numPr>
        <w:pBdr>
          <w:left w:val="none" w:sz="0" w:space="7" w:color="auto"/>
        </w:pBdr>
        <w:spacing w:before="120" w:after="120"/>
        <w:jc w:val="both"/>
        <w:rPr>
          <w:color w:val="0070C0"/>
          <w:sz w:val="22"/>
          <w:szCs w:val="22"/>
        </w:rPr>
      </w:pPr>
      <w:r>
        <w:rPr>
          <w:rFonts w:ascii="Arial" w:eastAsia="Arial" w:hAnsi="Arial" w:cs="Arial"/>
          <w:color w:val="000000"/>
          <w:sz w:val="22"/>
          <w:szCs w:val="22"/>
        </w:rPr>
        <w:t>Where a “Claims Notification Nominee” is required within the wording applied to the MRC, this may need to be a local contact, where required by local regulation dependent on the location of risk. For example, this may need to be an appropriately approved intermediary, for example the broker, or where required by local regulation dependent on the location of the risk, the Lloyd’s Brussels general representative.</w:t>
      </w:r>
    </w:p>
    <w:p w14:paraId="58E90F17" w14:textId="77777777" w:rsidR="00592C29" w:rsidRPr="00E5633A" w:rsidRDefault="0048296D" w:rsidP="00CB5697">
      <w:pPr>
        <w:numPr>
          <w:ilvl w:val="0"/>
          <w:numId w:val="45"/>
        </w:numPr>
        <w:pBdr>
          <w:left w:val="none" w:sz="0" w:space="25" w:color="auto"/>
        </w:pBdr>
        <w:spacing w:before="120" w:after="120"/>
        <w:jc w:val="both"/>
        <w:rPr>
          <w:color w:val="0070C0"/>
          <w:sz w:val="22"/>
          <w:szCs w:val="22"/>
        </w:rPr>
      </w:pPr>
      <w:r>
        <w:rPr>
          <w:rFonts w:ascii="Arial" w:eastAsia="Arial" w:hAnsi="Arial" w:cs="Arial"/>
          <w:color w:val="000000"/>
          <w:sz w:val="22"/>
          <w:szCs w:val="22"/>
        </w:rPr>
        <w:t>Subjectivities – no line conditions permitted, In respect of Lloyd’s Brussels, only the lead outsourced Lloyd’s syndicate may include subjectivities, as all managing agents are underwriting on behalf of Lloyd’s Brussels. The only exceptions are “Line to Stand” or “Annual Resigning”. (Refer C2.7 below).</w:t>
      </w:r>
    </w:p>
    <w:p w14:paraId="7FF4DAEA" w14:textId="77777777" w:rsidR="00592C29" w:rsidRDefault="00592C29">
      <w:pPr>
        <w:spacing w:before="120"/>
        <w:ind w:left="1440" w:hanging="720"/>
        <w:jc w:val="both"/>
        <w:rPr>
          <w:sz w:val="22"/>
          <w:szCs w:val="22"/>
        </w:rPr>
      </w:pPr>
    </w:p>
    <w:p w14:paraId="6F7F42FC" w14:textId="77777777" w:rsidR="00592C29" w:rsidRDefault="0048296D">
      <w:pPr>
        <w:spacing w:before="120"/>
        <w:ind w:left="1440" w:hanging="720"/>
        <w:jc w:val="both"/>
        <w:rPr>
          <w:sz w:val="22"/>
          <w:szCs w:val="22"/>
        </w:rPr>
      </w:pPr>
      <w:r>
        <w:rPr>
          <w:rFonts w:ascii="Arial" w:eastAsia="Arial" w:hAnsi="Arial" w:cs="Arial"/>
          <w:b/>
          <w:bCs/>
          <w:sz w:val="22"/>
          <w:szCs w:val="22"/>
        </w:rPr>
        <w:t>A.9</w:t>
      </w:r>
      <w:r>
        <w:rPr>
          <w:rFonts w:ascii="Arial" w:eastAsia="Arial" w:hAnsi="Arial" w:cs="Arial"/>
          <w:b/>
          <w:bCs/>
          <w:sz w:val="22"/>
          <w:szCs w:val="22"/>
        </w:rPr>
        <w:tab/>
        <w:t xml:space="preserve">Notices – Conditional, required where applicable:  </w:t>
      </w:r>
      <w:r>
        <w:rPr>
          <w:rFonts w:ascii="Arial" w:eastAsia="Arial" w:hAnsi="Arial" w:cs="Arial"/>
          <w:b/>
          <w:bCs/>
          <w:sz w:val="22"/>
          <w:szCs w:val="22"/>
        </w:rPr>
        <w:tab/>
        <w:t xml:space="preserve"> </w:t>
      </w:r>
    </w:p>
    <w:p w14:paraId="0039A0AE" w14:textId="77777777" w:rsidR="00592C29" w:rsidRPr="00E5633A" w:rsidRDefault="0048296D">
      <w:pPr>
        <w:numPr>
          <w:ilvl w:val="0"/>
          <w:numId w:val="24"/>
        </w:numPr>
        <w:pBdr>
          <w:left w:val="none" w:sz="0" w:space="7" w:color="auto"/>
        </w:pBdr>
        <w:spacing w:before="120"/>
        <w:ind w:left="1440" w:hanging="430"/>
        <w:jc w:val="both"/>
        <w:rPr>
          <w:color w:val="0070C0"/>
          <w:sz w:val="22"/>
          <w:szCs w:val="22"/>
        </w:rPr>
      </w:pPr>
      <w:r>
        <w:rPr>
          <w:rFonts w:ascii="Arial" w:eastAsia="Arial" w:hAnsi="Arial" w:cs="Arial"/>
          <w:color w:val="000000"/>
          <w:sz w:val="22"/>
          <w:szCs w:val="22"/>
        </w:rPr>
        <w:t xml:space="preserve">There are numerous pre-contractual/contractual Notices (e.g. complaints, data protection notices </w:t>
      </w:r>
      <w:proofErr w:type="spellStart"/>
      <w:r>
        <w:rPr>
          <w:rFonts w:ascii="Arial" w:eastAsia="Arial" w:hAnsi="Arial" w:cs="Arial"/>
          <w:color w:val="000000"/>
          <w:sz w:val="22"/>
          <w:szCs w:val="22"/>
        </w:rPr>
        <w:t>etc</w:t>
      </w:r>
      <w:proofErr w:type="spellEnd"/>
      <w:r>
        <w:rPr>
          <w:rFonts w:ascii="Arial" w:eastAsia="Arial" w:hAnsi="Arial" w:cs="Arial"/>
          <w:color w:val="000000"/>
          <w:sz w:val="22"/>
          <w:szCs w:val="22"/>
        </w:rPr>
        <w:t xml:space="preserve">), that are required in each EEA territory. Please refer to Crystal (registration via </w:t>
      </w:r>
      <w:hyperlink r:id="rId20" w:history="1">
        <w:r>
          <w:rPr>
            <w:rFonts w:ascii="Arial" w:eastAsia="Arial" w:hAnsi="Arial" w:cs="Arial"/>
            <w:color w:val="0000FF"/>
            <w:sz w:val="22"/>
            <w:szCs w:val="22"/>
            <w:u w:val="single" w:color="0000FF"/>
          </w:rPr>
          <w:t>www.lloyds.com</w:t>
        </w:r>
      </w:hyperlink>
      <w:r>
        <w:rPr>
          <w:rFonts w:ascii="Arial" w:eastAsia="Arial" w:hAnsi="Arial" w:cs="Arial"/>
          <w:color w:val="000000"/>
          <w:sz w:val="22"/>
          <w:szCs w:val="22"/>
        </w:rPr>
        <w:t>) for further guidance.</w:t>
      </w:r>
    </w:p>
    <w:p w14:paraId="3DD5F2AD" w14:textId="77777777" w:rsidR="00592C29" w:rsidRPr="00E5633A" w:rsidRDefault="0048296D">
      <w:pPr>
        <w:numPr>
          <w:ilvl w:val="0"/>
          <w:numId w:val="24"/>
        </w:numPr>
        <w:pBdr>
          <w:left w:val="none" w:sz="0" w:space="7" w:color="auto"/>
        </w:pBdr>
        <w:spacing w:before="120"/>
        <w:ind w:left="1440" w:hanging="430"/>
        <w:jc w:val="both"/>
        <w:rPr>
          <w:color w:val="0070C0"/>
          <w:sz w:val="22"/>
          <w:szCs w:val="22"/>
        </w:rPr>
      </w:pPr>
      <w:r>
        <w:rPr>
          <w:rFonts w:ascii="Arial" w:eastAsia="Arial" w:hAnsi="Arial" w:cs="Arial"/>
          <w:color w:val="000000"/>
          <w:sz w:val="22"/>
          <w:szCs w:val="22"/>
        </w:rPr>
        <w:t xml:space="preserve">Lloyd’s, in conjunction with the LMA, has drafted a number of model clauses for use on Lloyd’s Brussels placements – all of which are available within the “Lloyd’s Brussels” Section of the Lloyd’s Wordings Repository (LWR) at </w:t>
      </w:r>
      <w:hyperlink r:id="rId21" w:history="1">
        <w:r>
          <w:rPr>
            <w:rFonts w:ascii="Arial" w:eastAsia="Arial" w:hAnsi="Arial" w:cs="Arial"/>
            <w:color w:val="0000FF"/>
            <w:sz w:val="22"/>
            <w:szCs w:val="22"/>
            <w:u w:val="single" w:color="0000FF"/>
          </w:rPr>
          <w:t>www.lloydswordings.com</w:t>
        </w:r>
      </w:hyperlink>
      <w:r>
        <w:rPr>
          <w:rFonts w:ascii="Arial" w:eastAsia="Arial" w:hAnsi="Arial" w:cs="Arial"/>
          <w:color w:val="000000"/>
          <w:sz w:val="22"/>
          <w:szCs w:val="22"/>
        </w:rPr>
        <w:t xml:space="preserve"> ). All clauses that are specifically for use by Lloyd’s Brussels have been allocated a “LBS” prefixed reference number.</w:t>
      </w:r>
    </w:p>
    <w:p w14:paraId="53CBAAEB" w14:textId="77777777" w:rsidR="00592C29" w:rsidRDefault="00592C29">
      <w:pPr>
        <w:spacing w:before="120"/>
        <w:ind w:left="1440" w:hanging="720"/>
        <w:jc w:val="both"/>
        <w:rPr>
          <w:sz w:val="22"/>
          <w:szCs w:val="22"/>
        </w:rPr>
      </w:pPr>
    </w:p>
    <w:p w14:paraId="4768D9F4" w14:textId="77777777" w:rsidR="00592C29" w:rsidRPr="00F54CA2" w:rsidRDefault="0048296D">
      <w:pPr>
        <w:spacing w:before="120"/>
        <w:ind w:left="1440" w:hanging="720"/>
        <w:jc w:val="both"/>
        <w:rPr>
          <w:sz w:val="22"/>
          <w:szCs w:val="22"/>
        </w:rPr>
      </w:pPr>
      <w:r>
        <w:rPr>
          <w:rFonts w:ascii="Arial" w:eastAsia="Arial" w:hAnsi="Arial" w:cs="Arial"/>
          <w:b/>
          <w:bCs/>
          <w:sz w:val="22"/>
          <w:szCs w:val="22"/>
        </w:rPr>
        <w:t>A.10</w:t>
      </w:r>
      <w:r>
        <w:rPr>
          <w:rFonts w:ascii="Arial" w:eastAsia="Arial" w:hAnsi="Arial" w:cs="Arial"/>
          <w:b/>
          <w:bCs/>
          <w:sz w:val="22"/>
          <w:szCs w:val="22"/>
        </w:rPr>
        <w:tab/>
        <w:t xml:space="preserve">Choice of Law and Jurisdiction - Mandatory:  </w:t>
      </w:r>
      <w:r>
        <w:rPr>
          <w:rFonts w:ascii="Arial" w:eastAsia="Arial" w:hAnsi="Arial" w:cs="Arial"/>
          <w:b/>
          <w:bCs/>
          <w:sz w:val="22"/>
          <w:szCs w:val="22"/>
        </w:rPr>
        <w:tab/>
      </w:r>
      <w:r>
        <w:rPr>
          <w:rFonts w:ascii="Arial" w:eastAsia="Arial" w:hAnsi="Arial" w:cs="Arial"/>
          <w:sz w:val="22"/>
          <w:szCs w:val="22"/>
        </w:rPr>
        <w:t xml:space="preserve"> </w:t>
      </w:r>
    </w:p>
    <w:p w14:paraId="1C7E44A7" w14:textId="77777777" w:rsidR="00592C29" w:rsidRPr="008F13BF" w:rsidRDefault="0048296D">
      <w:pPr>
        <w:numPr>
          <w:ilvl w:val="0"/>
          <w:numId w:val="25"/>
        </w:numPr>
        <w:pBdr>
          <w:left w:val="none" w:sz="0" w:space="7" w:color="auto"/>
        </w:pBdr>
        <w:spacing w:before="120"/>
        <w:ind w:left="1440" w:hanging="430"/>
        <w:jc w:val="both"/>
        <w:rPr>
          <w:color w:val="0070C0"/>
          <w:sz w:val="22"/>
          <w:szCs w:val="22"/>
        </w:rPr>
      </w:pPr>
      <w:r w:rsidRPr="00F54CA2">
        <w:rPr>
          <w:rFonts w:ascii="Arial" w:eastAsia="Arial" w:hAnsi="Arial" w:cs="Arial"/>
          <w:sz w:val="22"/>
          <w:szCs w:val="22"/>
        </w:rPr>
        <w:t xml:space="preserve">For Lloyd’s Brussels risks, the choice of law and jurisdiction should be one that is permitted under local law. Please refer to Crystal (registration via </w:t>
      </w:r>
      <w:hyperlink r:id="rId22" w:history="1">
        <w:r w:rsidRPr="008F13BF">
          <w:rPr>
            <w:rFonts w:ascii="Arial" w:eastAsia="Arial" w:hAnsi="Arial" w:cs="Arial"/>
            <w:color w:val="0000FF"/>
            <w:sz w:val="22"/>
            <w:szCs w:val="22"/>
            <w:u w:val="single" w:color="0000FF"/>
          </w:rPr>
          <w:t>www.lloyds.com</w:t>
        </w:r>
      </w:hyperlink>
      <w:r w:rsidRPr="00F54CA2">
        <w:rPr>
          <w:rFonts w:ascii="Arial" w:eastAsia="Arial" w:hAnsi="Arial" w:cs="Arial"/>
          <w:sz w:val="22"/>
          <w:szCs w:val="22"/>
        </w:rPr>
        <w:t xml:space="preserve">) for details. </w:t>
      </w:r>
    </w:p>
    <w:p w14:paraId="331C7A6F" w14:textId="4AF2EF07" w:rsidR="00592C29" w:rsidRPr="008F13BF" w:rsidRDefault="0048296D">
      <w:pPr>
        <w:numPr>
          <w:ilvl w:val="0"/>
          <w:numId w:val="25"/>
        </w:numPr>
        <w:pBdr>
          <w:left w:val="none" w:sz="0" w:space="7" w:color="auto"/>
        </w:pBdr>
        <w:spacing w:before="120"/>
        <w:ind w:left="1440" w:hanging="430"/>
        <w:jc w:val="both"/>
        <w:rPr>
          <w:color w:val="0070C0"/>
          <w:sz w:val="22"/>
          <w:szCs w:val="22"/>
        </w:rPr>
      </w:pPr>
      <w:r w:rsidRPr="00F54CA2">
        <w:rPr>
          <w:rFonts w:ascii="Arial" w:eastAsia="Arial" w:hAnsi="Arial" w:cs="Arial"/>
          <w:sz w:val="22"/>
          <w:szCs w:val="22"/>
        </w:rPr>
        <w:t xml:space="preserve">Lloyd’s, in conjunction with the LMA, has drafted model Service of Suit and Jurisdiction clauses for use on all Lloyd’s Brussels placements (LBS0006A/LBS0081), which are available within the “Lloyd’s Brussels” Section of the Lloyd’s Wordings Repository (LWR) at </w:t>
      </w:r>
      <w:hyperlink r:id="rId23" w:history="1">
        <w:r w:rsidRPr="008F13BF">
          <w:rPr>
            <w:rFonts w:ascii="Arial" w:eastAsia="Arial" w:hAnsi="Arial" w:cs="Arial"/>
            <w:color w:val="0000FF"/>
            <w:sz w:val="22"/>
            <w:szCs w:val="22"/>
            <w:u w:val="single" w:color="0000FF"/>
          </w:rPr>
          <w:t>www.lloydswordings.com</w:t>
        </w:r>
      </w:hyperlink>
      <w:r w:rsidRPr="00F54CA2">
        <w:rPr>
          <w:rFonts w:ascii="Arial" w:eastAsia="Arial" w:hAnsi="Arial" w:cs="Arial"/>
          <w:sz w:val="22"/>
          <w:szCs w:val="22"/>
        </w:rPr>
        <w:t xml:space="preserve">. </w:t>
      </w:r>
    </w:p>
    <w:p w14:paraId="6691BDE7" w14:textId="77777777" w:rsidR="00592C29" w:rsidRPr="00F54CA2" w:rsidRDefault="0048296D">
      <w:pPr>
        <w:numPr>
          <w:ilvl w:val="0"/>
          <w:numId w:val="25"/>
        </w:numPr>
        <w:pBdr>
          <w:left w:val="none" w:sz="0" w:space="7" w:color="auto"/>
        </w:pBdr>
        <w:spacing w:before="120"/>
        <w:ind w:left="1440" w:hanging="430"/>
        <w:jc w:val="both"/>
        <w:rPr>
          <w:sz w:val="22"/>
          <w:szCs w:val="22"/>
        </w:rPr>
      </w:pPr>
      <w:r w:rsidRPr="00F54CA2">
        <w:rPr>
          <w:rFonts w:ascii="Arial" w:eastAsia="Arial" w:hAnsi="Arial" w:cs="Arial"/>
          <w:sz w:val="22"/>
          <w:szCs w:val="22"/>
        </w:rPr>
        <w:t>The important thing for underwriters to keep in mind is that they will be underwriting the EEA risks on behalf of Brussels (using their Lloyd’s Brussels stamp) and the non-EEA risks using their syndicate stamp (for their own account).</w:t>
      </w:r>
    </w:p>
    <w:p w14:paraId="002F2EFF" w14:textId="77777777" w:rsidR="00592C29" w:rsidRPr="008F13BF" w:rsidRDefault="0048296D">
      <w:pPr>
        <w:numPr>
          <w:ilvl w:val="0"/>
          <w:numId w:val="25"/>
        </w:numPr>
        <w:pBdr>
          <w:left w:val="none" w:sz="0" w:space="7" w:color="auto"/>
        </w:pBdr>
        <w:spacing w:before="120"/>
        <w:ind w:left="1440" w:hanging="430"/>
        <w:jc w:val="both"/>
        <w:rPr>
          <w:color w:val="0070C0"/>
          <w:sz w:val="22"/>
          <w:szCs w:val="22"/>
        </w:rPr>
      </w:pPr>
      <w:r w:rsidRPr="00F54CA2">
        <w:rPr>
          <w:rFonts w:ascii="Arial" w:eastAsia="Arial" w:hAnsi="Arial" w:cs="Arial"/>
          <w:sz w:val="22"/>
          <w:szCs w:val="22"/>
        </w:rPr>
        <w:t xml:space="preserve">Therefore, whilst they can be placed on one/the same MRC, the security (i.e. contracting party) is different for EEA/non-EEA risks, so they technically remain two separate contracts (hence the need for </w:t>
      </w:r>
      <w:proofErr w:type="spellStart"/>
      <w:r w:rsidRPr="00F54CA2">
        <w:rPr>
          <w:rFonts w:ascii="Arial" w:eastAsia="Arial" w:hAnsi="Arial" w:cs="Arial"/>
          <w:sz w:val="22"/>
          <w:szCs w:val="22"/>
        </w:rPr>
        <w:t>sectionalised</w:t>
      </w:r>
      <w:proofErr w:type="spellEnd"/>
      <w:r w:rsidRPr="00F54CA2">
        <w:rPr>
          <w:rFonts w:ascii="Arial" w:eastAsia="Arial" w:hAnsi="Arial" w:cs="Arial"/>
          <w:sz w:val="22"/>
          <w:szCs w:val="22"/>
        </w:rPr>
        <w:t xml:space="preserve"> MRC). </w:t>
      </w:r>
    </w:p>
    <w:p w14:paraId="2D2AAB94" w14:textId="77777777" w:rsidR="00592C29" w:rsidRPr="008F13BF" w:rsidRDefault="0048296D">
      <w:pPr>
        <w:numPr>
          <w:ilvl w:val="0"/>
          <w:numId w:val="25"/>
        </w:numPr>
        <w:pBdr>
          <w:left w:val="none" w:sz="0" w:space="7" w:color="auto"/>
        </w:pBdr>
        <w:spacing w:before="120"/>
        <w:ind w:left="1440" w:hanging="430"/>
        <w:jc w:val="both"/>
        <w:rPr>
          <w:color w:val="0070C0"/>
          <w:sz w:val="22"/>
          <w:szCs w:val="22"/>
        </w:rPr>
      </w:pPr>
      <w:r w:rsidRPr="00F54CA2">
        <w:rPr>
          <w:rFonts w:ascii="Arial" w:eastAsia="Arial" w:hAnsi="Arial" w:cs="Arial"/>
          <w:sz w:val="22"/>
          <w:szCs w:val="22"/>
        </w:rPr>
        <w:t>UK risks can, of course, be included in the EEA “section” (underwritten by Lloyd’s Brussels) or within the non-EEA “section” underwritten by the syndicate, depending on the individual circumstances.</w:t>
      </w:r>
    </w:p>
    <w:p w14:paraId="5905166C" w14:textId="77777777" w:rsidR="00592C29" w:rsidRPr="008F13BF" w:rsidRDefault="0048296D">
      <w:pPr>
        <w:numPr>
          <w:ilvl w:val="0"/>
          <w:numId w:val="25"/>
        </w:numPr>
        <w:pBdr>
          <w:left w:val="none" w:sz="0" w:space="7" w:color="auto"/>
        </w:pBdr>
        <w:spacing w:before="120"/>
        <w:ind w:left="1440" w:hanging="430"/>
        <w:jc w:val="both"/>
        <w:rPr>
          <w:color w:val="0070C0"/>
          <w:sz w:val="22"/>
          <w:szCs w:val="22"/>
        </w:rPr>
      </w:pPr>
      <w:r w:rsidRPr="00F54CA2">
        <w:rPr>
          <w:rFonts w:ascii="Arial" w:eastAsia="Arial" w:hAnsi="Arial" w:cs="Arial"/>
          <w:sz w:val="22"/>
          <w:szCs w:val="22"/>
        </w:rPr>
        <w:t>It is possible for the same terms and conditions, including applicable “Law &amp; Jurisdiction”, to be applied to both “sections”.</w:t>
      </w:r>
    </w:p>
    <w:p w14:paraId="333A044D" w14:textId="77777777" w:rsidR="00592C29" w:rsidRPr="008F13BF" w:rsidRDefault="0048296D">
      <w:pPr>
        <w:numPr>
          <w:ilvl w:val="0"/>
          <w:numId w:val="25"/>
        </w:numPr>
        <w:pBdr>
          <w:left w:val="none" w:sz="0" w:space="7" w:color="auto"/>
        </w:pBdr>
        <w:spacing w:before="120"/>
        <w:ind w:left="1440" w:hanging="430"/>
        <w:jc w:val="both"/>
        <w:rPr>
          <w:color w:val="0070C0"/>
          <w:sz w:val="22"/>
          <w:szCs w:val="22"/>
        </w:rPr>
      </w:pPr>
      <w:r w:rsidRPr="00F54CA2">
        <w:rPr>
          <w:rFonts w:ascii="Arial" w:eastAsia="Arial" w:hAnsi="Arial" w:cs="Arial"/>
          <w:sz w:val="22"/>
          <w:szCs w:val="22"/>
        </w:rPr>
        <w:t>It may, therefore, be permissible to have a default of ‘English’ Law and Jurisdiction across both section(s), it really depends on the territory (and the class of business) concerned as to what is permissible under local law in the territory being underwritten – underwriters should refer to Crystal for specific guidance.</w:t>
      </w:r>
    </w:p>
    <w:p w14:paraId="53C3DA5C" w14:textId="038835C3" w:rsidR="00592C29" w:rsidRPr="008F13BF" w:rsidRDefault="0048296D">
      <w:pPr>
        <w:numPr>
          <w:ilvl w:val="0"/>
          <w:numId w:val="25"/>
        </w:numPr>
        <w:pBdr>
          <w:left w:val="none" w:sz="0" w:space="7" w:color="auto"/>
        </w:pBdr>
        <w:spacing w:before="120"/>
        <w:ind w:left="1440" w:hanging="430"/>
        <w:jc w:val="both"/>
        <w:rPr>
          <w:color w:val="0070C0"/>
          <w:sz w:val="22"/>
          <w:szCs w:val="22"/>
        </w:rPr>
      </w:pPr>
      <w:r w:rsidRPr="00F54CA2">
        <w:rPr>
          <w:rFonts w:ascii="Arial" w:eastAsia="Arial" w:hAnsi="Arial" w:cs="Arial"/>
          <w:sz w:val="22"/>
          <w:szCs w:val="22"/>
        </w:rPr>
        <w:t>The Service of Suit and Jurisdiction Clauses produced for use on all Lloyd’s Brussels risks (LBS0006A/LBS0081) leave “blank” {response} fields for completion, so Lloyd’s Brussels can and will accept L&amp;J other than “Belgian”, if it is required and permissible.</w:t>
      </w:r>
    </w:p>
    <w:p w14:paraId="1B9CD3D7" w14:textId="77777777" w:rsidR="00592C29" w:rsidRPr="008F13BF" w:rsidRDefault="0048296D">
      <w:pPr>
        <w:numPr>
          <w:ilvl w:val="0"/>
          <w:numId w:val="25"/>
        </w:numPr>
        <w:pBdr>
          <w:left w:val="none" w:sz="0" w:space="7" w:color="auto"/>
        </w:pBdr>
        <w:spacing w:before="120"/>
        <w:ind w:left="1440" w:hanging="430"/>
        <w:jc w:val="both"/>
        <w:rPr>
          <w:color w:val="0070C0"/>
          <w:sz w:val="22"/>
          <w:szCs w:val="22"/>
        </w:rPr>
      </w:pPr>
      <w:r w:rsidRPr="00F54CA2">
        <w:rPr>
          <w:rFonts w:ascii="Arial" w:eastAsia="Arial" w:hAnsi="Arial" w:cs="Arial"/>
          <w:sz w:val="22"/>
          <w:szCs w:val="22"/>
        </w:rPr>
        <w:t xml:space="preserve">In December 2019, Lloyd’s Insurance Company S.A. produced two new Service of Suit clauses and Jurisdiction Clauses for Lloyd’s Brussels, to give the market greater clarity as to the use of the clauses in relation to other dispute resolution arrangements in an insurance contract.  </w:t>
      </w:r>
    </w:p>
    <w:p w14:paraId="6A779F77" w14:textId="77777777" w:rsidR="00592C29" w:rsidRPr="00F54CA2" w:rsidRDefault="0048296D">
      <w:pPr>
        <w:numPr>
          <w:ilvl w:val="1"/>
          <w:numId w:val="25"/>
        </w:numPr>
        <w:pBdr>
          <w:left w:val="none" w:sz="0" w:space="6" w:color="auto"/>
        </w:pBdr>
        <w:spacing w:before="120"/>
        <w:ind w:left="2160"/>
        <w:jc w:val="both"/>
        <w:rPr>
          <w:sz w:val="22"/>
          <w:szCs w:val="22"/>
        </w:rPr>
      </w:pPr>
      <w:r w:rsidRPr="00F54CA2">
        <w:rPr>
          <w:rFonts w:ascii="Arial" w:eastAsia="Arial" w:hAnsi="Arial" w:cs="Arial"/>
          <w:b/>
          <w:bCs/>
          <w:sz w:val="22"/>
          <w:szCs w:val="22"/>
        </w:rPr>
        <w:t>LBS006A</w:t>
      </w:r>
      <w:r w:rsidRPr="00F54CA2">
        <w:rPr>
          <w:rFonts w:ascii="Arial" w:eastAsia="Arial" w:hAnsi="Arial" w:cs="Arial"/>
          <w:sz w:val="22"/>
          <w:szCs w:val="22"/>
        </w:rPr>
        <w:t xml:space="preserve"> - This clause replaced LBS0006.  The use of LBS0006A is strongly recommended where a managing agent has appointed a nominee (which may be a law firm, insurance intermediary or a third-party administrator) to receive service of suit.  </w:t>
      </w:r>
    </w:p>
    <w:p w14:paraId="0A2D998F" w14:textId="77777777" w:rsidR="00592C29" w:rsidRPr="00F54CA2" w:rsidRDefault="0048296D">
      <w:pPr>
        <w:numPr>
          <w:ilvl w:val="1"/>
          <w:numId w:val="25"/>
        </w:numPr>
        <w:pBdr>
          <w:left w:val="none" w:sz="0" w:space="6" w:color="auto"/>
        </w:pBdr>
        <w:spacing w:before="120"/>
        <w:ind w:left="2160"/>
        <w:jc w:val="both"/>
        <w:rPr>
          <w:sz w:val="22"/>
          <w:szCs w:val="22"/>
        </w:rPr>
      </w:pPr>
      <w:r w:rsidRPr="00F54CA2">
        <w:rPr>
          <w:rFonts w:ascii="Arial" w:eastAsia="Arial" w:hAnsi="Arial" w:cs="Arial"/>
          <w:b/>
          <w:bCs/>
          <w:sz w:val="22"/>
          <w:szCs w:val="22"/>
        </w:rPr>
        <w:t>LBS0081</w:t>
      </w:r>
      <w:r w:rsidRPr="00F54CA2">
        <w:rPr>
          <w:rFonts w:ascii="Arial" w:eastAsia="Arial" w:hAnsi="Arial" w:cs="Arial"/>
          <w:sz w:val="22"/>
          <w:szCs w:val="22"/>
        </w:rPr>
        <w:t xml:space="preserve"> - Where Lloyd’s Insurance Company S.A. holds a freedom of establishment </w:t>
      </w:r>
      <w:proofErr w:type="spellStart"/>
      <w:r w:rsidRPr="00F54CA2">
        <w:rPr>
          <w:rFonts w:ascii="Arial" w:eastAsia="Arial" w:hAnsi="Arial" w:cs="Arial"/>
          <w:sz w:val="22"/>
          <w:szCs w:val="22"/>
        </w:rPr>
        <w:t>licence</w:t>
      </w:r>
      <w:proofErr w:type="spellEnd"/>
      <w:r w:rsidRPr="00F54CA2">
        <w:rPr>
          <w:rFonts w:ascii="Arial" w:eastAsia="Arial" w:hAnsi="Arial" w:cs="Arial"/>
          <w:sz w:val="22"/>
          <w:szCs w:val="22"/>
        </w:rPr>
        <w:t xml:space="preserve"> in a country and no nominee is chosen by the managing agent, proceedings are to be served to Lloyd’s Insurance Company S.A.’s General Representative for that specific territory. Where Lloyd’s Insurance Company S.A. does not hold a freedom of establishment </w:t>
      </w:r>
      <w:proofErr w:type="spellStart"/>
      <w:r w:rsidRPr="00F54CA2">
        <w:rPr>
          <w:rFonts w:ascii="Arial" w:eastAsia="Arial" w:hAnsi="Arial" w:cs="Arial"/>
          <w:sz w:val="22"/>
          <w:szCs w:val="22"/>
        </w:rPr>
        <w:t>licence</w:t>
      </w:r>
      <w:proofErr w:type="spellEnd"/>
      <w:r w:rsidRPr="00F54CA2">
        <w:rPr>
          <w:rFonts w:ascii="Arial" w:eastAsia="Arial" w:hAnsi="Arial" w:cs="Arial"/>
          <w:sz w:val="22"/>
          <w:szCs w:val="22"/>
        </w:rPr>
        <w:t xml:space="preserve"> in a country and no nominee is chosen by the managing agent, proceedings are to be served to Lloyd’s Insurance Company S.A.’s Head Office. The use of LBS0081 is strongly recommended where the managing agent has not appointed a nominee.</w:t>
      </w:r>
    </w:p>
    <w:p w14:paraId="1268CA0F" w14:textId="0B15F78E" w:rsidR="00592C29" w:rsidRPr="008F13BF" w:rsidRDefault="0048296D">
      <w:pPr>
        <w:numPr>
          <w:ilvl w:val="0"/>
          <w:numId w:val="25"/>
        </w:numPr>
        <w:pBdr>
          <w:left w:val="none" w:sz="0" w:space="7" w:color="auto"/>
        </w:pBdr>
        <w:spacing w:before="120"/>
        <w:ind w:left="1440" w:hanging="430"/>
        <w:jc w:val="both"/>
        <w:rPr>
          <w:color w:val="0070C0"/>
          <w:sz w:val="22"/>
          <w:szCs w:val="22"/>
        </w:rPr>
      </w:pPr>
      <w:r w:rsidRPr="00F54CA2">
        <w:rPr>
          <w:rFonts w:ascii="Arial" w:eastAsia="Arial" w:hAnsi="Arial" w:cs="Arial"/>
          <w:sz w:val="22"/>
          <w:szCs w:val="22"/>
        </w:rPr>
        <w:t xml:space="preserve">It remains mandatory for all Lloyd’s Insurance Company S.A. contracts to contain an appropriate service of suit clause in order to ensure that any legal action is </w:t>
      </w:r>
      <w:r w:rsidRPr="00F54CA2">
        <w:rPr>
          <w:rFonts w:ascii="Arial" w:eastAsia="Arial" w:hAnsi="Arial" w:cs="Arial"/>
          <w:sz w:val="22"/>
          <w:szCs w:val="22"/>
        </w:rPr>
        <w:lastRenderedPageBreak/>
        <w:t xml:space="preserve">properly served. For more detail regarding service of suit requirements within any EEA territory, reference should be made to the relevant country page on Crystal - </w:t>
      </w:r>
      <w:hyperlink r:id="rId24" w:history="1">
        <w:r w:rsidRPr="00C27DE8">
          <w:rPr>
            <w:rStyle w:val="Hyperlink"/>
            <w:rFonts w:ascii="Arial" w:eastAsia="Arial" w:hAnsi="Arial" w:cs="Arial"/>
            <w:color w:val="0000FF"/>
            <w:sz w:val="22"/>
            <w:szCs w:val="22"/>
          </w:rPr>
          <w:t>www.lloyds.com/tools-and-systems/crystal</w:t>
        </w:r>
      </w:hyperlink>
      <w:r w:rsidRPr="00F54CA2">
        <w:rPr>
          <w:rFonts w:ascii="Arial" w:eastAsia="Arial" w:hAnsi="Arial" w:cs="Arial"/>
          <w:sz w:val="22"/>
          <w:szCs w:val="22"/>
        </w:rPr>
        <w:t>.</w:t>
      </w:r>
    </w:p>
    <w:p w14:paraId="311DA0D0" w14:textId="40704A4E" w:rsidR="00592C29" w:rsidRPr="008F13BF" w:rsidRDefault="0048296D">
      <w:pPr>
        <w:numPr>
          <w:ilvl w:val="0"/>
          <w:numId w:val="25"/>
        </w:numPr>
        <w:pBdr>
          <w:left w:val="none" w:sz="0" w:space="7" w:color="auto"/>
        </w:pBdr>
        <w:spacing w:before="120"/>
        <w:ind w:left="1440" w:hanging="430"/>
        <w:jc w:val="both"/>
        <w:rPr>
          <w:color w:val="0070C0"/>
          <w:sz w:val="22"/>
          <w:szCs w:val="22"/>
        </w:rPr>
      </w:pPr>
      <w:r w:rsidRPr="00F54CA2">
        <w:rPr>
          <w:rFonts w:ascii="Arial" w:eastAsia="Arial" w:hAnsi="Arial" w:cs="Arial"/>
          <w:sz w:val="22"/>
          <w:szCs w:val="22"/>
        </w:rPr>
        <w:t xml:space="preserve">Both clauses are available on the </w:t>
      </w:r>
      <w:hyperlink r:id="rId25" w:history="1">
        <w:r w:rsidRPr="008F13BF">
          <w:rPr>
            <w:rStyle w:val="Hyperlink"/>
            <w:rFonts w:ascii="Arial" w:eastAsia="Arial" w:hAnsi="Arial" w:cs="Arial"/>
            <w:sz w:val="22"/>
            <w:szCs w:val="22"/>
          </w:rPr>
          <w:t>Lloyd’s Wordings Repository</w:t>
        </w:r>
      </w:hyperlink>
      <w:r w:rsidRPr="00F54CA2">
        <w:rPr>
          <w:rFonts w:ascii="Arial" w:eastAsia="Arial" w:hAnsi="Arial" w:cs="Arial"/>
          <w:sz w:val="22"/>
          <w:szCs w:val="22"/>
        </w:rPr>
        <w:t>.</w:t>
      </w:r>
    </w:p>
    <w:p w14:paraId="4DF3835D" w14:textId="77777777" w:rsidR="00592C29" w:rsidRDefault="00592C29">
      <w:pPr>
        <w:spacing w:before="120"/>
        <w:ind w:left="1440" w:hanging="720"/>
        <w:jc w:val="both"/>
        <w:rPr>
          <w:sz w:val="22"/>
          <w:szCs w:val="22"/>
        </w:rPr>
      </w:pPr>
    </w:p>
    <w:p w14:paraId="12035D68" w14:textId="77777777" w:rsidR="00592C29" w:rsidRDefault="0048296D">
      <w:pPr>
        <w:spacing w:before="120"/>
        <w:ind w:left="1440" w:hanging="720"/>
        <w:jc w:val="both"/>
        <w:rPr>
          <w:sz w:val="22"/>
          <w:szCs w:val="22"/>
        </w:rPr>
      </w:pPr>
      <w:r>
        <w:rPr>
          <w:rFonts w:ascii="Arial" w:eastAsia="Arial" w:hAnsi="Arial" w:cs="Arial"/>
          <w:b/>
          <w:bCs/>
          <w:sz w:val="22"/>
          <w:szCs w:val="22"/>
        </w:rPr>
        <w:t>A.11</w:t>
      </w:r>
      <w:r>
        <w:rPr>
          <w:rFonts w:ascii="Arial" w:eastAsia="Arial" w:hAnsi="Arial" w:cs="Arial"/>
          <w:b/>
          <w:bCs/>
          <w:sz w:val="22"/>
          <w:szCs w:val="22"/>
        </w:rPr>
        <w:tab/>
        <w:t xml:space="preserve">Premium - Mandatory: Name variations exist. </w:t>
      </w:r>
      <w:r>
        <w:rPr>
          <w:rFonts w:ascii="Arial" w:eastAsia="Arial" w:hAnsi="Arial" w:cs="Arial"/>
          <w:b/>
          <w:bCs/>
          <w:sz w:val="22"/>
          <w:szCs w:val="22"/>
        </w:rPr>
        <w:tab/>
        <w:t xml:space="preserve"> </w:t>
      </w:r>
    </w:p>
    <w:p w14:paraId="2623115C" w14:textId="142374BB" w:rsidR="00592C29" w:rsidRPr="00541AF3" w:rsidRDefault="0048296D">
      <w:pPr>
        <w:numPr>
          <w:ilvl w:val="0"/>
          <w:numId w:val="26"/>
        </w:numPr>
        <w:pBdr>
          <w:left w:val="none" w:sz="0" w:space="7" w:color="auto"/>
        </w:pBdr>
        <w:spacing w:before="120"/>
        <w:ind w:left="1440" w:hanging="430"/>
        <w:jc w:val="both"/>
        <w:rPr>
          <w:color w:val="0070C0"/>
          <w:sz w:val="22"/>
          <w:szCs w:val="22"/>
        </w:rPr>
      </w:pPr>
      <w:r>
        <w:rPr>
          <w:rFonts w:ascii="Arial" w:eastAsia="Arial" w:hAnsi="Arial" w:cs="Arial"/>
          <w:color w:val="000000"/>
          <w:sz w:val="22"/>
          <w:szCs w:val="22"/>
        </w:rPr>
        <w:t xml:space="preserve">All risks incepting from 01 January </w:t>
      </w:r>
      <w:r w:rsidRPr="00541AF3">
        <w:rPr>
          <w:rFonts w:ascii="Arial" w:eastAsia="Arial" w:hAnsi="Arial" w:cs="Arial"/>
          <w:sz w:val="22"/>
          <w:szCs w:val="22"/>
        </w:rPr>
        <w:t>2019 onwards,</w:t>
      </w:r>
      <w:r>
        <w:rPr>
          <w:rFonts w:ascii="Arial" w:eastAsia="Arial" w:hAnsi="Arial" w:cs="Arial"/>
          <w:color w:val="000000"/>
          <w:sz w:val="22"/>
          <w:szCs w:val="22"/>
        </w:rPr>
        <w:t xml:space="preserve"> that include both Lloyd’s Brussels and non-Lloyd’s Brussels exposures</w:t>
      </w:r>
      <w:r>
        <w:rPr>
          <w:rFonts w:ascii="Arial" w:eastAsia="Arial" w:hAnsi="Arial" w:cs="Arial"/>
          <w:color w:val="B5082E"/>
          <w:sz w:val="22"/>
          <w:szCs w:val="22"/>
        </w:rPr>
        <w:t>,</w:t>
      </w:r>
      <w:r>
        <w:rPr>
          <w:rFonts w:ascii="Arial" w:eastAsia="Arial" w:hAnsi="Arial" w:cs="Arial"/>
          <w:color w:val="000000"/>
          <w:sz w:val="22"/>
          <w:szCs w:val="22"/>
        </w:rPr>
        <w:t xml:space="preserve"> </w:t>
      </w:r>
      <w:r>
        <w:rPr>
          <w:rFonts w:ascii="Arial" w:eastAsia="Arial" w:hAnsi="Arial" w:cs="Arial"/>
          <w:color w:val="000000"/>
          <w:sz w:val="22"/>
          <w:szCs w:val="22"/>
          <w:u w:val="single" w:color="000000"/>
        </w:rPr>
        <w:t>have</w:t>
      </w:r>
      <w:r>
        <w:rPr>
          <w:rFonts w:ascii="Arial" w:eastAsia="Arial" w:hAnsi="Arial" w:cs="Arial"/>
          <w:color w:val="000000"/>
          <w:sz w:val="22"/>
          <w:szCs w:val="22"/>
        </w:rPr>
        <w:t xml:space="preserve"> to be priced separately and the MRC </w:t>
      </w:r>
      <w:r w:rsidRPr="00541AF3">
        <w:rPr>
          <w:rFonts w:ascii="Arial" w:eastAsia="Arial" w:hAnsi="Arial" w:cs="Arial"/>
          <w:sz w:val="22"/>
          <w:szCs w:val="22"/>
        </w:rPr>
        <w:t>needs t</w:t>
      </w:r>
      <w:r>
        <w:rPr>
          <w:rFonts w:ascii="Arial" w:eastAsia="Arial" w:hAnsi="Arial" w:cs="Arial"/>
          <w:color w:val="000000"/>
          <w:sz w:val="22"/>
          <w:szCs w:val="22"/>
        </w:rPr>
        <w:t xml:space="preserve">o be split or have separate sections. </w:t>
      </w:r>
    </w:p>
    <w:p w14:paraId="2A5DC134" w14:textId="77777777" w:rsidR="00592C29" w:rsidRPr="00541AF3" w:rsidRDefault="0048296D">
      <w:pPr>
        <w:numPr>
          <w:ilvl w:val="0"/>
          <w:numId w:val="26"/>
        </w:numPr>
        <w:pBdr>
          <w:left w:val="none" w:sz="0" w:space="7" w:color="auto"/>
        </w:pBdr>
        <w:spacing w:before="120"/>
        <w:ind w:left="1440" w:hanging="430"/>
        <w:jc w:val="both"/>
        <w:rPr>
          <w:color w:val="0070C0"/>
          <w:sz w:val="22"/>
          <w:szCs w:val="22"/>
        </w:rPr>
      </w:pPr>
      <w:r>
        <w:rPr>
          <w:rFonts w:ascii="Arial" w:eastAsia="Arial" w:hAnsi="Arial" w:cs="Arial"/>
          <w:color w:val="000000"/>
          <w:sz w:val="22"/>
          <w:szCs w:val="22"/>
        </w:rPr>
        <w:t>Therefore the premium will need to be split between Lloyd’s Brussels and non-Lloyd’s Brussels risks.</w:t>
      </w:r>
    </w:p>
    <w:p w14:paraId="69C9A601" w14:textId="0B53C847" w:rsidR="00592C29" w:rsidRPr="00541AF3" w:rsidRDefault="0048296D">
      <w:pPr>
        <w:numPr>
          <w:ilvl w:val="0"/>
          <w:numId w:val="26"/>
        </w:numPr>
        <w:pBdr>
          <w:left w:val="none" w:sz="0" w:space="7" w:color="auto"/>
        </w:pBdr>
        <w:spacing w:before="120"/>
        <w:ind w:left="1440" w:hanging="430"/>
        <w:jc w:val="both"/>
        <w:rPr>
          <w:color w:val="0070C0"/>
          <w:sz w:val="22"/>
          <w:szCs w:val="22"/>
        </w:rPr>
      </w:pPr>
      <w:r>
        <w:rPr>
          <w:rFonts w:ascii="Arial" w:eastAsia="Arial" w:hAnsi="Arial" w:cs="Arial"/>
          <w:color w:val="000000"/>
          <w:sz w:val="22"/>
          <w:szCs w:val="22"/>
        </w:rPr>
        <w:t xml:space="preserve">Depending on which of the three different approaches has been chosen </w:t>
      </w:r>
      <w:r w:rsidR="00541AF3">
        <w:rPr>
          <w:rFonts w:ascii="Arial" w:eastAsia="Arial" w:hAnsi="Arial" w:cs="Arial"/>
          <w:color w:val="000000"/>
          <w:sz w:val="22"/>
          <w:szCs w:val="22"/>
        </w:rPr>
        <w:t>to split</w:t>
      </w:r>
      <w:r>
        <w:rPr>
          <w:rFonts w:ascii="Arial" w:eastAsia="Arial" w:hAnsi="Arial" w:cs="Arial"/>
          <w:color w:val="000000"/>
          <w:sz w:val="22"/>
          <w:szCs w:val="22"/>
        </w:rPr>
        <w:t>/</w:t>
      </w:r>
      <w:proofErr w:type="spellStart"/>
      <w:r>
        <w:rPr>
          <w:rFonts w:ascii="Arial" w:eastAsia="Arial" w:hAnsi="Arial" w:cs="Arial"/>
          <w:color w:val="000000"/>
          <w:sz w:val="22"/>
          <w:szCs w:val="22"/>
        </w:rPr>
        <w:t>sectionalised</w:t>
      </w:r>
      <w:proofErr w:type="spellEnd"/>
      <w:r>
        <w:rPr>
          <w:rFonts w:ascii="Arial" w:eastAsia="Arial" w:hAnsi="Arial" w:cs="Arial"/>
          <w:color w:val="000000"/>
          <w:sz w:val="22"/>
          <w:szCs w:val="22"/>
        </w:rPr>
        <w:t xml:space="preserve"> the MRC has been used, this may be achieved in a different manner: </w:t>
      </w:r>
    </w:p>
    <w:p w14:paraId="77F26474" w14:textId="77777777" w:rsidR="00592C29" w:rsidRDefault="0048296D">
      <w:pPr>
        <w:numPr>
          <w:ilvl w:val="1"/>
          <w:numId w:val="26"/>
        </w:numPr>
        <w:pBdr>
          <w:left w:val="none" w:sz="0" w:space="6" w:color="auto"/>
        </w:pBdr>
        <w:spacing w:before="120"/>
        <w:ind w:left="2160"/>
        <w:rPr>
          <w:color w:val="000000"/>
          <w:sz w:val="22"/>
          <w:szCs w:val="22"/>
        </w:rPr>
      </w:pPr>
      <w:r>
        <w:rPr>
          <w:rFonts w:ascii="Arial" w:eastAsia="Arial" w:hAnsi="Arial" w:cs="Arial"/>
          <w:color w:val="000000"/>
          <w:sz w:val="22"/>
          <w:szCs w:val="22"/>
        </w:rPr>
        <w:t>Simply splitting the premium under this heading within Risk Details for Lloyd’s Brussels and non-Lloyd’s Brussels risks and include a separate “market sheet” (Security Details) for each;</w:t>
      </w:r>
    </w:p>
    <w:p w14:paraId="2904AC28" w14:textId="77777777" w:rsidR="00592C29" w:rsidRDefault="0048296D">
      <w:pPr>
        <w:numPr>
          <w:ilvl w:val="1"/>
          <w:numId w:val="26"/>
        </w:numPr>
        <w:pBdr>
          <w:left w:val="none" w:sz="0" w:space="6" w:color="auto"/>
        </w:pBdr>
        <w:spacing w:before="120"/>
        <w:ind w:left="2160"/>
        <w:jc w:val="both"/>
        <w:rPr>
          <w:color w:val="000000"/>
          <w:sz w:val="22"/>
          <w:szCs w:val="22"/>
        </w:rPr>
      </w:pPr>
      <w:r>
        <w:rPr>
          <w:rFonts w:ascii="Arial" w:eastAsia="Arial" w:hAnsi="Arial" w:cs="Arial"/>
          <w:color w:val="000000"/>
          <w:sz w:val="22"/>
          <w:szCs w:val="22"/>
        </w:rPr>
        <w:t>If splitting each section of the MRC into sub-sections, e.g. A) Lloyd’s Brussels risks and B) for non-Lloyd’s Brussels risks, show only the total premium for Lloyd’s Brussels under the Premium heading for section A) and the syndicates’ premium under section B);</w:t>
      </w:r>
    </w:p>
    <w:p w14:paraId="334D314E" w14:textId="77777777" w:rsidR="00592C29" w:rsidRDefault="0048296D">
      <w:pPr>
        <w:numPr>
          <w:ilvl w:val="1"/>
          <w:numId w:val="26"/>
        </w:numPr>
        <w:pBdr>
          <w:left w:val="none" w:sz="0" w:space="6" w:color="auto"/>
        </w:pBdr>
        <w:spacing w:before="120"/>
        <w:ind w:left="2160"/>
        <w:jc w:val="both"/>
        <w:rPr>
          <w:color w:val="000000"/>
          <w:sz w:val="22"/>
          <w:szCs w:val="22"/>
        </w:rPr>
      </w:pPr>
      <w:r>
        <w:rPr>
          <w:rFonts w:ascii="Arial" w:eastAsia="Arial" w:hAnsi="Arial" w:cs="Arial"/>
          <w:color w:val="000000"/>
          <w:sz w:val="22"/>
          <w:szCs w:val="22"/>
        </w:rPr>
        <w:t>If two totally separate MRC for Lloyd’s Brussels and non-Lloyd’s Brussels risks (with appropriate interlocking language for “global” placements) have been used, on each respective MRC, show the premium for that MRC under the Premium heading.</w:t>
      </w:r>
    </w:p>
    <w:p w14:paraId="33694EB6" w14:textId="77777777" w:rsidR="00592C29" w:rsidRPr="00541AF3" w:rsidRDefault="0048296D">
      <w:pPr>
        <w:numPr>
          <w:ilvl w:val="0"/>
          <w:numId w:val="26"/>
        </w:numPr>
        <w:pBdr>
          <w:left w:val="none" w:sz="0" w:space="7" w:color="auto"/>
        </w:pBdr>
        <w:spacing w:before="120"/>
        <w:ind w:left="1440" w:hanging="430"/>
        <w:jc w:val="both"/>
        <w:rPr>
          <w:color w:val="0070C0"/>
          <w:sz w:val="22"/>
          <w:szCs w:val="22"/>
        </w:rPr>
      </w:pPr>
      <w:r>
        <w:rPr>
          <w:rFonts w:ascii="Arial" w:eastAsia="Arial" w:hAnsi="Arial" w:cs="Arial"/>
          <w:color w:val="000000"/>
          <w:sz w:val="22"/>
          <w:szCs w:val="22"/>
        </w:rPr>
        <w:t xml:space="preserve">Separate premium adjustment provisions </w:t>
      </w:r>
      <w:r w:rsidRPr="00541AF3">
        <w:rPr>
          <w:rFonts w:ascii="Arial" w:eastAsia="Arial" w:hAnsi="Arial" w:cs="Arial"/>
          <w:sz w:val="22"/>
          <w:szCs w:val="22"/>
        </w:rPr>
        <w:t>may also apply</w:t>
      </w:r>
      <w:r>
        <w:rPr>
          <w:rFonts w:ascii="Arial" w:eastAsia="Arial" w:hAnsi="Arial" w:cs="Arial"/>
          <w:color w:val="000000"/>
          <w:sz w:val="22"/>
          <w:szCs w:val="22"/>
        </w:rPr>
        <w:t xml:space="preserve"> to the respective Lloyd’s Brussels and non-Lloyd’s Brussels risk risks/sections.</w:t>
      </w:r>
    </w:p>
    <w:p w14:paraId="69FD59A2" w14:textId="77777777" w:rsidR="00592C29" w:rsidRDefault="00592C29">
      <w:pPr>
        <w:spacing w:before="120"/>
        <w:ind w:left="1440" w:hanging="720"/>
        <w:jc w:val="both"/>
        <w:rPr>
          <w:sz w:val="22"/>
          <w:szCs w:val="22"/>
        </w:rPr>
      </w:pPr>
    </w:p>
    <w:p w14:paraId="37647A90" w14:textId="77777777" w:rsidR="00592C29" w:rsidRDefault="0048296D">
      <w:pPr>
        <w:spacing w:before="120"/>
        <w:ind w:left="1440" w:hanging="720"/>
        <w:jc w:val="both"/>
        <w:rPr>
          <w:sz w:val="22"/>
          <w:szCs w:val="22"/>
        </w:rPr>
      </w:pPr>
      <w:r>
        <w:rPr>
          <w:rFonts w:ascii="Arial" w:eastAsia="Arial" w:hAnsi="Arial" w:cs="Arial"/>
          <w:b/>
          <w:bCs/>
          <w:sz w:val="22"/>
          <w:szCs w:val="22"/>
        </w:rPr>
        <w:t>A.12</w:t>
      </w:r>
      <w:r>
        <w:rPr>
          <w:rFonts w:ascii="Arial" w:eastAsia="Arial" w:hAnsi="Arial" w:cs="Arial"/>
          <w:b/>
          <w:bCs/>
          <w:sz w:val="22"/>
          <w:szCs w:val="22"/>
        </w:rPr>
        <w:tab/>
        <w:t xml:space="preserve">Premium Payment Terms - Mandatory:   </w:t>
      </w:r>
    </w:p>
    <w:p w14:paraId="24BEB092" w14:textId="7F14B683" w:rsidR="00592C29" w:rsidRPr="00C27DE8" w:rsidRDefault="0048296D">
      <w:pPr>
        <w:numPr>
          <w:ilvl w:val="0"/>
          <w:numId w:val="27"/>
        </w:numPr>
        <w:pBdr>
          <w:left w:val="none" w:sz="0" w:space="7" w:color="auto"/>
        </w:pBdr>
        <w:spacing w:before="120"/>
        <w:ind w:left="1440" w:hanging="430"/>
        <w:jc w:val="both"/>
        <w:rPr>
          <w:color w:val="0070C0"/>
          <w:sz w:val="22"/>
          <w:szCs w:val="22"/>
        </w:rPr>
      </w:pPr>
      <w:r>
        <w:rPr>
          <w:rFonts w:ascii="Arial" w:eastAsia="Arial" w:hAnsi="Arial" w:cs="Arial"/>
          <w:color w:val="000000"/>
          <w:sz w:val="22"/>
          <w:szCs w:val="22"/>
        </w:rPr>
        <w:t>Any premium payment terms/conditions applicable to the respective Lloyd’s Brussels and non-Lloyd’s Brussels risks/sections should be set out separately and reference made to any specific clauses applicable made under the Conditions heading (</w:t>
      </w:r>
      <w:r w:rsidRPr="00C27DE8">
        <w:rPr>
          <w:rFonts w:ascii="Arial" w:eastAsia="Arial" w:hAnsi="Arial" w:cs="Arial"/>
          <w:sz w:val="22"/>
          <w:szCs w:val="22"/>
        </w:rPr>
        <w:t>refer A.8</w:t>
      </w:r>
      <w:r>
        <w:rPr>
          <w:rFonts w:ascii="Arial" w:eastAsia="Arial" w:hAnsi="Arial" w:cs="Arial"/>
          <w:color w:val="000000"/>
          <w:sz w:val="22"/>
          <w:szCs w:val="22"/>
        </w:rPr>
        <w:t xml:space="preserve"> above).</w:t>
      </w:r>
    </w:p>
    <w:p w14:paraId="428884BD" w14:textId="77777777" w:rsidR="00592C29" w:rsidRDefault="00592C29">
      <w:pPr>
        <w:spacing w:before="120"/>
        <w:ind w:left="1440" w:hanging="720"/>
        <w:jc w:val="both"/>
        <w:rPr>
          <w:sz w:val="22"/>
          <w:szCs w:val="22"/>
        </w:rPr>
      </w:pPr>
    </w:p>
    <w:p w14:paraId="0A592D3E" w14:textId="77777777" w:rsidR="00592C29" w:rsidRDefault="0048296D">
      <w:pPr>
        <w:spacing w:before="120"/>
        <w:ind w:left="1440" w:hanging="720"/>
        <w:jc w:val="both"/>
        <w:rPr>
          <w:sz w:val="22"/>
          <w:szCs w:val="22"/>
        </w:rPr>
      </w:pPr>
      <w:r>
        <w:rPr>
          <w:rFonts w:ascii="Arial" w:eastAsia="Arial" w:hAnsi="Arial" w:cs="Arial"/>
          <w:b/>
          <w:bCs/>
          <w:sz w:val="22"/>
          <w:szCs w:val="22"/>
        </w:rPr>
        <w:t>A.13 Taxes Payable by Insured and Administered by Insurer(s) - Mandatory:</w:t>
      </w:r>
    </w:p>
    <w:p w14:paraId="1A294A30" w14:textId="69A57974" w:rsidR="00592C29" w:rsidRPr="00546C68" w:rsidRDefault="0048296D">
      <w:pPr>
        <w:numPr>
          <w:ilvl w:val="0"/>
          <w:numId w:val="28"/>
        </w:numPr>
        <w:pBdr>
          <w:left w:val="none" w:sz="0" w:space="7" w:color="auto"/>
        </w:pBdr>
        <w:spacing w:before="120"/>
        <w:ind w:left="1429" w:hanging="430"/>
        <w:jc w:val="both"/>
        <w:rPr>
          <w:color w:val="0070C0"/>
          <w:sz w:val="22"/>
          <w:szCs w:val="22"/>
        </w:rPr>
      </w:pPr>
      <w:r>
        <w:rPr>
          <w:rFonts w:ascii="Arial" w:eastAsia="Arial" w:hAnsi="Arial" w:cs="Arial"/>
          <w:color w:val="000000"/>
          <w:sz w:val="22"/>
          <w:szCs w:val="22"/>
        </w:rPr>
        <w:t xml:space="preserve">Lloyd’s </w:t>
      </w:r>
      <w:r w:rsidRPr="00546C68">
        <w:rPr>
          <w:rFonts w:ascii="Arial" w:eastAsia="Arial" w:hAnsi="Arial" w:cs="Arial"/>
          <w:sz w:val="22"/>
          <w:szCs w:val="22"/>
        </w:rPr>
        <w:t>Brussels has ensured that it causes as minimum disruption as possible to the market by using existing market systems and processes. Lloyd’s Tax Department, as outsource service provider for Lloyd’s Brussels, therefore continues to prepare and submit premium tax returns as it did previously.  Returns are now submitted under 2 registrations, one for “Lloyd’s” and another for “Lloyd’s Brussels”. Ll</w:t>
      </w:r>
      <w:r>
        <w:rPr>
          <w:rFonts w:ascii="Arial" w:eastAsia="Arial" w:hAnsi="Arial" w:cs="Arial"/>
          <w:color w:val="000000"/>
          <w:sz w:val="22"/>
          <w:szCs w:val="22"/>
        </w:rPr>
        <w:t>oyd’s Brussels has contracts in place with the bureau to enable taxes to be processed.</w:t>
      </w:r>
    </w:p>
    <w:p w14:paraId="3D0FE2C9" w14:textId="0C3158EB" w:rsidR="00592C29" w:rsidRPr="00546C68" w:rsidRDefault="0048296D">
      <w:pPr>
        <w:numPr>
          <w:ilvl w:val="0"/>
          <w:numId w:val="28"/>
        </w:numPr>
        <w:pBdr>
          <w:left w:val="none" w:sz="0" w:space="7" w:color="auto"/>
        </w:pBdr>
        <w:spacing w:before="120"/>
        <w:ind w:left="1429" w:hanging="430"/>
        <w:jc w:val="both"/>
        <w:rPr>
          <w:color w:val="0070C0"/>
          <w:sz w:val="22"/>
          <w:szCs w:val="22"/>
        </w:rPr>
      </w:pPr>
      <w:r>
        <w:rPr>
          <w:rFonts w:ascii="Arial" w:eastAsia="Arial" w:hAnsi="Arial" w:cs="Arial"/>
          <w:color w:val="000000"/>
          <w:sz w:val="22"/>
          <w:szCs w:val="22"/>
        </w:rPr>
        <w:t xml:space="preserve">Like Premium, the taxes “payable by the insured” need to be split between Lloyd’s Brussels and non-Lloyd’s Brussels risks to enable clear identification. </w:t>
      </w:r>
    </w:p>
    <w:p w14:paraId="257C2093" w14:textId="7FA0050A" w:rsidR="00592C29" w:rsidRPr="00546C68" w:rsidRDefault="0048296D">
      <w:pPr>
        <w:numPr>
          <w:ilvl w:val="0"/>
          <w:numId w:val="28"/>
        </w:numPr>
        <w:pBdr>
          <w:left w:val="none" w:sz="0" w:space="7" w:color="auto"/>
        </w:pBdr>
        <w:spacing w:before="120"/>
        <w:ind w:left="1429" w:hanging="430"/>
        <w:jc w:val="both"/>
        <w:rPr>
          <w:color w:val="0070C0"/>
          <w:sz w:val="22"/>
          <w:szCs w:val="22"/>
        </w:rPr>
      </w:pPr>
      <w:r>
        <w:rPr>
          <w:rFonts w:ascii="Arial" w:eastAsia="Arial" w:hAnsi="Arial" w:cs="Arial"/>
          <w:color w:val="000000"/>
          <w:sz w:val="22"/>
          <w:szCs w:val="22"/>
        </w:rPr>
        <w:t xml:space="preserve">Where a contract covers a risk in multiple countries, a separate schedule of risk values and tax information may be necessary.  In these </w:t>
      </w:r>
      <w:r w:rsidR="00546C68">
        <w:rPr>
          <w:rFonts w:ascii="Arial" w:eastAsia="Arial" w:hAnsi="Arial" w:cs="Arial"/>
          <w:color w:val="000000"/>
          <w:sz w:val="22"/>
          <w:szCs w:val="22"/>
        </w:rPr>
        <w:t>cases,</w:t>
      </w:r>
      <w:r>
        <w:rPr>
          <w:rFonts w:ascii="Arial" w:eastAsia="Arial" w:hAnsi="Arial" w:cs="Arial"/>
          <w:color w:val="000000"/>
          <w:sz w:val="22"/>
          <w:szCs w:val="22"/>
        </w:rPr>
        <w:t xml:space="preserve"> a premium breakdown by territory is required as a basis for tax calculation. This may be </w:t>
      </w:r>
      <w:r>
        <w:rPr>
          <w:rFonts w:ascii="Arial" w:eastAsia="Arial" w:hAnsi="Arial" w:cs="Arial"/>
          <w:color w:val="000000"/>
          <w:sz w:val="22"/>
          <w:szCs w:val="22"/>
        </w:rPr>
        <w:lastRenderedPageBreak/>
        <w:t>produced in a variety of formats e.g. as a spreadsheet, or as a tax schedule report output from tax calculation software, but separate tax schedules will be required for the Lloyd’s Brussels and non-Lloyd’s Brussels sections of the MRC.</w:t>
      </w:r>
    </w:p>
    <w:p w14:paraId="25FA5BEE" w14:textId="77777777" w:rsidR="00592C29" w:rsidRDefault="00592C29">
      <w:pPr>
        <w:spacing w:before="120"/>
        <w:ind w:left="1440" w:hanging="720"/>
        <w:jc w:val="both"/>
        <w:rPr>
          <w:sz w:val="22"/>
          <w:szCs w:val="22"/>
        </w:rPr>
      </w:pPr>
    </w:p>
    <w:p w14:paraId="10A5799A" w14:textId="77777777" w:rsidR="00592C29" w:rsidRDefault="0048296D">
      <w:pPr>
        <w:spacing w:before="120"/>
        <w:ind w:left="1440" w:hanging="720"/>
        <w:jc w:val="both"/>
        <w:rPr>
          <w:sz w:val="22"/>
          <w:szCs w:val="22"/>
        </w:rPr>
      </w:pPr>
      <w:r>
        <w:rPr>
          <w:rFonts w:ascii="Arial" w:eastAsia="Arial" w:hAnsi="Arial" w:cs="Arial"/>
          <w:b/>
          <w:bCs/>
          <w:sz w:val="22"/>
          <w:szCs w:val="22"/>
        </w:rPr>
        <w:t xml:space="preserve">A.14 Taxes Payable by Insurers and Administered by Insured or their Agent – Conditional, required where there are taxes that are administered in this way: </w:t>
      </w:r>
      <w:r>
        <w:rPr>
          <w:rFonts w:ascii="Arial" w:eastAsia="Arial" w:hAnsi="Arial" w:cs="Arial"/>
          <w:sz w:val="22"/>
          <w:szCs w:val="22"/>
        </w:rPr>
        <w:t xml:space="preserve"> </w:t>
      </w:r>
      <w:r>
        <w:rPr>
          <w:rFonts w:ascii="Arial" w:eastAsia="Arial" w:hAnsi="Arial" w:cs="Arial"/>
          <w:sz w:val="22"/>
          <w:szCs w:val="22"/>
        </w:rPr>
        <w:tab/>
        <w:t xml:space="preserve"> </w:t>
      </w:r>
    </w:p>
    <w:p w14:paraId="3736CF01" w14:textId="77777777" w:rsidR="00592C29" w:rsidRDefault="0048296D" w:rsidP="00546C68">
      <w:pPr>
        <w:spacing w:before="120"/>
        <w:ind w:left="1080" w:firstLine="338"/>
        <w:jc w:val="both"/>
        <w:rPr>
          <w:sz w:val="22"/>
          <w:szCs w:val="22"/>
        </w:rPr>
      </w:pPr>
      <w:r>
        <w:rPr>
          <w:rFonts w:ascii="Arial" w:eastAsia="Arial" w:hAnsi="Arial" w:cs="Arial"/>
          <w:i/>
          <w:iCs/>
          <w:sz w:val="22"/>
          <w:szCs w:val="22"/>
        </w:rPr>
        <w:t>{intentionally left blank}</w:t>
      </w:r>
    </w:p>
    <w:p w14:paraId="4CB02CD5" w14:textId="77777777" w:rsidR="00592C29" w:rsidRDefault="00592C29">
      <w:pPr>
        <w:spacing w:before="120"/>
        <w:ind w:left="709"/>
        <w:jc w:val="both"/>
        <w:rPr>
          <w:sz w:val="22"/>
          <w:szCs w:val="22"/>
        </w:rPr>
      </w:pPr>
    </w:p>
    <w:p w14:paraId="3C64FBFF" w14:textId="77777777" w:rsidR="00592C29" w:rsidRDefault="0048296D">
      <w:pPr>
        <w:spacing w:before="120"/>
        <w:ind w:left="1440" w:hanging="720"/>
        <w:jc w:val="both"/>
        <w:rPr>
          <w:sz w:val="22"/>
          <w:szCs w:val="22"/>
        </w:rPr>
      </w:pPr>
      <w:r>
        <w:rPr>
          <w:rFonts w:ascii="Arial" w:eastAsia="Arial" w:hAnsi="Arial" w:cs="Arial"/>
          <w:b/>
          <w:bCs/>
          <w:sz w:val="22"/>
          <w:szCs w:val="22"/>
        </w:rPr>
        <w:t>A.15 Recording, Transmitting and Storing Information - Optional:</w:t>
      </w:r>
    </w:p>
    <w:p w14:paraId="09243A62" w14:textId="77777777" w:rsidR="00592C29" w:rsidRPr="00546C68" w:rsidRDefault="0048296D" w:rsidP="00546C68">
      <w:pPr>
        <w:pBdr>
          <w:left w:val="none" w:sz="0" w:space="7" w:color="auto"/>
        </w:pBdr>
        <w:spacing w:before="120"/>
        <w:ind w:firstLine="1418"/>
        <w:jc w:val="both"/>
        <w:rPr>
          <w:sz w:val="22"/>
          <w:szCs w:val="22"/>
        </w:rPr>
      </w:pPr>
      <w:r>
        <w:rPr>
          <w:rFonts w:ascii="Arial" w:eastAsia="Arial" w:hAnsi="Arial" w:cs="Arial"/>
          <w:i/>
          <w:iCs/>
          <w:color w:val="000000"/>
          <w:sz w:val="22"/>
          <w:szCs w:val="22"/>
        </w:rPr>
        <w:t>{intentionally left blank}</w:t>
      </w:r>
    </w:p>
    <w:p w14:paraId="4DE085C9" w14:textId="33599771" w:rsidR="00592C29" w:rsidRPr="00546C68" w:rsidRDefault="00592C29">
      <w:pPr>
        <w:spacing w:before="120"/>
        <w:ind w:left="709"/>
        <w:jc w:val="both"/>
        <w:rPr>
          <w:sz w:val="22"/>
          <w:szCs w:val="22"/>
        </w:rPr>
      </w:pPr>
    </w:p>
    <w:p w14:paraId="39795519" w14:textId="77777777" w:rsidR="00592C29" w:rsidRDefault="0048296D">
      <w:pPr>
        <w:spacing w:before="120"/>
        <w:ind w:left="1440" w:hanging="720"/>
        <w:jc w:val="both"/>
        <w:rPr>
          <w:sz w:val="22"/>
          <w:szCs w:val="22"/>
        </w:rPr>
      </w:pPr>
      <w:r>
        <w:rPr>
          <w:rFonts w:ascii="Arial" w:eastAsia="Arial" w:hAnsi="Arial" w:cs="Arial"/>
          <w:b/>
          <w:bCs/>
          <w:sz w:val="22"/>
          <w:szCs w:val="22"/>
        </w:rPr>
        <w:t>A.16</w:t>
      </w:r>
      <w:r>
        <w:rPr>
          <w:rFonts w:ascii="Arial" w:eastAsia="Arial" w:hAnsi="Arial" w:cs="Arial"/>
          <w:b/>
          <w:bCs/>
          <w:sz w:val="22"/>
          <w:szCs w:val="22"/>
        </w:rPr>
        <w:tab/>
        <w:t>Insurer Contract Documentation - Mandatory:</w:t>
      </w:r>
    </w:p>
    <w:p w14:paraId="7EC27B31" w14:textId="77777777" w:rsidR="00592C29" w:rsidRPr="00FD6918" w:rsidRDefault="0048296D">
      <w:pPr>
        <w:numPr>
          <w:ilvl w:val="0"/>
          <w:numId w:val="30"/>
        </w:numPr>
        <w:pBdr>
          <w:left w:val="none" w:sz="0" w:space="7" w:color="auto"/>
        </w:pBdr>
        <w:spacing w:before="120"/>
        <w:ind w:left="1440" w:hanging="430"/>
        <w:jc w:val="both"/>
        <w:rPr>
          <w:color w:val="0070C0"/>
          <w:sz w:val="22"/>
          <w:szCs w:val="22"/>
        </w:rPr>
      </w:pPr>
      <w:r>
        <w:rPr>
          <w:rFonts w:ascii="Arial" w:eastAsia="Arial" w:hAnsi="Arial" w:cs="Arial"/>
          <w:color w:val="000000"/>
          <w:sz w:val="22"/>
          <w:szCs w:val="22"/>
        </w:rPr>
        <w:t xml:space="preserve">Where a policy document is required in respect of Lloyd’s Brussels licensed risks, the insurance contract documentation will be a Lloyd’s Insurance Company S.A. “policy” for open market business (or a Lloyd’s Insurance Company S.A. “certificate” for contracts bound under a </w:t>
      </w:r>
      <w:proofErr w:type="spellStart"/>
      <w:r>
        <w:rPr>
          <w:rFonts w:ascii="Arial" w:eastAsia="Arial" w:hAnsi="Arial" w:cs="Arial"/>
          <w:color w:val="000000"/>
          <w:sz w:val="22"/>
          <w:szCs w:val="22"/>
        </w:rPr>
        <w:t>Coverholder</w:t>
      </w:r>
      <w:proofErr w:type="spellEnd"/>
      <w:r>
        <w:rPr>
          <w:rFonts w:ascii="Arial" w:eastAsia="Arial" w:hAnsi="Arial" w:cs="Arial"/>
          <w:color w:val="000000"/>
          <w:sz w:val="22"/>
          <w:szCs w:val="22"/>
        </w:rPr>
        <w:t xml:space="preserve"> Appointment Agreement).</w:t>
      </w:r>
    </w:p>
    <w:p w14:paraId="05FD0236" w14:textId="07BC97B7" w:rsidR="00592C29" w:rsidRPr="00FD6918" w:rsidRDefault="0048296D">
      <w:pPr>
        <w:numPr>
          <w:ilvl w:val="0"/>
          <w:numId w:val="30"/>
        </w:numPr>
        <w:pBdr>
          <w:left w:val="none" w:sz="0" w:space="7" w:color="auto"/>
        </w:pBdr>
        <w:spacing w:before="120"/>
        <w:ind w:left="1440" w:hanging="430"/>
        <w:jc w:val="both"/>
        <w:rPr>
          <w:color w:val="0070C0"/>
          <w:sz w:val="22"/>
          <w:szCs w:val="22"/>
        </w:rPr>
      </w:pPr>
      <w:r>
        <w:rPr>
          <w:rFonts w:ascii="Arial" w:eastAsia="Arial" w:hAnsi="Arial" w:cs="Arial"/>
          <w:color w:val="000000"/>
          <w:sz w:val="22"/>
          <w:szCs w:val="22"/>
        </w:rPr>
        <w:t>Other Insurer Contract Documentation can also still be used such as a Broker Insurance Document (BID) as per A.16 within the original MRC implementation guide.</w:t>
      </w:r>
    </w:p>
    <w:p w14:paraId="564A8B63" w14:textId="77777777" w:rsidR="00592C29" w:rsidRPr="00FD6918" w:rsidRDefault="0048296D">
      <w:pPr>
        <w:numPr>
          <w:ilvl w:val="0"/>
          <w:numId w:val="30"/>
        </w:numPr>
        <w:pBdr>
          <w:left w:val="none" w:sz="0" w:space="7" w:color="auto"/>
        </w:pBdr>
        <w:spacing w:before="120"/>
        <w:ind w:left="1440" w:hanging="430"/>
        <w:jc w:val="both"/>
        <w:rPr>
          <w:color w:val="0070C0"/>
          <w:sz w:val="22"/>
          <w:szCs w:val="22"/>
        </w:rPr>
      </w:pPr>
      <w:r>
        <w:rPr>
          <w:rFonts w:ascii="Arial" w:eastAsia="Arial" w:hAnsi="Arial" w:cs="Arial"/>
          <w:color w:val="000000"/>
          <w:sz w:val="22"/>
          <w:szCs w:val="22"/>
        </w:rPr>
        <w:t xml:space="preserve">Lloyd’s, in conjunction with the LMA, has drafted a number of model policy documents/clauses for use on Lloyd’s Brussels placements – all of which are available within the “Lloyd’s Brussels” Section of the Lloyd’s Wordings Repository (LWR) at </w:t>
      </w:r>
      <w:hyperlink r:id="rId26" w:history="1">
        <w:r>
          <w:rPr>
            <w:rFonts w:ascii="Arial" w:eastAsia="Arial" w:hAnsi="Arial" w:cs="Arial"/>
            <w:color w:val="0000FF"/>
            <w:sz w:val="22"/>
            <w:szCs w:val="22"/>
            <w:u w:val="single" w:color="0000FF"/>
          </w:rPr>
          <w:t>www.lloydswordings.com</w:t>
        </w:r>
      </w:hyperlink>
      <w:r>
        <w:rPr>
          <w:rFonts w:ascii="Arial" w:eastAsia="Arial" w:hAnsi="Arial" w:cs="Arial"/>
          <w:color w:val="000000"/>
          <w:sz w:val="22"/>
          <w:szCs w:val="22"/>
        </w:rPr>
        <w:t xml:space="preserve">. All documents and clauses that are specifically for use by Lloyd’s Brussels have been allocated a “LBS” prefixed reference number. </w:t>
      </w:r>
    </w:p>
    <w:p w14:paraId="04D23088" w14:textId="5A12107F" w:rsidR="00592C29" w:rsidRPr="00FD6918" w:rsidRDefault="0048296D">
      <w:pPr>
        <w:numPr>
          <w:ilvl w:val="0"/>
          <w:numId w:val="30"/>
        </w:numPr>
        <w:pBdr>
          <w:left w:val="none" w:sz="0" w:space="4" w:color="auto"/>
        </w:pBdr>
        <w:spacing w:before="120"/>
        <w:ind w:left="1418" w:hanging="354"/>
        <w:jc w:val="both"/>
        <w:rPr>
          <w:color w:val="0070C0"/>
          <w:sz w:val="22"/>
          <w:szCs w:val="22"/>
        </w:rPr>
      </w:pPr>
      <w:r>
        <w:rPr>
          <w:rFonts w:ascii="Arial" w:eastAsia="Arial" w:hAnsi="Arial" w:cs="Arial"/>
          <w:color w:val="000000"/>
          <w:sz w:val="22"/>
          <w:szCs w:val="22"/>
        </w:rPr>
        <w:t xml:space="preserve">Where a foreign language wording is required, this will typically require a policy to be produced. </w:t>
      </w:r>
      <w:r w:rsidR="00FD6918">
        <w:rPr>
          <w:rFonts w:ascii="Arial" w:eastAsia="Arial" w:hAnsi="Arial" w:cs="Arial"/>
          <w:color w:val="000000"/>
          <w:sz w:val="22"/>
          <w:szCs w:val="22"/>
        </w:rPr>
        <w:t>Similarly,</w:t>
      </w:r>
      <w:r>
        <w:rPr>
          <w:rFonts w:ascii="Arial" w:eastAsia="Arial" w:hAnsi="Arial" w:cs="Arial"/>
          <w:color w:val="000000"/>
          <w:sz w:val="22"/>
          <w:szCs w:val="22"/>
        </w:rPr>
        <w:t xml:space="preserve"> there may be jurisdictions in which a formal policy is a specific requirement.</w:t>
      </w:r>
    </w:p>
    <w:p w14:paraId="0E9C8389" w14:textId="77777777" w:rsidR="00592C29" w:rsidRDefault="0048296D">
      <w:pPr>
        <w:spacing w:before="120"/>
        <w:ind w:left="1080"/>
        <w:jc w:val="both"/>
        <w:rPr>
          <w:sz w:val="22"/>
          <w:szCs w:val="22"/>
        </w:rPr>
      </w:pPr>
      <w:r>
        <w:rPr>
          <w:rFonts w:ascii="Arial" w:eastAsia="Arial" w:hAnsi="Arial" w:cs="Arial"/>
          <w:b/>
          <w:bCs/>
          <w:sz w:val="22"/>
          <w:szCs w:val="22"/>
        </w:rPr>
        <w:t>Lines Clauses</w:t>
      </w:r>
    </w:p>
    <w:p w14:paraId="256EE61A" w14:textId="63B308C5" w:rsidR="00592C29" w:rsidRPr="00FD6918" w:rsidRDefault="0048296D">
      <w:pPr>
        <w:spacing w:before="120"/>
        <w:ind w:left="1080"/>
        <w:jc w:val="both"/>
        <w:rPr>
          <w:sz w:val="22"/>
          <w:szCs w:val="22"/>
        </w:rPr>
      </w:pPr>
      <w:r w:rsidRPr="00FD6918">
        <w:rPr>
          <w:rFonts w:ascii="Arial" w:eastAsia="Arial" w:hAnsi="Arial" w:cs="Arial"/>
          <w:sz w:val="22"/>
          <w:szCs w:val="22"/>
        </w:rPr>
        <w:t xml:space="preserve">Where a Lloyd’s Brussels policy requires a Lines Clause the Lloyd’s Brussels’ Lines Clause LBS0069 can be used for this purpose. </w:t>
      </w:r>
    </w:p>
    <w:p w14:paraId="2A7E4A4A" w14:textId="77777777" w:rsidR="00592C29" w:rsidRDefault="00592C29">
      <w:pPr>
        <w:spacing w:before="120"/>
        <w:ind w:left="720"/>
        <w:jc w:val="both"/>
        <w:rPr>
          <w:sz w:val="22"/>
          <w:szCs w:val="22"/>
        </w:rPr>
      </w:pPr>
    </w:p>
    <w:p w14:paraId="49F4C05D" w14:textId="77777777" w:rsidR="00592C29" w:rsidRDefault="0048296D">
      <w:pPr>
        <w:spacing w:before="120"/>
        <w:ind w:left="1440" w:hanging="720"/>
        <w:jc w:val="both"/>
        <w:rPr>
          <w:sz w:val="22"/>
          <w:szCs w:val="22"/>
        </w:rPr>
      </w:pPr>
      <w:r>
        <w:rPr>
          <w:rFonts w:ascii="Arial" w:eastAsia="Arial" w:hAnsi="Arial" w:cs="Arial"/>
          <w:b/>
          <w:bCs/>
          <w:sz w:val="22"/>
          <w:szCs w:val="22"/>
        </w:rPr>
        <w:t>A.17</w:t>
      </w:r>
      <w:r>
        <w:rPr>
          <w:rFonts w:ascii="Arial" w:eastAsia="Arial" w:hAnsi="Arial" w:cs="Arial"/>
          <w:b/>
          <w:bCs/>
          <w:sz w:val="22"/>
          <w:szCs w:val="22"/>
        </w:rPr>
        <w:tab/>
        <w:t xml:space="preserve">Form – Conditional: </w:t>
      </w:r>
      <w:r>
        <w:rPr>
          <w:rFonts w:ascii="Arial" w:eastAsia="Arial" w:hAnsi="Arial" w:cs="Arial"/>
          <w:b/>
          <w:bCs/>
          <w:sz w:val="22"/>
          <w:szCs w:val="22"/>
        </w:rPr>
        <w:tab/>
        <w:t xml:space="preserve">Required where a policy is to be produced and form has not been specified within the Insurer Contract Documentation heading.  </w:t>
      </w:r>
    </w:p>
    <w:p w14:paraId="4D849490" w14:textId="77777777" w:rsidR="00592C29" w:rsidRDefault="0048296D" w:rsidP="00FD6918">
      <w:pPr>
        <w:spacing w:before="120"/>
        <w:ind w:left="1080" w:firstLine="338"/>
        <w:jc w:val="both"/>
        <w:rPr>
          <w:sz w:val="22"/>
          <w:szCs w:val="22"/>
        </w:rPr>
      </w:pPr>
      <w:r>
        <w:rPr>
          <w:rFonts w:ascii="Arial" w:eastAsia="Arial" w:hAnsi="Arial" w:cs="Arial"/>
          <w:i/>
          <w:iCs/>
          <w:sz w:val="22"/>
          <w:szCs w:val="22"/>
        </w:rPr>
        <w:t>{intentionally left blank}</w:t>
      </w:r>
    </w:p>
    <w:p w14:paraId="72443DEA" w14:textId="77777777" w:rsidR="00592C29" w:rsidRDefault="00592C29">
      <w:pPr>
        <w:spacing w:before="120"/>
        <w:ind w:left="720"/>
        <w:jc w:val="both"/>
        <w:rPr>
          <w:sz w:val="22"/>
          <w:szCs w:val="22"/>
        </w:rPr>
      </w:pPr>
    </w:p>
    <w:p w14:paraId="3F081F89" w14:textId="77777777" w:rsidR="00592C29" w:rsidRDefault="0048296D">
      <w:pPr>
        <w:spacing w:before="120"/>
        <w:ind w:left="1440" w:hanging="720"/>
        <w:jc w:val="both"/>
        <w:rPr>
          <w:sz w:val="22"/>
          <w:szCs w:val="22"/>
        </w:rPr>
      </w:pPr>
      <w:r>
        <w:rPr>
          <w:rFonts w:ascii="Arial" w:eastAsia="Arial" w:hAnsi="Arial" w:cs="Arial"/>
          <w:b/>
          <w:bCs/>
          <w:sz w:val="22"/>
          <w:szCs w:val="22"/>
        </w:rPr>
        <w:t>A.18</w:t>
      </w:r>
      <w:r>
        <w:rPr>
          <w:rFonts w:ascii="Arial" w:eastAsia="Arial" w:hAnsi="Arial" w:cs="Arial"/>
          <w:b/>
          <w:bCs/>
          <w:sz w:val="22"/>
          <w:szCs w:val="22"/>
        </w:rPr>
        <w:tab/>
        <w:t xml:space="preserve">Notice of cancellation provisions – Conditional: As defined below: </w:t>
      </w:r>
    </w:p>
    <w:p w14:paraId="5979705C" w14:textId="383C9A42" w:rsidR="00592C29" w:rsidRDefault="0048296D" w:rsidP="00FD6918">
      <w:pPr>
        <w:spacing w:before="120"/>
        <w:ind w:left="1080" w:firstLine="338"/>
        <w:jc w:val="both"/>
        <w:rPr>
          <w:sz w:val="22"/>
          <w:szCs w:val="22"/>
        </w:rPr>
      </w:pPr>
      <w:r>
        <w:rPr>
          <w:rFonts w:ascii="Arial" w:eastAsia="Arial" w:hAnsi="Arial" w:cs="Arial"/>
          <w:i/>
          <w:iCs/>
          <w:sz w:val="22"/>
          <w:szCs w:val="22"/>
        </w:rPr>
        <w:t>{intentionally left blank}</w:t>
      </w:r>
      <w:r>
        <w:rPr>
          <w:sz w:val="22"/>
          <w:szCs w:val="22"/>
        </w:rPr>
        <w:br w:type="page"/>
      </w:r>
    </w:p>
    <w:p w14:paraId="61D94DAC" w14:textId="77777777" w:rsidR="00592C29" w:rsidRDefault="0048296D">
      <w:pPr>
        <w:pStyle w:val="Heading1"/>
        <w:rPr>
          <w:sz w:val="40"/>
          <w:szCs w:val="40"/>
        </w:rPr>
      </w:pPr>
      <w:bookmarkStart w:id="36" w:name="_Toc21706644"/>
      <w:bookmarkStart w:id="37" w:name="_Toc31396079"/>
      <w:r>
        <w:rPr>
          <w:rFonts w:ascii="Arial" w:eastAsia="Arial" w:hAnsi="Arial" w:cs="Arial"/>
          <w:color w:val="0070C0"/>
          <w:sz w:val="40"/>
          <w:szCs w:val="40"/>
        </w:rPr>
        <w:lastRenderedPageBreak/>
        <w:t>Chapter 5 – INFORMATION Guidance</w:t>
      </w:r>
      <w:bookmarkEnd w:id="36"/>
      <w:bookmarkEnd w:id="37"/>
      <w:r>
        <w:rPr>
          <w:rFonts w:ascii="Arial" w:eastAsia="Arial" w:hAnsi="Arial" w:cs="Arial"/>
          <w:color w:val="0070C0"/>
          <w:sz w:val="40"/>
          <w:szCs w:val="40"/>
        </w:rPr>
        <w:t xml:space="preserve"> </w:t>
      </w:r>
    </w:p>
    <w:p w14:paraId="6885A370" w14:textId="77777777" w:rsidR="00592C29" w:rsidRDefault="00592C29">
      <w:pPr>
        <w:rPr>
          <w:sz w:val="22"/>
          <w:szCs w:val="22"/>
        </w:rPr>
      </w:pPr>
    </w:p>
    <w:p w14:paraId="69DBE55D" w14:textId="77777777" w:rsidR="00592C29" w:rsidRDefault="0048296D">
      <w:pPr>
        <w:pStyle w:val="Heading2"/>
        <w:rPr>
          <w:sz w:val="28"/>
          <w:szCs w:val="28"/>
        </w:rPr>
      </w:pPr>
      <w:bookmarkStart w:id="38" w:name="_Toc21706645"/>
      <w:bookmarkStart w:id="39" w:name="_Toc31396080"/>
      <w:r>
        <w:rPr>
          <w:rFonts w:ascii="Arial" w:eastAsia="Arial" w:hAnsi="Arial" w:cs="Arial"/>
          <w:i/>
          <w:color w:val="0070C0"/>
          <w:sz w:val="28"/>
          <w:szCs w:val="28"/>
        </w:rPr>
        <w:t>5.1 General Guidance</w:t>
      </w:r>
      <w:bookmarkEnd w:id="38"/>
      <w:bookmarkEnd w:id="39"/>
    </w:p>
    <w:p w14:paraId="33FB0D48" w14:textId="77777777" w:rsidR="00592C29" w:rsidRDefault="00592C29">
      <w:pPr>
        <w:rPr>
          <w:sz w:val="22"/>
          <w:szCs w:val="22"/>
        </w:rPr>
      </w:pPr>
    </w:p>
    <w:p w14:paraId="41395D98" w14:textId="77777777" w:rsidR="00592C29" w:rsidRPr="00F07DBF" w:rsidRDefault="0048296D">
      <w:pPr>
        <w:spacing w:before="120"/>
        <w:ind w:left="720"/>
        <w:jc w:val="both"/>
        <w:rPr>
          <w:sz w:val="22"/>
          <w:szCs w:val="22"/>
        </w:rPr>
      </w:pPr>
      <w:r w:rsidRPr="00F07DBF">
        <w:rPr>
          <w:rFonts w:ascii="Arial" w:eastAsia="Arial" w:hAnsi="Arial" w:cs="Arial"/>
          <w:sz w:val="22"/>
          <w:szCs w:val="22"/>
        </w:rPr>
        <w:t xml:space="preserve">All risks incepting from 01 January 2019 onwards that include both Lloyd’s Brussels and non-Lloyd’s Brussels exposures will have to be priced separately. The MRC will need to be split or have separate sections to accommodate the separate premium and licensed security. </w:t>
      </w:r>
    </w:p>
    <w:p w14:paraId="50C87346" w14:textId="77777777" w:rsidR="00592C29" w:rsidRPr="00F07DBF" w:rsidRDefault="0048296D">
      <w:pPr>
        <w:spacing w:before="120"/>
        <w:ind w:left="720"/>
        <w:jc w:val="both"/>
        <w:rPr>
          <w:sz w:val="22"/>
          <w:szCs w:val="22"/>
        </w:rPr>
      </w:pPr>
      <w:r w:rsidRPr="00F07DBF">
        <w:rPr>
          <w:rFonts w:ascii="Arial" w:eastAsia="Arial" w:hAnsi="Arial" w:cs="Arial"/>
          <w:sz w:val="22"/>
          <w:szCs w:val="22"/>
        </w:rPr>
        <w:t xml:space="preserve">Therefore any information provided to insurers to support the assessment (pricing) of the risk at the time of placement provided here should be split Lloyd’s Brussels/ non-Lloyd’s Brussels by reference to “Regulatory Risk Location”. </w:t>
      </w:r>
    </w:p>
    <w:p w14:paraId="34FB2337" w14:textId="39FACE0D" w:rsidR="00592C29" w:rsidRPr="00F07DBF" w:rsidRDefault="0048296D">
      <w:pPr>
        <w:spacing w:before="120"/>
        <w:ind w:left="720"/>
        <w:jc w:val="both"/>
        <w:rPr>
          <w:sz w:val="22"/>
          <w:szCs w:val="22"/>
        </w:rPr>
      </w:pPr>
      <w:r w:rsidRPr="00F07DBF">
        <w:rPr>
          <w:rFonts w:ascii="Arial" w:eastAsia="Arial" w:hAnsi="Arial" w:cs="Arial"/>
          <w:sz w:val="22"/>
          <w:szCs w:val="22"/>
        </w:rPr>
        <w:t xml:space="preserve">e.g. Schedule of values split Lloyd’s Brussels / non-Lloyd’s Brussels </w:t>
      </w:r>
      <w:r w:rsidR="00F07DBF" w:rsidRPr="00F07DBF">
        <w:rPr>
          <w:rFonts w:ascii="Arial" w:eastAsia="Arial" w:hAnsi="Arial" w:cs="Arial"/>
          <w:sz w:val="22"/>
          <w:szCs w:val="22"/>
        </w:rPr>
        <w:t>dependent</w:t>
      </w:r>
      <w:r w:rsidRPr="00F07DBF">
        <w:rPr>
          <w:rFonts w:ascii="Arial" w:eastAsia="Arial" w:hAnsi="Arial" w:cs="Arial"/>
          <w:sz w:val="22"/>
          <w:szCs w:val="22"/>
        </w:rPr>
        <w:t xml:space="preserve"> on the location of assets.</w:t>
      </w:r>
    </w:p>
    <w:p w14:paraId="2182C634" w14:textId="77777777" w:rsidR="00592C29" w:rsidRPr="00F07DBF" w:rsidRDefault="0048296D">
      <w:pPr>
        <w:spacing w:before="120"/>
        <w:ind w:left="720"/>
        <w:jc w:val="both"/>
        <w:rPr>
          <w:sz w:val="22"/>
          <w:szCs w:val="22"/>
        </w:rPr>
      </w:pPr>
      <w:r w:rsidRPr="00F07DBF">
        <w:rPr>
          <w:rFonts w:ascii="Arial" w:eastAsia="Arial" w:hAnsi="Arial" w:cs="Arial"/>
          <w:sz w:val="22"/>
          <w:szCs w:val="22"/>
        </w:rPr>
        <w:t>Whilst this should be relatively easy for “static risks”, depending on the Interest or subject matter insured or nature of liability insured, this may not be straightforward, e.g. movable assets (</w:t>
      </w:r>
      <w:proofErr w:type="spellStart"/>
      <w:r w:rsidRPr="00F07DBF">
        <w:rPr>
          <w:rFonts w:ascii="Arial" w:eastAsia="Arial" w:hAnsi="Arial" w:cs="Arial"/>
          <w:sz w:val="22"/>
          <w:szCs w:val="22"/>
        </w:rPr>
        <w:t>sendings</w:t>
      </w:r>
      <w:proofErr w:type="spellEnd"/>
      <w:r w:rsidRPr="00F07DBF">
        <w:rPr>
          <w:rFonts w:ascii="Arial" w:eastAsia="Arial" w:hAnsi="Arial" w:cs="Arial"/>
          <w:sz w:val="22"/>
          <w:szCs w:val="22"/>
        </w:rPr>
        <w:t xml:space="preserve"> for cargo risks), personnel (geographical headcount for group personal accident/travel policies), legal liabilities (origin or destination of turnover for GL/ territories where directors are located for D&amp;O).</w:t>
      </w:r>
    </w:p>
    <w:p w14:paraId="30FA8ED6" w14:textId="5D9EB6D6" w:rsidR="00592C29" w:rsidRPr="00F07DBF" w:rsidRDefault="0048296D">
      <w:pPr>
        <w:spacing w:before="120"/>
        <w:ind w:left="720"/>
        <w:jc w:val="both"/>
        <w:rPr>
          <w:sz w:val="22"/>
          <w:szCs w:val="22"/>
        </w:rPr>
      </w:pPr>
      <w:r w:rsidRPr="00F07DBF">
        <w:rPr>
          <w:rFonts w:ascii="Arial" w:eastAsia="Arial" w:hAnsi="Arial" w:cs="Arial"/>
          <w:sz w:val="22"/>
          <w:szCs w:val="22"/>
        </w:rPr>
        <w:t>For further guidance on “Risk Location” see guidance on heading E.3 (within Appendix E) below.</w:t>
      </w:r>
    </w:p>
    <w:p w14:paraId="17466855" w14:textId="2CD90816" w:rsidR="00592C29" w:rsidRPr="00F07DBF" w:rsidRDefault="00592C29">
      <w:pPr>
        <w:spacing w:before="120"/>
        <w:ind w:left="720"/>
        <w:jc w:val="both"/>
        <w:rPr>
          <w:sz w:val="22"/>
          <w:szCs w:val="22"/>
        </w:rPr>
      </w:pPr>
    </w:p>
    <w:p w14:paraId="031D4E63" w14:textId="77777777" w:rsidR="00592C29" w:rsidRDefault="00592C29">
      <w:pPr>
        <w:rPr>
          <w:sz w:val="22"/>
          <w:szCs w:val="22"/>
        </w:rPr>
      </w:pPr>
    </w:p>
    <w:p w14:paraId="1654E6B6" w14:textId="77777777" w:rsidR="00592C29" w:rsidRDefault="0048296D">
      <w:pPr>
        <w:rPr>
          <w:sz w:val="22"/>
          <w:szCs w:val="22"/>
        </w:rPr>
      </w:pPr>
      <w:r>
        <w:rPr>
          <w:sz w:val="22"/>
          <w:szCs w:val="22"/>
        </w:rPr>
        <w:br w:type="page"/>
      </w:r>
    </w:p>
    <w:p w14:paraId="3A6B9FFF" w14:textId="77777777" w:rsidR="00592C29" w:rsidRDefault="0048296D">
      <w:pPr>
        <w:pStyle w:val="Heading1"/>
        <w:rPr>
          <w:sz w:val="40"/>
          <w:szCs w:val="40"/>
        </w:rPr>
      </w:pPr>
      <w:bookmarkStart w:id="40" w:name="_Toc21706646"/>
      <w:bookmarkStart w:id="41" w:name="_Toc31396081"/>
      <w:r>
        <w:rPr>
          <w:rFonts w:ascii="Arial" w:eastAsia="Arial" w:hAnsi="Arial" w:cs="Arial"/>
          <w:color w:val="0070C0"/>
          <w:sz w:val="40"/>
          <w:szCs w:val="40"/>
        </w:rPr>
        <w:lastRenderedPageBreak/>
        <w:t>Chapter 6 – SECURITY DETAILS Guidance</w:t>
      </w:r>
      <w:bookmarkEnd w:id="40"/>
      <w:bookmarkEnd w:id="41"/>
    </w:p>
    <w:p w14:paraId="4DE5BCC6" w14:textId="77777777" w:rsidR="00592C29" w:rsidRDefault="00592C29">
      <w:pPr>
        <w:rPr>
          <w:sz w:val="22"/>
          <w:szCs w:val="22"/>
        </w:rPr>
      </w:pPr>
    </w:p>
    <w:p w14:paraId="0187C82F" w14:textId="77777777" w:rsidR="00592C29" w:rsidRDefault="0048296D">
      <w:pPr>
        <w:pStyle w:val="Heading2"/>
        <w:rPr>
          <w:sz w:val="28"/>
          <w:szCs w:val="28"/>
        </w:rPr>
      </w:pPr>
      <w:bookmarkStart w:id="42" w:name="_Toc21706647"/>
      <w:bookmarkStart w:id="43" w:name="_Toc31396082"/>
      <w:r>
        <w:rPr>
          <w:rFonts w:ascii="Arial" w:eastAsia="Arial" w:hAnsi="Arial" w:cs="Arial"/>
          <w:i/>
          <w:color w:val="0070C0"/>
          <w:sz w:val="28"/>
          <w:szCs w:val="28"/>
        </w:rPr>
        <w:t>6.1 General Guidance</w:t>
      </w:r>
      <w:bookmarkEnd w:id="42"/>
      <w:bookmarkEnd w:id="43"/>
    </w:p>
    <w:p w14:paraId="511754CB" w14:textId="77777777" w:rsidR="00592C29" w:rsidRDefault="00592C29">
      <w:pPr>
        <w:rPr>
          <w:sz w:val="22"/>
          <w:szCs w:val="22"/>
        </w:rPr>
      </w:pPr>
    </w:p>
    <w:p w14:paraId="071CBF8D" w14:textId="77777777" w:rsidR="00592C29" w:rsidRDefault="0048296D">
      <w:pPr>
        <w:spacing w:before="120"/>
        <w:ind w:left="720"/>
        <w:jc w:val="both"/>
        <w:rPr>
          <w:sz w:val="22"/>
          <w:szCs w:val="22"/>
        </w:rPr>
      </w:pPr>
      <w:r>
        <w:rPr>
          <w:rFonts w:ascii="Arial" w:eastAsia="Arial" w:hAnsi="Arial" w:cs="Arial"/>
          <w:sz w:val="22"/>
          <w:szCs w:val="22"/>
        </w:rPr>
        <w:t xml:space="preserve">Underwriters are reminded that they </w:t>
      </w:r>
      <w:r>
        <w:rPr>
          <w:rFonts w:ascii="Arial" w:eastAsia="Arial" w:hAnsi="Arial" w:cs="Arial"/>
          <w:sz w:val="22"/>
          <w:szCs w:val="22"/>
          <w:u w:val="single"/>
        </w:rPr>
        <w:t>cannot</w:t>
      </w:r>
      <w:r>
        <w:rPr>
          <w:rFonts w:ascii="Arial" w:eastAsia="Arial" w:hAnsi="Arial" w:cs="Arial"/>
          <w:sz w:val="22"/>
          <w:szCs w:val="22"/>
        </w:rPr>
        <w:t xml:space="preserve"> bind Lloyd’s Brussels risks in countries where Lloyd’s Brussels is not licensed.</w:t>
      </w:r>
    </w:p>
    <w:p w14:paraId="74ED2DF4" w14:textId="77777777" w:rsidR="00592C29" w:rsidRDefault="0048296D">
      <w:pPr>
        <w:spacing w:before="120"/>
        <w:ind w:left="720"/>
        <w:jc w:val="both"/>
        <w:rPr>
          <w:sz w:val="22"/>
          <w:szCs w:val="22"/>
        </w:rPr>
      </w:pPr>
      <w:r>
        <w:rPr>
          <w:rFonts w:ascii="Arial" w:eastAsia="Arial" w:hAnsi="Arial" w:cs="Arial"/>
          <w:sz w:val="22"/>
          <w:szCs w:val="22"/>
        </w:rPr>
        <w:t>Depending on which of the three different approaches that may be adopted to the split/</w:t>
      </w:r>
      <w:proofErr w:type="spellStart"/>
      <w:r>
        <w:rPr>
          <w:rFonts w:ascii="Arial" w:eastAsia="Arial" w:hAnsi="Arial" w:cs="Arial"/>
          <w:sz w:val="22"/>
          <w:szCs w:val="22"/>
        </w:rPr>
        <w:t>sectionalised</w:t>
      </w:r>
      <w:proofErr w:type="spellEnd"/>
      <w:r>
        <w:rPr>
          <w:rFonts w:ascii="Arial" w:eastAsia="Arial" w:hAnsi="Arial" w:cs="Arial"/>
          <w:sz w:val="22"/>
          <w:szCs w:val="22"/>
        </w:rPr>
        <w:t xml:space="preserve"> MRC has been used, there may be one or two signing pages, with the same MRC headings on each:</w:t>
      </w:r>
    </w:p>
    <w:p w14:paraId="4A08F083" w14:textId="77777777" w:rsidR="00592C29" w:rsidRPr="00F07DBF" w:rsidRDefault="0048296D">
      <w:pPr>
        <w:numPr>
          <w:ilvl w:val="0"/>
          <w:numId w:val="31"/>
        </w:numPr>
        <w:pBdr>
          <w:left w:val="none" w:sz="0" w:space="7" w:color="auto"/>
        </w:pBdr>
        <w:spacing w:before="120"/>
        <w:ind w:left="1440" w:hanging="430"/>
        <w:jc w:val="both"/>
        <w:rPr>
          <w:color w:val="0070C0"/>
          <w:sz w:val="22"/>
          <w:szCs w:val="22"/>
        </w:rPr>
      </w:pPr>
      <w:r>
        <w:rPr>
          <w:rFonts w:ascii="Arial" w:eastAsia="Arial" w:hAnsi="Arial" w:cs="Arial"/>
          <w:color w:val="000000"/>
          <w:sz w:val="22"/>
          <w:szCs w:val="22"/>
        </w:rPr>
        <w:t>If simply splitting the premium for Lloyd’s Brussels licensed and syndicate licensed risks under the “Premium” heading within Risk Details include a separate “market sheet” (Security Details) for each;</w:t>
      </w:r>
    </w:p>
    <w:p w14:paraId="53FFA9A1" w14:textId="77777777" w:rsidR="00592C29" w:rsidRPr="00F07DBF" w:rsidRDefault="0048296D">
      <w:pPr>
        <w:numPr>
          <w:ilvl w:val="0"/>
          <w:numId w:val="31"/>
        </w:numPr>
        <w:pBdr>
          <w:left w:val="none" w:sz="0" w:space="7" w:color="auto"/>
        </w:pBdr>
        <w:spacing w:before="120"/>
        <w:ind w:left="1440" w:hanging="430"/>
        <w:jc w:val="both"/>
        <w:rPr>
          <w:color w:val="0070C0"/>
          <w:sz w:val="22"/>
          <w:szCs w:val="22"/>
        </w:rPr>
      </w:pPr>
      <w:r>
        <w:rPr>
          <w:rFonts w:ascii="Arial" w:eastAsia="Arial" w:hAnsi="Arial" w:cs="Arial"/>
          <w:color w:val="000000"/>
          <w:sz w:val="22"/>
          <w:szCs w:val="22"/>
        </w:rPr>
        <w:t>If splitting each section of the MRC into sub-sections – e.g. A) Lloyd’s Brussels licensed risk and B) syndicate licensed risk, include a separate “market sheet” (Security Details) for each section A) and B);</w:t>
      </w:r>
    </w:p>
    <w:p w14:paraId="121B6FBD" w14:textId="69688B01" w:rsidR="00592C29" w:rsidRDefault="0048296D">
      <w:pPr>
        <w:spacing w:before="120"/>
        <w:ind w:left="720"/>
        <w:jc w:val="both"/>
        <w:rPr>
          <w:sz w:val="22"/>
          <w:szCs w:val="22"/>
        </w:rPr>
      </w:pPr>
      <w:r>
        <w:rPr>
          <w:rFonts w:ascii="Arial" w:eastAsia="Arial" w:hAnsi="Arial" w:cs="Arial"/>
          <w:sz w:val="22"/>
          <w:szCs w:val="22"/>
        </w:rPr>
        <w:t xml:space="preserve">Syndicates </w:t>
      </w:r>
      <w:r w:rsidR="00AA0436">
        <w:rPr>
          <w:rFonts w:ascii="Arial" w:eastAsia="Arial" w:hAnsi="Arial" w:cs="Arial"/>
          <w:sz w:val="22"/>
          <w:szCs w:val="22"/>
        </w:rPr>
        <w:t>will</w:t>
      </w:r>
      <w:r>
        <w:rPr>
          <w:rFonts w:ascii="Arial" w:eastAsia="Arial" w:hAnsi="Arial" w:cs="Arial"/>
          <w:sz w:val="22"/>
          <w:szCs w:val="22"/>
        </w:rPr>
        <w:t xml:space="preserve"> have a new stamp for Lloyd’s Brussels (Lloyd’s Insurance Company S.A.) and will need to ensure that they use the new stamp (which will identify the name of the syndicate in addition to Lloyd’s Brussels) when underwriting risks located in countries where Lloyd’s Brussels is licensed.</w:t>
      </w:r>
    </w:p>
    <w:p w14:paraId="419A6EDE" w14:textId="77777777" w:rsidR="00592C29" w:rsidRDefault="0048296D">
      <w:pPr>
        <w:spacing w:before="120"/>
        <w:ind w:left="720"/>
        <w:jc w:val="both"/>
        <w:rPr>
          <w:sz w:val="22"/>
          <w:szCs w:val="22"/>
        </w:rPr>
      </w:pPr>
      <w:r>
        <w:rPr>
          <w:rFonts w:ascii="Arial" w:eastAsia="Arial" w:hAnsi="Arial" w:cs="Arial"/>
          <w:sz w:val="22"/>
          <w:szCs w:val="22"/>
        </w:rPr>
        <w:t xml:space="preserve">An example of such a stamp is shown below: </w:t>
      </w:r>
    </w:p>
    <w:p w14:paraId="5C9BFFE1" w14:textId="77777777" w:rsidR="00592C29" w:rsidRDefault="0048296D">
      <w:pPr>
        <w:spacing w:before="120"/>
        <w:ind w:left="720"/>
        <w:jc w:val="both"/>
        <w:rPr>
          <w:sz w:val="22"/>
          <w:szCs w:val="22"/>
        </w:rPr>
      </w:pPr>
      <w:r>
        <w:rPr>
          <w:noProof/>
          <w:sz w:val="22"/>
          <w:szCs w:val="22"/>
        </w:rPr>
        <w:drawing>
          <wp:anchor distT="0" distB="0" distL="114300" distR="114300" simplePos="0" relativeHeight="251659776" behindDoc="0" locked="0" layoutInCell="1" allowOverlap="1" wp14:anchorId="6A7C7FF6" wp14:editId="4545ED63">
            <wp:simplePos x="0" y="0"/>
            <wp:positionH relativeFrom="column">
              <wp:posOffset>504825</wp:posOffset>
            </wp:positionH>
            <wp:positionV relativeFrom="paragraph">
              <wp:posOffset>62865</wp:posOffset>
            </wp:positionV>
            <wp:extent cx="5238750" cy="2705100"/>
            <wp:effectExtent l="0" t="0" r="0" b="0"/>
            <wp:wrapNone/>
            <wp:docPr id="100005" name="Picture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r:embed="rId27"/>
                    <a:stretch>
                      <a:fillRect/>
                    </a:stretch>
                  </pic:blipFill>
                  <pic:spPr>
                    <a:xfrm>
                      <a:off x="0" y="0"/>
                      <a:ext cx="5238750" cy="2705100"/>
                    </a:xfrm>
                    <a:prstGeom prst="rect">
                      <a:avLst/>
                    </a:prstGeom>
                  </pic:spPr>
                </pic:pic>
              </a:graphicData>
            </a:graphic>
          </wp:anchor>
        </w:drawing>
      </w:r>
    </w:p>
    <w:p w14:paraId="67B454A5" w14:textId="77777777" w:rsidR="00592C29" w:rsidRDefault="00592C29">
      <w:pPr>
        <w:spacing w:before="120"/>
        <w:ind w:left="720"/>
        <w:jc w:val="both"/>
        <w:rPr>
          <w:sz w:val="22"/>
          <w:szCs w:val="22"/>
        </w:rPr>
      </w:pPr>
    </w:p>
    <w:p w14:paraId="0C202C17" w14:textId="77777777" w:rsidR="00592C29" w:rsidRDefault="00592C29">
      <w:pPr>
        <w:spacing w:before="120"/>
        <w:ind w:left="720"/>
        <w:jc w:val="both"/>
        <w:rPr>
          <w:sz w:val="22"/>
          <w:szCs w:val="22"/>
        </w:rPr>
      </w:pPr>
    </w:p>
    <w:p w14:paraId="49482248" w14:textId="77777777" w:rsidR="00592C29" w:rsidRDefault="00592C29">
      <w:pPr>
        <w:spacing w:before="120"/>
        <w:ind w:left="720"/>
        <w:jc w:val="both"/>
        <w:rPr>
          <w:sz w:val="22"/>
          <w:szCs w:val="22"/>
        </w:rPr>
      </w:pPr>
    </w:p>
    <w:p w14:paraId="6F57F946" w14:textId="77777777" w:rsidR="00592C29" w:rsidRDefault="00592C29">
      <w:pPr>
        <w:spacing w:before="120"/>
        <w:ind w:left="720"/>
        <w:jc w:val="both"/>
        <w:rPr>
          <w:sz w:val="22"/>
          <w:szCs w:val="22"/>
        </w:rPr>
      </w:pPr>
    </w:p>
    <w:p w14:paraId="1D02D975" w14:textId="77777777" w:rsidR="00592C29" w:rsidRDefault="00592C29">
      <w:pPr>
        <w:spacing w:before="120"/>
        <w:ind w:left="720"/>
        <w:jc w:val="both"/>
        <w:rPr>
          <w:sz w:val="22"/>
          <w:szCs w:val="22"/>
        </w:rPr>
      </w:pPr>
    </w:p>
    <w:p w14:paraId="115D2E0E" w14:textId="77777777" w:rsidR="00592C29" w:rsidRDefault="00592C29">
      <w:pPr>
        <w:spacing w:before="120"/>
        <w:ind w:left="720"/>
        <w:jc w:val="both"/>
        <w:rPr>
          <w:sz w:val="22"/>
          <w:szCs w:val="22"/>
        </w:rPr>
      </w:pPr>
    </w:p>
    <w:p w14:paraId="3EBC8CAD" w14:textId="77777777" w:rsidR="00592C29" w:rsidRDefault="00592C29">
      <w:pPr>
        <w:spacing w:before="120"/>
        <w:ind w:left="720"/>
        <w:jc w:val="both"/>
        <w:rPr>
          <w:sz w:val="22"/>
          <w:szCs w:val="22"/>
        </w:rPr>
      </w:pPr>
    </w:p>
    <w:p w14:paraId="626DAE86" w14:textId="77777777" w:rsidR="00592C29" w:rsidRDefault="00592C29">
      <w:pPr>
        <w:spacing w:before="120"/>
        <w:ind w:left="720"/>
        <w:jc w:val="both"/>
        <w:rPr>
          <w:sz w:val="22"/>
          <w:szCs w:val="22"/>
        </w:rPr>
      </w:pPr>
    </w:p>
    <w:p w14:paraId="24CD372E" w14:textId="77777777" w:rsidR="00592C29" w:rsidRDefault="00592C29">
      <w:pPr>
        <w:spacing w:before="120"/>
        <w:ind w:left="720"/>
        <w:jc w:val="both"/>
        <w:rPr>
          <w:sz w:val="22"/>
          <w:szCs w:val="22"/>
        </w:rPr>
      </w:pPr>
    </w:p>
    <w:p w14:paraId="6FCA93C9" w14:textId="77777777" w:rsidR="00592C29" w:rsidRDefault="00592C29">
      <w:pPr>
        <w:spacing w:before="120"/>
        <w:ind w:left="720"/>
        <w:jc w:val="both"/>
        <w:rPr>
          <w:sz w:val="22"/>
          <w:szCs w:val="22"/>
        </w:rPr>
      </w:pPr>
    </w:p>
    <w:p w14:paraId="49946913" w14:textId="77777777" w:rsidR="00592C29" w:rsidRDefault="00592C29">
      <w:pPr>
        <w:spacing w:before="120"/>
        <w:ind w:left="720"/>
        <w:jc w:val="both"/>
        <w:rPr>
          <w:sz w:val="22"/>
          <w:szCs w:val="22"/>
        </w:rPr>
      </w:pPr>
    </w:p>
    <w:p w14:paraId="5D8FDCD6" w14:textId="77777777" w:rsidR="00592C29" w:rsidRDefault="00592C29">
      <w:pPr>
        <w:rPr>
          <w:sz w:val="22"/>
          <w:szCs w:val="22"/>
        </w:rPr>
      </w:pPr>
    </w:p>
    <w:p w14:paraId="7317DCE6" w14:textId="77777777" w:rsidR="00592C29" w:rsidRDefault="0048296D">
      <w:pPr>
        <w:pStyle w:val="Heading2"/>
        <w:rPr>
          <w:sz w:val="28"/>
          <w:szCs w:val="28"/>
        </w:rPr>
      </w:pPr>
      <w:bookmarkStart w:id="44" w:name="_Toc21706648"/>
      <w:bookmarkStart w:id="45" w:name="_Toc31396083"/>
      <w:r>
        <w:rPr>
          <w:rFonts w:ascii="Arial" w:eastAsia="Arial" w:hAnsi="Arial" w:cs="Arial"/>
          <w:i/>
          <w:color w:val="0070C0"/>
          <w:sz w:val="28"/>
          <w:szCs w:val="28"/>
        </w:rPr>
        <w:t>6.2 Guidance on Specific Fields</w:t>
      </w:r>
      <w:bookmarkEnd w:id="44"/>
      <w:bookmarkEnd w:id="45"/>
    </w:p>
    <w:p w14:paraId="7582579E" w14:textId="77777777" w:rsidR="00592C29" w:rsidRDefault="00592C29">
      <w:pPr>
        <w:rPr>
          <w:sz w:val="22"/>
          <w:szCs w:val="22"/>
        </w:rPr>
      </w:pPr>
    </w:p>
    <w:p w14:paraId="2468302D" w14:textId="77777777" w:rsidR="00592C29" w:rsidRDefault="0048296D">
      <w:pPr>
        <w:spacing w:before="120"/>
        <w:ind w:left="1440" w:hanging="720"/>
        <w:jc w:val="both"/>
        <w:rPr>
          <w:sz w:val="22"/>
          <w:szCs w:val="22"/>
        </w:rPr>
      </w:pPr>
      <w:r>
        <w:rPr>
          <w:rFonts w:ascii="Arial" w:eastAsia="Arial" w:hAnsi="Arial" w:cs="Arial"/>
          <w:b/>
          <w:bCs/>
          <w:sz w:val="22"/>
          <w:szCs w:val="22"/>
        </w:rPr>
        <w:t>C.1</w:t>
      </w:r>
      <w:r>
        <w:rPr>
          <w:rFonts w:ascii="Arial" w:eastAsia="Arial" w:hAnsi="Arial" w:cs="Arial"/>
          <w:b/>
          <w:bCs/>
          <w:sz w:val="22"/>
          <w:szCs w:val="22"/>
        </w:rPr>
        <w:tab/>
        <w:t>(Re)Insurers’ Liability – Conditional:</w:t>
      </w:r>
    </w:p>
    <w:p w14:paraId="4C0CF7DA" w14:textId="77777777" w:rsidR="00592C29" w:rsidRDefault="0048296D">
      <w:pPr>
        <w:spacing w:before="120"/>
        <w:ind w:left="720"/>
        <w:jc w:val="both"/>
        <w:rPr>
          <w:sz w:val="22"/>
          <w:szCs w:val="22"/>
        </w:rPr>
      </w:pPr>
      <w:r>
        <w:rPr>
          <w:rFonts w:ascii="Arial" w:eastAsia="Arial" w:hAnsi="Arial" w:cs="Arial"/>
          <w:sz w:val="22"/>
          <w:szCs w:val="22"/>
        </w:rPr>
        <w:t xml:space="preserve">LSW1001 </w:t>
      </w:r>
      <w:r>
        <w:rPr>
          <w:rFonts w:ascii="Arial" w:eastAsia="Arial" w:hAnsi="Arial" w:cs="Arial"/>
          <w:sz w:val="22"/>
          <w:szCs w:val="22"/>
          <w:u w:val="single"/>
        </w:rPr>
        <w:t>must</w:t>
      </w:r>
      <w:r>
        <w:rPr>
          <w:rFonts w:ascii="Arial" w:eastAsia="Arial" w:hAnsi="Arial" w:cs="Arial"/>
          <w:sz w:val="22"/>
          <w:szCs w:val="22"/>
        </w:rPr>
        <w:t xml:space="preserve"> be used on all placements for Lloyd’s Brussels where Lloyd’s Brussels </w:t>
      </w:r>
      <w:r>
        <w:rPr>
          <w:rFonts w:ascii="Arial" w:eastAsia="Arial" w:hAnsi="Arial" w:cs="Arial"/>
          <w:sz w:val="22"/>
          <w:szCs w:val="22"/>
          <w:u w:val="single"/>
        </w:rPr>
        <w:t>is not</w:t>
      </w:r>
      <w:r>
        <w:rPr>
          <w:rFonts w:ascii="Arial" w:eastAsia="Arial" w:hAnsi="Arial" w:cs="Arial"/>
          <w:sz w:val="22"/>
          <w:szCs w:val="22"/>
        </w:rPr>
        <w:t xml:space="preserve"> the sole subscribing insurer (i.e. if the risk is not placed 100% with Lloyd’s Brussels), as this is the clause that must be incorporated in Lloyd’s Brussels policy documentation.</w:t>
      </w:r>
    </w:p>
    <w:p w14:paraId="7735A664" w14:textId="77777777" w:rsidR="00225164" w:rsidRDefault="00225164">
      <w:pPr>
        <w:rPr>
          <w:rFonts w:ascii="Arial" w:eastAsia="Arial" w:hAnsi="Arial" w:cs="Arial"/>
          <w:i/>
          <w:sz w:val="22"/>
          <w:szCs w:val="22"/>
        </w:rPr>
      </w:pPr>
      <w:r>
        <w:rPr>
          <w:rFonts w:ascii="Arial" w:eastAsia="Arial" w:hAnsi="Arial" w:cs="Arial"/>
          <w:i/>
          <w:sz w:val="22"/>
          <w:szCs w:val="22"/>
        </w:rPr>
        <w:br w:type="page"/>
      </w:r>
    </w:p>
    <w:p w14:paraId="4EF53E65" w14:textId="7F40E246" w:rsidR="00592C29" w:rsidRPr="00AA0436" w:rsidRDefault="00AA0436">
      <w:pPr>
        <w:spacing w:before="120"/>
        <w:ind w:left="720"/>
        <w:jc w:val="both"/>
        <w:rPr>
          <w:rFonts w:ascii="Arial" w:eastAsia="Arial" w:hAnsi="Arial" w:cs="Arial"/>
          <w:i/>
          <w:sz w:val="22"/>
          <w:szCs w:val="22"/>
        </w:rPr>
      </w:pPr>
      <w:r w:rsidRPr="00AA0436">
        <w:rPr>
          <w:rFonts w:ascii="Arial" w:eastAsia="Arial" w:hAnsi="Arial" w:cs="Arial"/>
          <w:i/>
          <w:sz w:val="22"/>
          <w:szCs w:val="22"/>
        </w:rPr>
        <w:lastRenderedPageBreak/>
        <w:t>[It is recognized that LMA3333 will also be incorporated within an MRC that has non-EEA risks. LSW1001 is a “policy” clause that must ultimately go into the documentation provided to the policyholder, whereas LMA3333 was specifically drafted for use on MRC(s), and incorporates both several liability language (similar to LSW1001) and Lloyd’s attestation language]</w:t>
      </w:r>
    </w:p>
    <w:p w14:paraId="31679856" w14:textId="77777777" w:rsidR="00592C29" w:rsidRDefault="00592C29">
      <w:pPr>
        <w:spacing w:before="120"/>
        <w:ind w:left="1440" w:hanging="720"/>
        <w:jc w:val="both"/>
        <w:rPr>
          <w:sz w:val="22"/>
          <w:szCs w:val="22"/>
        </w:rPr>
      </w:pPr>
    </w:p>
    <w:p w14:paraId="6E4BE771" w14:textId="77777777" w:rsidR="00592C29" w:rsidRDefault="0048296D">
      <w:pPr>
        <w:spacing w:before="120"/>
        <w:ind w:left="1440" w:hanging="720"/>
        <w:jc w:val="both"/>
        <w:rPr>
          <w:sz w:val="22"/>
          <w:szCs w:val="22"/>
        </w:rPr>
      </w:pPr>
      <w:r>
        <w:rPr>
          <w:rFonts w:ascii="Arial" w:eastAsia="Arial" w:hAnsi="Arial" w:cs="Arial"/>
          <w:b/>
          <w:bCs/>
          <w:sz w:val="22"/>
          <w:szCs w:val="22"/>
        </w:rPr>
        <w:t>C.2</w:t>
      </w:r>
      <w:r>
        <w:rPr>
          <w:rFonts w:ascii="Arial" w:eastAsia="Arial" w:hAnsi="Arial" w:cs="Arial"/>
          <w:b/>
          <w:bCs/>
          <w:sz w:val="22"/>
          <w:szCs w:val="22"/>
        </w:rPr>
        <w:tab/>
        <w:t>Order Hereon – Mandatory:</w:t>
      </w:r>
    </w:p>
    <w:p w14:paraId="70FACFD6" w14:textId="77777777" w:rsidR="00592C29" w:rsidRDefault="0048296D">
      <w:pPr>
        <w:spacing w:before="120"/>
        <w:ind w:left="720"/>
        <w:jc w:val="both"/>
        <w:rPr>
          <w:sz w:val="22"/>
          <w:szCs w:val="22"/>
        </w:rPr>
      </w:pPr>
      <w:r>
        <w:rPr>
          <w:rFonts w:ascii="Arial" w:eastAsia="Arial" w:hAnsi="Arial" w:cs="Arial"/>
          <w:i/>
          <w:iCs/>
          <w:sz w:val="22"/>
          <w:szCs w:val="22"/>
        </w:rPr>
        <w:t>{intentionally left blank}</w:t>
      </w:r>
    </w:p>
    <w:p w14:paraId="792F682E" w14:textId="77777777" w:rsidR="00592C29" w:rsidRDefault="00592C29">
      <w:pPr>
        <w:spacing w:before="120"/>
        <w:ind w:left="1440" w:hanging="720"/>
        <w:jc w:val="both"/>
        <w:rPr>
          <w:sz w:val="22"/>
          <w:szCs w:val="22"/>
        </w:rPr>
      </w:pPr>
    </w:p>
    <w:p w14:paraId="2ABC9A8F" w14:textId="77777777" w:rsidR="00592C29" w:rsidRDefault="0048296D">
      <w:pPr>
        <w:spacing w:before="120"/>
        <w:ind w:left="1440" w:hanging="720"/>
        <w:jc w:val="both"/>
        <w:rPr>
          <w:sz w:val="22"/>
          <w:szCs w:val="22"/>
        </w:rPr>
      </w:pPr>
      <w:r>
        <w:rPr>
          <w:rFonts w:ascii="Arial" w:eastAsia="Arial" w:hAnsi="Arial" w:cs="Arial"/>
          <w:b/>
          <w:bCs/>
          <w:sz w:val="22"/>
          <w:szCs w:val="22"/>
        </w:rPr>
        <w:t>C.3</w:t>
      </w:r>
      <w:r>
        <w:rPr>
          <w:rFonts w:ascii="Arial" w:eastAsia="Arial" w:hAnsi="Arial" w:cs="Arial"/>
          <w:b/>
          <w:bCs/>
          <w:sz w:val="22"/>
          <w:szCs w:val="22"/>
        </w:rPr>
        <w:tab/>
        <w:t xml:space="preserve">Basis of Written Lines – Mandatory:  </w:t>
      </w:r>
    </w:p>
    <w:p w14:paraId="20821E84" w14:textId="77777777" w:rsidR="00592C29" w:rsidRDefault="0048296D">
      <w:pPr>
        <w:spacing w:before="120"/>
        <w:ind w:left="720"/>
        <w:jc w:val="both"/>
        <w:rPr>
          <w:sz w:val="22"/>
          <w:szCs w:val="22"/>
        </w:rPr>
      </w:pPr>
      <w:r>
        <w:rPr>
          <w:rFonts w:ascii="Arial" w:eastAsia="Arial" w:hAnsi="Arial" w:cs="Arial"/>
          <w:i/>
          <w:iCs/>
          <w:sz w:val="22"/>
          <w:szCs w:val="22"/>
        </w:rPr>
        <w:t>{intentionally left blank}</w:t>
      </w:r>
    </w:p>
    <w:p w14:paraId="3AD97B21" w14:textId="77777777" w:rsidR="00592C29" w:rsidRDefault="00592C29">
      <w:pPr>
        <w:spacing w:before="120"/>
        <w:ind w:left="1440" w:hanging="720"/>
        <w:jc w:val="both"/>
        <w:rPr>
          <w:sz w:val="22"/>
          <w:szCs w:val="22"/>
        </w:rPr>
      </w:pPr>
    </w:p>
    <w:p w14:paraId="44557E46" w14:textId="77777777" w:rsidR="00592C29" w:rsidRDefault="0048296D">
      <w:pPr>
        <w:spacing w:before="120"/>
        <w:ind w:left="1440" w:hanging="720"/>
        <w:jc w:val="both"/>
        <w:rPr>
          <w:sz w:val="22"/>
          <w:szCs w:val="22"/>
        </w:rPr>
      </w:pPr>
      <w:r>
        <w:rPr>
          <w:rFonts w:ascii="Arial" w:eastAsia="Arial" w:hAnsi="Arial" w:cs="Arial"/>
          <w:b/>
          <w:bCs/>
          <w:sz w:val="22"/>
          <w:szCs w:val="22"/>
        </w:rPr>
        <w:t>C.4</w:t>
      </w:r>
      <w:r>
        <w:rPr>
          <w:rFonts w:ascii="Arial" w:eastAsia="Arial" w:hAnsi="Arial" w:cs="Arial"/>
          <w:b/>
          <w:bCs/>
          <w:sz w:val="22"/>
          <w:szCs w:val="22"/>
        </w:rPr>
        <w:tab/>
        <w:t>Basis of Signed Lines – Conditional: Required where this differs from the basis of written lines.</w:t>
      </w:r>
    </w:p>
    <w:p w14:paraId="1EDA22BE" w14:textId="77777777" w:rsidR="00592C29" w:rsidRDefault="0048296D">
      <w:pPr>
        <w:spacing w:before="120"/>
        <w:ind w:left="720"/>
        <w:jc w:val="both"/>
        <w:rPr>
          <w:sz w:val="22"/>
          <w:szCs w:val="22"/>
        </w:rPr>
      </w:pPr>
      <w:r>
        <w:rPr>
          <w:rFonts w:ascii="Arial" w:eastAsia="Arial" w:hAnsi="Arial" w:cs="Arial"/>
          <w:i/>
          <w:iCs/>
          <w:sz w:val="22"/>
          <w:szCs w:val="22"/>
        </w:rPr>
        <w:t>{intentionally left blank}</w:t>
      </w:r>
    </w:p>
    <w:p w14:paraId="3173884C" w14:textId="77777777" w:rsidR="00592C29" w:rsidRDefault="00592C29" w:rsidP="00E05C25">
      <w:pPr>
        <w:spacing w:before="120" w:after="120" w:line="276" w:lineRule="auto"/>
        <w:ind w:left="720"/>
        <w:rPr>
          <w:sz w:val="22"/>
          <w:szCs w:val="22"/>
        </w:rPr>
      </w:pPr>
    </w:p>
    <w:p w14:paraId="3840AB12" w14:textId="77777777" w:rsidR="00592C29" w:rsidRDefault="0048296D">
      <w:pPr>
        <w:spacing w:before="120"/>
        <w:ind w:left="1440" w:hanging="720"/>
        <w:jc w:val="both"/>
        <w:rPr>
          <w:sz w:val="22"/>
          <w:szCs w:val="22"/>
        </w:rPr>
      </w:pPr>
      <w:r>
        <w:rPr>
          <w:rFonts w:ascii="Arial" w:eastAsia="Arial" w:hAnsi="Arial" w:cs="Arial"/>
          <w:b/>
          <w:bCs/>
          <w:sz w:val="22"/>
          <w:szCs w:val="22"/>
        </w:rPr>
        <w:t>C.5</w:t>
      </w:r>
      <w:r>
        <w:rPr>
          <w:rFonts w:ascii="Arial" w:eastAsia="Arial" w:hAnsi="Arial" w:cs="Arial"/>
          <w:b/>
          <w:bCs/>
          <w:sz w:val="22"/>
          <w:szCs w:val="22"/>
        </w:rPr>
        <w:tab/>
        <w:t>Signing Provisions – Conditional: Required where there is more than one participating insurer.</w:t>
      </w:r>
    </w:p>
    <w:p w14:paraId="23EF94C0" w14:textId="77777777" w:rsidR="00592C29" w:rsidRDefault="0048296D">
      <w:pPr>
        <w:spacing w:before="120"/>
        <w:ind w:left="720"/>
        <w:jc w:val="both"/>
        <w:rPr>
          <w:sz w:val="22"/>
          <w:szCs w:val="22"/>
        </w:rPr>
      </w:pPr>
      <w:r>
        <w:rPr>
          <w:rFonts w:ascii="Arial" w:eastAsia="Arial" w:hAnsi="Arial" w:cs="Arial"/>
          <w:sz w:val="22"/>
          <w:szCs w:val="22"/>
        </w:rPr>
        <w:t>Depending on which of the three different approaches, that may be adopted to the split/</w:t>
      </w:r>
      <w:proofErr w:type="spellStart"/>
      <w:r>
        <w:rPr>
          <w:rFonts w:ascii="Arial" w:eastAsia="Arial" w:hAnsi="Arial" w:cs="Arial"/>
          <w:sz w:val="22"/>
          <w:szCs w:val="22"/>
        </w:rPr>
        <w:t>sectionalised</w:t>
      </w:r>
      <w:proofErr w:type="spellEnd"/>
      <w:r>
        <w:rPr>
          <w:rFonts w:ascii="Arial" w:eastAsia="Arial" w:hAnsi="Arial" w:cs="Arial"/>
          <w:sz w:val="22"/>
          <w:szCs w:val="22"/>
        </w:rPr>
        <w:t xml:space="preserve"> MRC, has been used, there may be one or two (or more) signing pages, with the same MRC headings on each. There may be separate signing provisions for Lloyd’s Brussels licensed and syndicate licensed risks.</w:t>
      </w:r>
    </w:p>
    <w:p w14:paraId="392A60F8" w14:textId="77777777" w:rsidR="00592C29" w:rsidRDefault="0048296D">
      <w:pPr>
        <w:spacing w:before="120"/>
        <w:ind w:left="720"/>
        <w:jc w:val="both"/>
        <w:rPr>
          <w:sz w:val="22"/>
          <w:szCs w:val="22"/>
        </w:rPr>
      </w:pPr>
      <w:r>
        <w:rPr>
          <w:rFonts w:ascii="Arial" w:eastAsia="Arial" w:hAnsi="Arial" w:cs="Arial"/>
          <w:sz w:val="22"/>
          <w:szCs w:val="22"/>
        </w:rPr>
        <w:t xml:space="preserve">It is perfectly permissible that Lloyd’s Brussels may be participating with other insurers, e.g. Company markets, either as lead or follower. (LBS0005 Coinsurance Policy can be </w:t>
      </w:r>
      <w:proofErr w:type="spellStart"/>
      <w:r>
        <w:rPr>
          <w:rFonts w:ascii="Arial" w:eastAsia="Arial" w:hAnsi="Arial" w:cs="Arial"/>
          <w:sz w:val="22"/>
          <w:szCs w:val="22"/>
        </w:rPr>
        <w:t>utilised</w:t>
      </w:r>
      <w:proofErr w:type="spellEnd"/>
      <w:r>
        <w:rPr>
          <w:rFonts w:ascii="Arial" w:eastAsia="Arial" w:hAnsi="Arial" w:cs="Arial"/>
          <w:sz w:val="22"/>
          <w:szCs w:val="22"/>
        </w:rPr>
        <w:t xml:space="preserve"> in this situation).</w:t>
      </w:r>
    </w:p>
    <w:p w14:paraId="29D6CE0E" w14:textId="77777777" w:rsidR="00592C29" w:rsidRDefault="00592C29">
      <w:pPr>
        <w:spacing w:before="120"/>
        <w:ind w:left="720"/>
        <w:jc w:val="both"/>
        <w:rPr>
          <w:sz w:val="22"/>
          <w:szCs w:val="22"/>
        </w:rPr>
      </w:pPr>
    </w:p>
    <w:p w14:paraId="30ABBF43" w14:textId="77777777" w:rsidR="00592C29" w:rsidRDefault="0048296D">
      <w:pPr>
        <w:spacing w:before="120" w:after="120"/>
        <w:ind w:left="1440" w:hanging="720"/>
        <w:jc w:val="both"/>
        <w:rPr>
          <w:sz w:val="22"/>
          <w:szCs w:val="22"/>
        </w:rPr>
      </w:pPr>
      <w:r>
        <w:rPr>
          <w:rFonts w:ascii="Arial" w:eastAsia="Arial" w:hAnsi="Arial" w:cs="Arial"/>
          <w:b/>
          <w:bCs/>
          <w:sz w:val="22"/>
          <w:szCs w:val="22"/>
        </w:rPr>
        <w:t>C.6</w:t>
      </w:r>
      <w:r>
        <w:rPr>
          <w:rFonts w:ascii="Arial" w:eastAsia="Arial" w:hAnsi="Arial" w:cs="Arial"/>
          <w:b/>
          <w:bCs/>
          <w:sz w:val="22"/>
          <w:szCs w:val="22"/>
        </w:rPr>
        <w:tab/>
        <w:t>Written Lines – Conditional: Required where the market is not fully pre-defined</w:t>
      </w:r>
      <w:r>
        <w:rPr>
          <w:rFonts w:ascii="Arial" w:eastAsia="Arial" w:hAnsi="Arial" w:cs="Arial"/>
          <w:i/>
          <w:iCs/>
          <w:sz w:val="22"/>
          <w:szCs w:val="22"/>
        </w:rPr>
        <w:t>.</w:t>
      </w:r>
    </w:p>
    <w:p w14:paraId="47D52E74" w14:textId="77777777" w:rsidR="00592C29" w:rsidRDefault="0048296D">
      <w:pPr>
        <w:spacing w:after="200" w:line="276" w:lineRule="auto"/>
        <w:ind w:left="720"/>
        <w:rPr>
          <w:sz w:val="22"/>
          <w:szCs w:val="22"/>
        </w:rPr>
      </w:pPr>
      <w:r>
        <w:rPr>
          <w:rFonts w:ascii="Trebuchet MS" w:eastAsia="Trebuchet MS" w:hAnsi="Trebuchet MS" w:cs="Trebuchet MS"/>
          <w:i/>
          <w:iCs/>
          <w:sz w:val="22"/>
          <w:szCs w:val="22"/>
        </w:rPr>
        <w:t>{intentionally left blank}</w:t>
      </w:r>
      <w:r>
        <w:rPr>
          <w:rFonts w:ascii="Trebuchet MS" w:eastAsia="Trebuchet MS" w:hAnsi="Trebuchet MS" w:cs="Trebuchet MS"/>
          <w:sz w:val="22"/>
          <w:szCs w:val="22"/>
        </w:rPr>
        <w:t xml:space="preserve"> </w:t>
      </w:r>
    </w:p>
    <w:p w14:paraId="5863EC0F" w14:textId="77777777" w:rsidR="00592C29" w:rsidRDefault="00592C29">
      <w:pPr>
        <w:spacing w:before="120"/>
        <w:ind w:left="720"/>
        <w:jc w:val="both"/>
        <w:rPr>
          <w:sz w:val="22"/>
          <w:szCs w:val="22"/>
        </w:rPr>
      </w:pPr>
    </w:p>
    <w:p w14:paraId="0C63E613" w14:textId="77777777" w:rsidR="00592C29" w:rsidRDefault="0048296D">
      <w:pPr>
        <w:spacing w:before="120"/>
        <w:ind w:left="1440" w:hanging="720"/>
        <w:jc w:val="both"/>
        <w:rPr>
          <w:sz w:val="22"/>
          <w:szCs w:val="22"/>
        </w:rPr>
      </w:pPr>
      <w:r>
        <w:rPr>
          <w:rFonts w:ascii="Arial" w:eastAsia="Arial" w:hAnsi="Arial" w:cs="Arial"/>
          <w:b/>
          <w:bCs/>
          <w:sz w:val="22"/>
          <w:szCs w:val="22"/>
        </w:rPr>
        <w:t>C.7</w:t>
      </w:r>
      <w:r>
        <w:rPr>
          <w:rFonts w:ascii="Arial" w:eastAsia="Arial" w:hAnsi="Arial" w:cs="Arial"/>
          <w:b/>
          <w:bCs/>
          <w:sz w:val="22"/>
          <w:szCs w:val="22"/>
        </w:rPr>
        <w:tab/>
        <w:t>Line Conditions – Conditional: Required where insurers wish to apply line conditions</w:t>
      </w:r>
      <w:r>
        <w:rPr>
          <w:rFonts w:ascii="Arial" w:eastAsia="Arial" w:hAnsi="Arial" w:cs="Arial"/>
          <w:i/>
          <w:iCs/>
          <w:sz w:val="22"/>
          <w:szCs w:val="22"/>
        </w:rPr>
        <w:t>.</w:t>
      </w:r>
    </w:p>
    <w:p w14:paraId="6F7E2C95" w14:textId="77777777" w:rsidR="00592C29" w:rsidRDefault="0048296D">
      <w:pPr>
        <w:spacing w:before="120"/>
        <w:ind w:left="720"/>
        <w:jc w:val="both"/>
        <w:rPr>
          <w:sz w:val="22"/>
          <w:szCs w:val="22"/>
        </w:rPr>
      </w:pPr>
      <w:r>
        <w:rPr>
          <w:rFonts w:ascii="Arial" w:eastAsia="Arial" w:hAnsi="Arial" w:cs="Arial"/>
          <w:sz w:val="22"/>
          <w:szCs w:val="22"/>
        </w:rPr>
        <w:t>Line condition – Only the lead outsourced Lloyd’s Brussels underwriter can attach other line conditions which will apply to all of the Lloyd’s Brussels participation “Annual resigning” and “Line to Stand” are the only acceptable line conditions for followers of a Lloyd’s Brussels lead line.</w:t>
      </w:r>
    </w:p>
    <w:p w14:paraId="56814D7C" w14:textId="77777777" w:rsidR="00592C29" w:rsidRDefault="00592C29">
      <w:pPr>
        <w:spacing w:before="120"/>
        <w:ind w:left="720"/>
        <w:jc w:val="both"/>
        <w:rPr>
          <w:sz w:val="22"/>
          <w:szCs w:val="22"/>
        </w:rPr>
      </w:pPr>
    </w:p>
    <w:p w14:paraId="3986638A" w14:textId="77777777" w:rsidR="00592C29" w:rsidRDefault="0048296D">
      <w:pPr>
        <w:spacing w:after="200" w:line="276" w:lineRule="auto"/>
        <w:rPr>
          <w:sz w:val="22"/>
          <w:szCs w:val="22"/>
        </w:rPr>
      </w:pPr>
      <w:r>
        <w:rPr>
          <w:sz w:val="22"/>
          <w:szCs w:val="22"/>
        </w:rPr>
        <w:br w:type="page"/>
      </w:r>
    </w:p>
    <w:p w14:paraId="3077B772" w14:textId="77777777" w:rsidR="00592C29" w:rsidRDefault="0048296D">
      <w:pPr>
        <w:pStyle w:val="Heading1"/>
        <w:rPr>
          <w:sz w:val="40"/>
          <w:szCs w:val="40"/>
        </w:rPr>
      </w:pPr>
      <w:bookmarkStart w:id="46" w:name="_Toc21706649"/>
      <w:bookmarkStart w:id="47" w:name="_Toc31396084"/>
      <w:r>
        <w:rPr>
          <w:rFonts w:ascii="Arial" w:eastAsia="Arial" w:hAnsi="Arial" w:cs="Arial"/>
          <w:color w:val="0070C0"/>
          <w:sz w:val="40"/>
          <w:szCs w:val="40"/>
        </w:rPr>
        <w:lastRenderedPageBreak/>
        <w:t>Chapter 7 – SUBSCRIPTION AGREEMENT Guidance</w:t>
      </w:r>
      <w:bookmarkEnd w:id="46"/>
      <w:bookmarkEnd w:id="47"/>
    </w:p>
    <w:p w14:paraId="7BC56F58" w14:textId="77777777" w:rsidR="00592C29" w:rsidRDefault="00592C29">
      <w:pPr>
        <w:rPr>
          <w:sz w:val="22"/>
          <w:szCs w:val="22"/>
        </w:rPr>
      </w:pPr>
    </w:p>
    <w:p w14:paraId="604D887D" w14:textId="77777777" w:rsidR="00592C29" w:rsidRDefault="0048296D">
      <w:pPr>
        <w:pStyle w:val="Heading2"/>
        <w:rPr>
          <w:sz w:val="28"/>
          <w:szCs w:val="28"/>
        </w:rPr>
      </w:pPr>
      <w:bookmarkStart w:id="48" w:name="_Toc21706650"/>
      <w:bookmarkStart w:id="49" w:name="_Toc31396085"/>
      <w:r>
        <w:rPr>
          <w:rFonts w:ascii="Arial" w:eastAsia="Arial" w:hAnsi="Arial" w:cs="Arial"/>
          <w:i/>
          <w:color w:val="0070C0"/>
          <w:sz w:val="28"/>
          <w:szCs w:val="28"/>
        </w:rPr>
        <w:t>7.1 General Guidance</w:t>
      </w:r>
      <w:bookmarkEnd w:id="48"/>
      <w:bookmarkEnd w:id="49"/>
      <w:r>
        <w:rPr>
          <w:rFonts w:ascii="Arial" w:eastAsia="Arial" w:hAnsi="Arial" w:cs="Arial"/>
          <w:i/>
          <w:color w:val="0070C0"/>
          <w:sz w:val="28"/>
          <w:szCs w:val="28"/>
        </w:rPr>
        <w:t xml:space="preserve"> </w:t>
      </w:r>
    </w:p>
    <w:p w14:paraId="197A17A0" w14:textId="77777777" w:rsidR="00592C29" w:rsidRDefault="00592C29">
      <w:pPr>
        <w:rPr>
          <w:sz w:val="22"/>
          <w:szCs w:val="22"/>
        </w:rPr>
      </w:pPr>
    </w:p>
    <w:p w14:paraId="7BE92465" w14:textId="77777777" w:rsidR="00592C29" w:rsidRDefault="0048296D">
      <w:pPr>
        <w:spacing w:before="120"/>
        <w:ind w:left="720"/>
        <w:jc w:val="both"/>
        <w:rPr>
          <w:sz w:val="22"/>
          <w:szCs w:val="22"/>
        </w:rPr>
      </w:pPr>
      <w:r>
        <w:rPr>
          <w:rFonts w:ascii="Arial" w:eastAsia="Arial" w:hAnsi="Arial" w:cs="Arial"/>
          <w:sz w:val="22"/>
          <w:szCs w:val="22"/>
        </w:rPr>
        <w:t>Lloyd’s Brussels is ensuring it causes as minimum disruption as possible to the market by using existing market systems and processes. Therefore, Lloyd’s Brussels has put in place separate contracts with the bureau (and other third party service providers) for the movement of premium and claims; amending this service so that the reinsurance activity is automatic; and ensuring central settlement is still available for Lloyd’s Brussels business; so enabling the administration and processing to continue as before “behind the scenes”.</w:t>
      </w:r>
    </w:p>
    <w:p w14:paraId="3A263DA3" w14:textId="77777777" w:rsidR="00592C29" w:rsidRDefault="0048296D">
      <w:pPr>
        <w:spacing w:before="120"/>
        <w:ind w:left="720"/>
        <w:jc w:val="both"/>
        <w:rPr>
          <w:sz w:val="22"/>
          <w:szCs w:val="22"/>
        </w:rPr>
      </w:pPr>
      <w:r>
        <w:rPr>
          <w:rFonts w:ascii="Arial" w:eastAsia="Arial" w:hAnsi="Arial" w:cs="Arial"/>
          <w:sz w:val="22"/>
          <w:szCs w:val="22"/>
        </w:rPr>
        <w:t>By means of a 100% Quota Share Reinsurance Agreement, all risks (re)insured by Lloyd’s Brussels will be automatically and simultaneously reinsured or retroceded back to Lloyd’s Underwriters, for which Lloyd’s Brussels will receive an agreed commission on each reinsurance transaction (deducted by the bureau).</w:t>
      </w:r>
    </w:p>
    <w:p w14:paraId="6817754C" w14:textId="77777777" w:rsidR="00592C29" w:rsidRDefault="0048296D">
      <w:pPr>
        <w:spacing w:before="120"/>
        <w:ind w:left="720"/>
        <w:jc w:val="both"/>
        <w:rPr>
          <w:sz w:val="22"/>
          <w:szCs w:val="22"/>
        </w:rPr>
      </w:pPr>
      <w:r>
        <w:rPr>
          <w:rFonts w:ascii="Arial" w:eastAsia="Arial" w:hAnsi="Arial" w:cs="Arial"/>
          <w:sz w:val="22"/>
          <w:szCs w:val="22"/>
        </w:rPr>
        <w:t>In this way, Lloyd’s Underwriters will (</w:t>
      </w:r>
      <w:proofErr w:type="spellStart"/>
      <w:r>
        <w:rPr>
          <w:rFonts w:ascii="Arial" w:eastAsia="Arial" w:hAnsi="Arial" w:cs="Arial"/>
          <w:sz w:val="22"/>
          <w:szCs w:val="22"/>
        </w:rPr>
        <w:t>utilising</w:t>
      </w:r>
      <w:proofErr w:type="spellEnd"/>
      <w:r>
        <w:rPr>
          <w:rFonts w:ascii="Arial" w:eastAsia="Arial" w:hAnsi="Arial" w:cs="Arial"/>
          <w:sz w:val="22"/>
          <w:szCs w:val="22"/>
        </w:rPr>
        <w:t xml:space="preserve"> Lloyd’s Brussels) be able to continue to provide cover for EEA risks post Brexit whilst enabling managing agents to work with the same partners (brokers and </w:t>
      </w:r>
      <w:proofErr w:type="spellStart"/>
      <w:r>
        <w:rPr>
          <w:rFonts w:ascii="Arial" w:eastAsia="Arial" w:hAnsi="Arial" w:cs="Arial"/>
          <w:sz w:val="22"/>
          <w:szCs w:val="22"/>
        </w:rPr>
        <w:t>Coverholders</w:t>
      </w:r>
      <w:proofErr w:type="spellEnd"/>
      <w:r>
        <w:rPr>
          <w:rFonts w:ascii="Arial" w:eastAsia="Arial" w:hAnsi="Arial" w:cs="Arial"/>
          <w:sz w:val="22"/>
          <w:szCs w:val="22"/>
        </w:rPr>
        <w:t>) using the same systems and processes, as they do now.</w:t>
      </w:r>
    </w:p>
    <w:p w14:paraId="66FBD1B4" w14:textId="77777777" w:rsidR="00592C29" w:rsidRDefault="0048296D">
      <w:pPr>
        <w:spacing w:before="120"/>
        <w:ind w:left="720"/>
        <w:jc w:val="both"/>
        <w:rPr>
          <w:sz w:val="22"/>
          <w:szCs w:val="22"/>
        </w:rPr>
      </w:pPr>
      <w:r>
        <w:rPr>
          <w:rFonts w:ascii="Arial" w:eastAsia="Arial" w:hAnsi="Arial" w:cs="Arial"/>
          <w:sz w:val="22"/>
          <w:szCs w:val="22"/>
        </w:rPr>
        <w:t>Lloyd’s Brussels will require the use of the Structured Data Capture (SDC) service for risk information submission. This service takes the market MRC (slip) and converts it to a data set for Lloyd’s Brussels to upload without rekeying, reducing error and duplication.</w:t>
      </w:r>
    </w:p>
    <w:p w14:paraId="65A8D236" w14:textId="77777777" w:rsidR="00592C29" w:rsidRDefault="0048296D">
      <w:pPr>
        <w:spacing w:before="120"/>
        <w:ind w:left="720"/>
        <w:jc w:val="both"/>
        <w:rPr>
          <w:sz w:val="22"/>
          <w:szCs w:val="22"/>
        </w:rPr>
      </w:pPr>
      <w:r>
        <w:rPr>
          <w:rFonts w:ascii="Arial" w:eastAsia="Arial" w:hAnsi="Arial" w:cs="Arial"/>
          <w:sz w:val="22"/>
          <w:szCs w:val="22"/>
        </w:rPr>
        <w:t>Depending on which of the three different approaches, that may be adopted to the split/</w:t>
      </w:r>
      <w:proofErr w:type="spellStart"/>
      <w:r>
        <w:rPr>
          <w:rFonts w:ascii="Arial" w:eastAsia="Arial" w:hAnsi="Arial" w:cs="Arial"/>
          <w:sz w:val="22"/>
          <w:szCs w:val="22"/>
        </w:rPr>
        <w:t>sectionalised</w:t>
      </w:r>
      <w:proofErr w:type="spellEnd"/>
      <w:r>
        <w:rPr>
          <w:rFonts w:ascii="Arial" w:eastAsia="Arial" w:hAnsi="Arial" w:cs="Arial"/>
          <w:sz w:val="22"/>
          <w:szCs w:val="22"/>
        </w:rPr>
        <w:t xml:space="preserve"> the MRC, has been used, there may be one or two Subscription Agreements, with the same MRC headings on each:</w:t>
      </w:r>
    </w:p>
    <w:p w14:paraId="18954A12" w14:textId="7F7C7FFB" w:rsidR="00592C29" w:rsidRPr="00DC263A" w:rsidRDefault="0048296D">
      <w:pPr>
        <w:numPr>
          <w:ilvl w:val="0"/>
          <w:numId w:val="32"/>
        </w:numPr>
        <w:pBdr>
          <w:left w:val="none" w:sz="0" w:space="7" w:color="auto"/>
        </w:pBdr>
        <w:spacing w:before="120"/>
        <w:ind w:left="1440" w:hanging="430"/>
        <w:jc w:val="both"/>
        <w:rPr>
          <w:color w:val="0070C0"/>
          <w:sz w:val="22"/>
          <w:szCs w:val="22"/>
        </w:rPr>
      </w:pPr>
      <w:r>
        <w:rPr>
          <w:rFonts w:ascii="Arial" w:eastAsia="Arial" w:hAnsi="Arial" w:cs="Arial"/>
          <w:color w:val="000000"/>
          <w:sz w:val="22"/>
          <w:szCs w:val="22"/>
        </w:rPr>
        <w:t>If simply splitting the premium for Lloyd’s Brussels/ non-Lloyd’s Brussels risks under the “Premium” heading within Risk Details and including a separate “market sheet” (Security Details) for each, the Subscription Agreement may appear as a single agreement, with one heading for each aspect and the {responses} completed separately for A) in respect of Lloyd’s Brussels risks and B) in respect of non-Lloyd’s Brussels risks as more fully defined in the example MRCs herein.</w:t>
      </w:r>
    </w:p>
    <w:p w14:paraId="32474FF5" w14:textId="2B232CDA" w:rsidR="00592C29" w:rsidRPr="00DC263A" w:rsidRDefault="0048296D">
      <w:pPr>
        <w:numPr>
          <w:ilvl w:val="0"/>
          <w:numId w:val="32"/>
        </w:numPr>
        <w:pBdr>
          <w:left w:val="none" w:sz="0" w:space="7" w:color="auto"/>
        </w:pBdr>
        <w:spacing w:before="120"/>
        <w:ind w:left="1440" w:hanging="430"/>
        <w:jc w:val="both"/>
        <w:rPr>
          <w:color w:val="0070C0"/>
          <w:sz w:val="22"/>
          <w:szCs w:val="22"/>
        </w:rPr>
      </w:pPr>
      <w:r>
        <w:rPr>
          <w:rFonts w:ascii="Arial" w:eastAsia="Arial" w:hAnsi="Arial" w:cs="Arial"/>
          <w:color w:val="000000"/>
          <w:sz w:val="22"/>
          <w:szCs w:val="22"/>
        </w:rPr>
        <w:t xml:space="preserve">If splitting each section of the MRC into two sub-sections – A) for EEA risks and B) for </w:t>
      </w:r>
      <w:proofErr w:type="spellStart"/>
      <w:r>
        <w:rPr>
          <w:rFonts w:ascii="Arial" w:eastAsia="Arial" w:hAnsi="Arial" w:cs="Arial"/>
          <w:color w:val="000000"/>
          <w:sz w:val="22"/>
          <w:szCs w:val="22"/>
        </w:rPr>
        <w:t>non EEA</w:t>
      </w:r>
      <w:proofErr w:type="spellEnd"/>
      <w:r>
        <w:rPr>
          <w:rFonts w:ascii="Arial" w:eastAsia="Arial" w:hAnsi="Arial" w:cs="Arial"/>
          <w:color w:val="000000"/>
          <w:sz w:val="22"/>
          <w:szCs w:val="22"/>
        </w:rPr>
        <w:t xml:space="preserve"> risks, and including a separate “market sheet” (Security Details) for each section A) and B), separate Subscription Agreement sections for A) and B) can be included, or the Subscription Agreement can may appear as a single agreement, with one heading for each aspect and the {responses} completed separately for A) in respect of EEA risks and B) in respect of non-EEA risks; as more fully defined in the example MRCs herein</w:t>
      </w:r>
      <w:r w:rsidR="00DC263A">
        <w:rPr>
          <w:rFonts w:ascii="Arial" w:eastAsia="Arial" w:hAnsi="Arial" w:cs="Arial"/>
          <w:color w:val="000000"/>
          <w:sz w:val="22"/>
          <w:szCs w:val="22"/>
        </w:rPr>
        <w:t>.</w:t>
      </w:r>
    </w:p>
    <w:p w14:paraId="74D3456A" w14:textId="77777777" w:rsidR="00592C29" w:rsidRPr="00DC263A" w:rsidRDefault="0048296D">
      <w:pPr>
        <w:numPr>
          <w:ilvl w:val="0"/>
          <w:numId w:val="32"/>
        </w:numPr>
        <w:pBdr>
          <w:left w:val="none" w:sz="0" w:space="7" w:color="auto"/>
        </w:pBdr>
        <w:spacing w:before="120"/>
        <w:ind w:left="1440" w:hanging="430"/>
        <w:jc w:val="both"/>
        <w:rPr>
          <w:color w:val="0070C0"/>
          <w:sz w:val="22"/>
          <w:szCs w:val="22"/>
        </w:rPr>
      </w:pPr>
      <w:r>
        <w:rPr>
          <w:rFonts w:ascii="Arial" w:eastAsia="Arial" w:hAnsi="Arial" w:cs="Arial"/>
          <w:color w:val="000000"/>
          <w:sz w:val="22"/>
          <w:szCs w:val="22"/>
        </w:rPr>
        <w:t>If two totally separate MRC for Lloyd’s Brussels/ non-Lloyd’s Brussels risks, with appropriate interlocking language for “global” placements have been used, on each respective MRC, there will be only one Subscription Agreement for the MRC in question.</w:t>
      </w:r>
    </w:p>
    <w:p w14:paraId="27E8B19B" w14:textId="77777777" w:rsidR="00225164" w:rsidRDefault="00225164">
      <w:pPr>
        <w:rPr>
          <w:sz w:val="22"/>
          <w:szCs w:val="22"/>
        </w:rPr>
      </w:pPr>
    </w:p>
    <w:p w14:paraId="681AE46C" w14:textId="603D3A0B" w:rsidR="00225164" w:rsidRDefault="00225164">
      <w:pPr>
        <w:rPr>
          <w:sz w:val="22"/>
          <w:szCs w:val="22"/>
        </w:rPr>
      </w:pPr>
      <w:r>
        <w:rPr>
          <w:sz w:val="22"/>
          <w:szCs w:val="22"/>
        </w:rPr>
        <w:br w:type="page"/>
      </w:r>
    </w:p>
    <w:p w14:paraId="13A6C0D8" w14:textId="77777777" w:rsidR="00592C29" w:rsidRDefault="00592C29">
      <w:pPr>
        <w:rPr>
          <w:sz w:val="22"/>
          <w:szCs w:val="22"/>
        </w:rPr>
      </w:pPr>
    </w:p>
    <w:p w14:paraId="6AB9F93F" w14:textId="77777777" w:rsidR="00592C29" w:rsidRDefault="0048296D">
      <w:pPr>
        <w:pStyle w:val="Heading2"/>
        <w:rPr>
          <w:sz w:val="28"/>
          <w:szCs w:val="28"/>
        </w:rPr>
      </w:pPr>
      <w:bookmarkStart w:id="50" w:name="_Toc21706651"/>
      <w:bookmarkStart w:id="51" w:name="_Toc31396086"/>
      <w:r>
        <w:rPr>
          <w:rFonts w:ascii="Arial" w:eastAsia="Arial" w:hAnsi="Arial" w:cs="Arial"/>
          <w:i/>
          <w:color w:val="0070C0"/>
          <w:sz w:val="28"/>
          <w:szCs w:val="28"/>
        </w:rPr>
        <w:t>7.2 Guidance on Specific Fields</w:t>
      </w:r>
      <w:bookmarkEnd w:id="50"/>
      <w:bookmarkEnd w:id="51"/>
    </w:p>
    <w:p w14:paraId="7B9BC2F2" w14:textId="77777777" w:rsidR="00592C29" w:rsidRDefault="00592C29">
      <w:pPr>
        <w:rPr>
          <w:sz w:val="22"/>
          <w:szCs w:val="22"/>
        </w:rPr>
      </w:pPr>
    </w:p>
    <w:p w14:paraId="2192AEAF" w14:textId="77777777" w:rsidR="00592C29" w:rsidRDefault="0048296D">
      <w:pPr>
        <w:spacing w:before="120"/>
        <w:ind w:left="1440" w:hanging="720"/>
        <w:jc w:val="both"/>
        <w:rPr>
          <w:sz w:val="22"/>
          <w:szCs w:val="22"/>
        </w:rPr>
      </w:pPr>
      <w:r>
        <w:rPr>
          <w:rFonts w:ascii="Arial" w:eastAsia="Arial" w:hAnsi="Arial" w:cs="Arial"/>
          <w:b/>
          <w:bCs/>
          <w:sz w:val="22"/>
          <w:szCs w:val="22"/>
        </w:rPr>
        <w:t>D.1</w:t>
      </w:r>
      <w:r>
        <w:rPr>
          <w:rFonts w:ascii="Arial" w:eastAsia="Arial" w:hAnsi="Arial" w:cs="Arial"/>
          <w:b/>
          <w:bCs/>
          <w:sz w:val="22"/>
          <w:szCs w:val="22"/>
        </w:rPr>
        <w:tab/>
        <w:t xml:space="preserve">Slip Leader – Mandatory:  </w:t>
      </w:r>
    </w:p>
    <w:p w14:paraId="1344314A" w14:textId="2ACDC622" w:rsidR="00592C29" w:rsidRPr="00DC263A" w:rsidRDefault="00DC263A">
      <w:pPr>
        <w:spacing w:before="120"/>
        <w:ind w:left="709" w:firstLine="11"/>
        <w:jc w:val="both"/>
        <w:rPr>
          <w:rFonts w:ascii="Arial" w:eastAsia="Arial" w:hAnsi="Arial" w:cs="Arial"/>
          <w:sz w:val="22"/>
          <w:szCs w:val="22"/>
        </w:rPr>
      </w:pPr>
      <w:r w:rsidRPr="00DC263A">
        <w:rPr>
          <w:rFonts w:ascii="Arial" w:eastAsia="Arial" w:hAnsi="Arial" w:cs="Arial"/>
          <w:sz w:val="22"/>
          <w:szCs w:val="22"/>
        </w:rPr>
        <w:t>Typically,</w:t>
      </w:r>
      <w:r w:rsidR="0048296D" w:rsidRPr="00DC263A">
        <w:rPr>
          <w:rFonts w:ascii="Arial" w:eastAsia="Arial" w:hAnsi="Arial" w:cs="Arial"/>
          <w:sz w:val="22"/>
          <w:szCs w:val="22"/>
        </w:rPr>
        <w:t xml:space="preserve"> the Slip leader would be the same Managing Agent </w:t>
      </w:r>
      <w:proofErr w:type="spellStart"/>
      <w:r w:rsidR="0048296D" w:rsidRPr="00DC263A">
        <w:rPr>
          <w:rFonts w:ascii="Arial" w:eastAsia="Arial" w:hAnsi="Arial" w:cs="Arial"/>
          <w:sz w:val="22"/>
          <w:szCs w:val="22"/>
        </w:rPr>
        <w:t>utilising</w:t>
      </w:r>
      <w:proofErr w:type="spellEnd"/>
      <w:r w:rsidR="0048296D" w:rsidRPr="00DC263A">
        <w:rPr>
          <w:rFonts w:ascii="Arial" w:eastAsia="Arial" w:hAnsi="Arial" w:cs="Arial"/>
          <w:sz w:val="22"/>
          <w:szCs w:val="22"/>
        </w:rPr>
        <w:t xml:space="preserve"> its two licensed stamps. For EEA (plus Monaco and UK where applicable) </w:t>
      </w:r>
      <w:proofErr w:type="spellStart"/>
      <w:r w:rsidR="0048296D" w:rsidRPr="00DC263A">
        <w:rPr>
          <w:rFonts w:ascii="Arial" w:eastAsia="Arial" w:hAnsi="Arial" w:cs="Arial"/>
          <w:sz w:val="22"/>
          <w:szCs w:val="22"/>
        </w:rPr>
        <w:t>utilising</w:t>
      </w:r>
      <w:proofErr w:type="spellEnd"/>
      <w:r w:rsidR="0048296D" w:rsidRPr="00DC263A">
        <w:rPr>
          <w:rFonts w:ascii="Arial" w:eastAsia="Arial" w:hAnsi="Arial" w:cs="Arial"/>
          <w:sz w:val="22"/>
          <w:szCs w:val="22"/>
        </w:rPr>
        <w:t xml:space="preserve"> the outsourced Lloyd’s Brussels stamp identified by its unique pseudonym and number and for non-</w:t>
      </w:r>
      <w:r w:rsidR="00293580" w:rsidRPr="00DC263A">
        <w:rPr>
          <w:rFonts w:ascii="Arial" w:eastAsia="Arial" w:hAnsi="Arial" w:cs="Arial"/>
          <w:sz w:val="22"/>
          <w:szCs w:val="22"/>
        </w:rPr>
        <w:t>EEA)</w:t>
      </w:r>
      <w:r w:rsidR="0048296D" w:rsidRPr="00DC263A">
        <w:rPr>
          <w:rFonts w:ascii="Arial" w:eastAsia="Arial" w:hAnsi="Arial" w:cs="Arial"/>
          <w:sz w:val="22"/>
          <w:szCs w:val="22"/>
        </w:rPr>
        <w:t xml:space="preserve"> the Lloyd’s syndicate stamp identified by its unique pseudonym and number, for example:</w:t>
      </w:r>
    </w:p>
    <w:p w14:paraId="0C82006F" w14:textId="77777777" w:rsidR="00DC263A" w:rsidRDefault="00DC263A">
      <w:pPr>
        <w:spacing w:before="120"/>
        <w:ind w:left="709" w:firstLine="11"/>
        <w:jc w:val="both"/>
        <w:rPr>
          <w:rFonts w:ascii="Arial" w:eastAsia="Arial" w:hAnsi="Arial" w:cs="Arial"/>
          <w:sz w:val="22"/>
          <w:szCs w:val="22"/>
        </w:rPr>
      </w:pPr>
    </w:p>
    <w:tbl>
      <w:tblPr>
        <w:tblStyle w:val="TableGrid"/>
        <w:tblW w:w="0" w:type="auto"/>
        <w:tblInd w:w="959" w:type="dxa"/>
        <w:tblLook w:val="04A0" w:firstRow="1" w:lastRow="0" w:firstColumn="1" w:lastColumn="0" w:noHBand="0" w:noVBand="1"/>
      </w:tblPr>
      <w:tblGrid>
        <w:gridCol w:w="8732"/>
      </w:tblGrid>
      <w:tr w:rsidR="00DC263A" w14:paraId="3EFC8C10" w14:textId="77777777" w:rsidTr="00DC263A">
        <w:tc>
          <w:tcPr>
            <w:tcW w:w="8732" w:type="dxa"/>
          </w:tcPr>
          <w:p w14:paraId="0EF4556C" w14:textId="457C8DC1" w:rsidR="00DC263A" w:rsidRPr="00530A26" w:rsidRDefault="00DC263A">
            <w:pPr>
              <w:spacing w:before="120"/>
              <w:jc w:val="both"/>
              <w:rPr>
                <w:rFonts w:ascii="Arial" w:eastAsia="Arial" w:hAnsi="Arial" w:cs="Arial"/>
                <w:sz w:val="20"/>
                <w:szCs w:val="20"/>
              </w:rPr>
            </w:pPr>
            <w:r w:rsidRPr="00530A26">
              <w:rPr>
                <w:rFonts w:ascii="Arial" w:eastAsia="Arial" w:hAnsi="Arial" w:cs="Arial"/>
                <w:b/>
                <w:sz w:val="20"/>
                <w:szCs w:val="20"/>
              </w:rPr>
              <w:t>SLIP LEADER</w:t>
            </w:r>
            <w:r w:rsidRPr="00530A26">
              <w:rPr>
                <w:rFonts w:ascii="Arial" w:eastAsia="Arial" w:hAnsi="Arial" w:cs="Arial"/>
                <w:sz w:val="20"/>
                <w:szCs w:val="20"/>
              </w:rPr>
              <w:t xml:space="preserve">:       </w:t>
            </w:r>
            <w:r w:rsidR="00530A26">
              <w:rPr>
                <w:rFonts w:ascii="Arial" w:eastAsia="Arial" w:hAnsi="Arial" w:cs="Arial"/>
                <w:sz w:val="20"/>
                <w:szCs w:val="20"/>
              </w:rPr>
              <w:t xml:space="preserve">       </w:t>
            </w:r>
            <w:r w:rsidRPr="00530A26">
              <w:rPr>
                <w:rFonts w:ascii="Arial" w:eastAsia="Arial" w:hAnsi="Arial" w:cs="Arial"/>
                <w:sz w:val="20"/>
                <w:szCs w:val="20"/>
              </w:rPr>
              <w:t xml:space="preserve">Lloyd’s Insurance company S.A. </w:t>
            </w:r>
            <w:r w:rsidR="00530A26" w:rsidRPr="00530A26">
              <w:rPr>
                <w:rFonts w:ascii="Arial" w:eastAsia="Arial" w:hAnsi="Arial" w:cs="Arial"/>
                <w:sz w:val="20"/>
                <w:szCs w:val="20"/>
              </w:rPr>
              <w:t>{5299 HIS) in respect of EEA</w:t>
            </w:r>
          </w:p>
          <w:p w14:paraId="670892A4" w14:textId="59E21454" w:rsidR="00530A26" w:rsidRPr="00530A26" w:rsidRDefault="00530A26">
            <w:pPr>
              <w:spacing w:before="120"/>
              <w:jc w:val="both"/>
              <w:rPr>
                <w:rFonts w:ascii="Arial" w:eastAsia="Arial" w:hAnsi="Arial" w:cs="Arial"/>
                <w:sz w:val="20"/>
                <w:szCs w:val="20"/>
              </w:rPr>
            </w:pPr>
            <w:r w:rsidRPr="00530A26">
              <w:rPr>
                <w:rFonts w:ascii="Arial" w:eastAsia="Arial" w:hAnsi="Arial" w:cs="Arial"/>
                <w:sz w:val="20"/>
                <w:szCs w:val="20"/>
              </w:rPr>
              <w:t xml:space="preserve">                                </w:t>
            </w:r>
            <w:r>
              <w:rPr>
                <w:rFonts w:ascii="Arial" w:eastAsia="Arial" w:hAnsi="Arial" w:cs="Arial"/>
                <w:sz w:val="20"/>
                <w:szCs w:val="20"/>
              </w:rPr>
              <w:t xml:space="preserve">       </w:t>
            </w:r>
            <w:r w:rsidRPr="00530A26">
              <w:rPr>
                <w:rFonts w:ascii="Arial" w:eastAsia="Arial" w:hAnsi="Arial" w:cs="Arial"/>
                <w:sz w:val="20"/>
                <w:szCs w:val="20"/>
              </w:rPr>
              <w:t>(plus UK and Monaco where applicable.</w:t>
            </w:r>
          </w:p>
          <w:p w14:paraId="1BADF761" w14:textId="40012340" w:rsidR="00530A26" w:rsidRDefault="00530A26">
            <w:pPr>
              <w:spacing w:before="120"/>
              <w:jc w:val="both"/>
              <w:rPr>
                <w:rFonts w:ascii="Arial" w:eastAsia="Arial" w:hAnsi="Arial" w:cs="Arial"/>
                <w:sz w:val="20"/>
                <w:szCs w:val="20"/>
              </w:rPr>
            </w:pPr>
            <w:r w:rsidRPr="00530A26">
              <w:rPr>
                <w:rFonts w:ascii="Arial" w:eastAsia="Arial" w:hAnsi="Arial" w:cs="Arial"/>
                <w:sz w:val="20"/>
                <w:szCs w:val="20"/>
              </w:rPr>
              <w:t xml:space="preserve">                               </w:t>
            </w:r>
            <w:r>
              <w:rPr>
                <w:rFonts w:ascii="Arial" w:eastAsia="Arial" w:hAnsi="Arial" w:cs="Arial"/>
                <w:sz w:val="20"/>
                <w:szCs w:val="20"/>
              </w:rPr>
              <w:t xml:space="preserve">        </w:t>
            </w:r>
            <w:proofErr w:type="spellStart"/>
            <w:r w:rsidRPr="00530A26">
              <w:rPr>
                <w:rFonts w:ascii="Arial" w:eastAsia="Arial" w:hAnsi="Arial" w:cs="Arial"/>
                <w:sz w:val="20"/>
                <w:szCs w:val="20"/>
              </w:rPr>
              <w:t>Hiscox</w:t>
            </w:r>
            <w:proofErr w:type="spellEnd"/>
            <w:r w:rsidRPr="00530A26">
              <w:rPr>
                <w:rFonts w:ascii="Arial" w:eastAsia="Arial" w:hAnsi="Arial" w:cs="Arial"/>
                <w:sz w:val="20"/>
                <w:szCs w:val="20"/>
              </w:rPr>
              <w:t xml:space="preserve"> Syndicate (0033) in respect of non-EEA.</w:t>
            </w:r>
          </w:p>
          <w:p w14:paraId="436CC634" w14:textId="74CDF146" w:rsidR="00530A26" w:rsidRPr="00530A26" w:rsidRDefault="00530A26">
            <w:pPr>
              <w:spacing w:before="120"/>
              <w:jc w:val="both"/>
              <w:rPr>
                <w:rFonts w:ascii="Arial" w:eastAsia="Arial" w:hAnsi="Arial" w:cs="Arial"/>
                <w:sz w:val="20"/>
                <w:szCs w:val="20"/>
              </w:rPr>
            </w:pPr>
          </w:p>
        </w:tc>
      </w:tr>
    </w:tbl>
    <w:p w14:paraId="467A67DD" w14:textId="77777777" w:rsidR="00592C29" w:rsidRDefault="00592C29">
      <w:pPr>
        <w:spacing w:before="120"/>
        <w:ind w:left="1440" w:hanging="720"/>
        <w:jc w:val="both"/>
        <w:rPr>
          <w:sz w:val="22"/>
          <w:szCs w:val="22"/>
        </w:rPr>
      </w:pPr>
    </w:p>
    <w:p w14:paraId="60EF5530" w14:textId="77777777" w:rsidR="00592C29" w:rsidRDefault="0048296D">
      <w:pPr>
        <w:spacing w:before="120"/>
        <w:ind w:left="1440" w:hanging="720"/>
        <w:jc w:val="both"/>
        <w:rPr>
          <w:sz w:val="22"/>
          <w:szCs w:val="22"/>
        </w:rPr>
      </w:pPr>
      <w:r>
        <w:rPr>
          <w:rFonts w:ascii="Arial" w:eastAsia="Arial" w:hAnsi="Arial" w:cs="Arial"/>
          <w:b/>
          <w:bCs/>
          <w:sz w:val="22"/>
          <w:szCs w:val="22"/>
        </w:rPr>
        <w:t>D.2</w:t>
      </w:r>
      <w:r>
        <w:rPr>
          <w:rFonts w:ascii="Arial" w:eastAsia="Arial" w:hAnsi="Arial" w:cs="Arial"/>
          <w:b/>
          <w:bCs/>
          <w:sz w:val="22"/>
          <w:szCs w:val="22"/>
        </w:rPr>
        <w:tab/>
        <w:t>Bureau Leader – Conditional: Mandatory where the Slip Leader is not also the Bureau Leader and where SCAP applies.</w:t>
      </w:r>
    </w:p>
    <w:p w14:paraId="58A3EC5A" w14:textId="77777777" w:rsidR="00592C29" w:rsidRDefault="0048296D">
      <w:pPr>
        <w:spacing w:before="120"/>
        <w:ind w:left="720"/>
        <w:jc w:val="both"/>
        <w:rPr>
          <w:sz w:val="22"/>
          <w:szCs w:val="22"/>
        </w:rPr>
      </w:pPr>
      <w:r>
        <w:rPr>
          <w:rFonts w:ascii="Arial" w:eastAsia="Arial" w:hAnsi="Arial" w:cs="Arial"/>
          <w:sz w:val="22"/>
          <w:szCs w:val="22"/>
        </w:rPr>
        <w:t>As Lloyd’s Brussels and the syndicates are underwriting separate territories under different licenses there will be separate (Lloyd’s) Bureau leaders for the two sections, for example:</w:t>
      </w:r>
    </w:p>
    <w:p w14:paraId="202F6E7F" w14:textId="77777777" w:rsidR="00530A26" w:rsidRDefault="00530A26" w:rsidP="00530A26">
      <w:pPr>
        <w:spacing w:before="120"/>
        <w:ind w:left="709" w:firstLine="11"/>
        <w:jc w:val="both"/>
        <w:rPr>
          <w:rFonts w:ascii="Arial" w:eastAsia="Arial" w:hAnsi="Arial" w:cs="Arial"/>
          <w:sz w:val="22"/>
          <w:szCs w:val="22"/>
        </w:rPr>
      </w:pPr>
    </w:p>
    <w:tbl>
      <w:tblPr>
        <w:tblStyle w:val="TableGrid"/>
        <w:tblW w:w="0" w:type="auto"/>
        <w:tblInd w:w="959" w:type="dxa"/>
        <w:tblLook w:val="04A0" w:firstRow="1" w:lastRow="0" w:firstColumn="1" w:lastColumn="0" w:noHBand="0" w:noVBand="1"/>
      </w:tblPr>
      <w:tblGrid>
        <w:gridCol w:w="8732"/>
      </w:tblGrid>
      <w:tr w:rsidR="00530A26" w14:paraId="019194F0" w14:textId="77777777" w:rsidTr="00962131">
        <w:tc>
          <w:tcPr>
            <w:tcW w:w="8732" w:type="dxa"/>
          </w:tcPr>
          <w:p w14:paraId="56AECED5" w14:textId="32A74FB2" w:rsidR="00530A26" w:rsidRPr="00530A26" w:rsidRDefault="00530A26" w:rsidP="00962131">
            <w:pPr>
              <w:spacing w:before="120"/>
              <w:jc w:val="both"/>
              <w:rPr>
                <w:rFonts w:ascii="Arial" w:eastAsia="Arial" w:hAnsi="Arial" w:cs="Arial"/>
                <w:sz w:val="20"/>
                <w:szCs w:val="20"/>
              </w:rPr>
            </w:pPr>
            <w:r>
              <w:rPr>
                <w:rFonts w:ascii="Arial" w:eastAsia="Arial" w:hAnsi="Arial" w:cs="Arial"/>
                <w:b/>
                <w:sz w:val="20"/>
                <w:szCs w:val="20"/>
              </w:rPr>
              <w:t>BUREAU</w:t>
            </w:r>
            <w:r w:rsidRPr="00530A26">
              <w:rPr>
                <w:rFonts w:ascii="Arial" w:eastAsia="Arial" w:hAnsi="Arial" w:cs="Arial"/>
                <w:b/>
                <w:sz w:val="20"/>
                <w:szCs w:val="20"/>
              </w:rPr>
              <w:t xml:space="preserve"> LEADER</w:t>
            </w:r>
            <w:r w:rsidRPr="00530A26">
              <w:rPr>
                <w:rFonts w:ascii="Arial" w:eastAsia="Arial" w:hAnsi="Arial" w:cs="Arial"/>
                <w:sz w:val="20"/>
                <w:szCs w:val="20"/>
              </w:rPr>
              <w:t>:       Lloyd’s Insurance company S.A. {5299 HIS) in respect of EEA</w:t>
            </w:r>
          </w:p>
          <w:p w14:paraId="0B41B346" w14:textId="4C879279" w:rsidR="00530A26" w:rsidRPr="00530A26" w:rsidRDefault="00530A26" w:rsidP="00962131">
            <w:pPr>
              <w:spacing w:before="120"/>
              <w:jc w:val="both"/>
              <w:rPr>
                <w:rFonts w:ascii="Arial" w:eastAsia="Arial" w:hAnsi="Arial" w:cs="Arial"/>
                <w:sz w:val="20"/>
                <w:szCs w:val="20"/>
              </w:rPr>
            </w:pPr>
            <w:r w:rsidRPr="00530A26">
              <w:rPr>
                <w:rFonts w:ascii="Arial" w:eastAsia="Arial" w:hAnsi="Arial" w:cs="Arial"/>
                <w:sz w:val="20"/>
                <w:szCs w:val="20"/>
              </w:rPr>
              <w:t xml:space="preserve">                                </w:t>
            </w:r>
            <w:r>
              <w:rPr>
                <w:rFonts w:ascii="Arial" w:eastAsia="Arial" w:hAnsi="Arial" w:cs="Arial"/>
                <w:sz w:val="20"/>
                <w:szCs w:val="20"/>
              </w:rPr>
              <w:t xml:space="preserve">       </w:t>
            </w:r>
            <w:r w:rsidRPr="00530A26">
              <w:rPr>
                <w:rFonts w:ascii="Arial" w:eastAsia="Arial" w:hAnsi="Arial" w:cs="Arial"/>
                <w:sz w:val="20"/>
                <w:szCs w:val="20"/>
              </w:rPr>
              <w:t>(plus UK and Monaco where applicable.</w:t>
            </w:r>
          </w:p>
          <w:p w14:paraId="72873B80" w14:textId="4AAC8C1D" w:rsidR="00530A26" w:rsidRDefault="00530A26" w:rsidP="00962131">
            <w:pPr>
              <w:spacing w:before="120"/>
              <w:jc w:val="both"/>
              <w:rPr>
                <w:rFonts w:ascii="Arial" w:eastAsia="Arial" w:hAnsi="Arial" w:cs="Arial"/>
                <w:sz w:val="20"/>
                <w:szCs w:val="20"/>
              </w:rPr>
            </w:pPr>
            <w:r w:rsidRPr="00530A26">
              <w:rPr>
                <w:rFonts w:ascii="Arial" w:eastAsia="Arial" w:hAnsi="Arial" w:cs="Arial"/>
                <w:sz w:val="20"/>
                <w:szCs w:val="20"/>
              </w:rPr>
              <w:t xml:space="preserve">                               </w:t>
            </w:r>
            <w:r>
              <w:rPr>
                <w:rFonts w:ascii="Arial" w:eastAsia="Arial" w:hAnsi="Arial" w:cs="Arial"/>
                <w:sz w:val="20"/>
                <w:szCs w:val="20"/>
              </w:rPr>
              <w:t xml:space="preserve">        </w:t>
            </w:r>
            <w:proofErr w:type="spellStart"/>
            <w:r w:rsidRPr="00530A26">
              <w:rPr>
                <w:rFonts w:ascii="Arial" w:eastAsia="Arial" w:hAnsi="Arial" w:cs="Arial"/>
                <w:sz w:val="20"/>
                <w:szCs w:val="20"/>
              </w:rPr>
              <w:t>Hiscox</w:t>
            </w:r>
            <w:proofErr w:type="spellEnd"/>
            <w:r w:rsidRPr="00530A26">
              <w:rPr>
                <w:rFonts w:ascii="Arial" w:eastAsia="Arial" w:hAnsi="Arial" w:cs="Arial"/>
                <w:sz w:val="20"/>
                <w:szCs w:val="20"/>
              </w:rPr>
              <w:t xml:space="preserve"> Syndicate (0033) in respect of non-EEA.</w:t>
            </w:r>
          </w:p>
          <w:p w14:paraId="49028ABF" w14:textId="77777777" w:rsidR="00530A26" w:rsidRPr="00530A26" w:rsidRDefault="00530A26" w:rsidP="00962131">
            <w:pPr>
              <w:spacing w:before="120"/>
              <w:jc w:val="both"/>
              <w:rPr>
                <w:rFonts w:ascii="Arial" w:eastAsia="Arial" w:hAnsi="Arial" w:cs="Arial"/>
                <w:sz w:val="20"/>
                <w:szCs w:val="20"/>
              </w:rPr>
            </w:pPr>
          </w:p>
        </w:tc>
      </w:tr>
    </w:tbl>
    <w:p w14:paraId="53C68B55" w14:textId="77777777" w:rsidR="00592C29" w:rsidRDefault="00592C29">
      <w:pPr>
        <w:spacing w:before="120"/>
        <w:ind w:left="720"/>
        <w:jc w:val="both"/>
        <w:rPr>
          <w:sz w:val="22"/>
          <w:szCs w:val="22"/>
        </w:rPr>
      </w:pPr>
    </w:p>
    <w:p w14:paraId="02DC2528" w14:textId="77777777" w:rsidR="00592C29" w:rsidRDefault="0048296D">
      <w:pPr>
        <w:spacing w:before="120"/>
        <w:ind w:left="1440" w:hanging="720"/>
        <w:jc w:val="both"/>
        <w:rPr>
          <w:sz w:val="22"/>
          <w:szCs w:val="22"/>
        </w:rPr>
      </w:pPr>
      <w:r>
        <w:rPr>
          <w:rFonts w:ascii="Arial" w:eastAsia="Arial" w:hAnsi="Arial" w:cs="Arial"/>
          <w:b/>
          <w:bCs/>
          <w:sz w:val="22"/>
          <w:szCs w:val="22"/>
        </w:rPr>
        <w:t>D.3</w:t>
      </w:r>
      <w:r>
        <w:rPr>
          <w:rFonts w:ascii="Arial" w:eastAsia="Arial" w:hAnsi="Arial" w:cs="Arial"/>
          <w:b/>
          <w:bCs/>
          <w:sz w:val="22"/>
          <w:szCs w:val="22"/>
        </w:rPr>
        <w:tab/>
        <w:t xml:space="preserve">Basis of Agreement to Contract Changes – Mandatory:  </w:t>
      </w:r>
    </w:p>
    <w:p w14:paraId="528A2AE0" w14:textId="77777777" w:rsidR="00592C29" w:rsidRDefault="0048296D">
      <w:pPr>
        <w:spacing w:before="120"/>
        <w:ind w:left="720"/>
        <w:jc w:val="both"/>
        <w:rPr>
          <w:sz w:val="22"/>
          <w:szCs w:val="22"/>
        </w:rPr>
      </w:pPr>
      <w:r>
        <w:rPr>
          <w:rFonts w:ascii="Arial" w:eastAsia="Arial" w:hAnsi="Arial" w:cs="Arial"/>
          <w:sz w:val="22"/>
          <w:szCs w:val="22"/>
        </w:rPr>
        <w:t xml:space="preserve">The MRC must specify any leading underwriter agreement that applies e.g. GUA and applicable class of business schedule etc. </w:t>
      </w:r>
    </w:p>
    <w:p w14:paraId="199BA7D3" w14:textId="77777777" w:rsidR="00592C29" w:rsidRDefault="0048296D">
      <w:pPr>
        <w:spacing w:before="120"/>
        <w:ind w:left="720"/>
        <w:jc w:val="both"/>
        <w:rPr>
          <w:sz w:val="22"/>
          <w:szCs w:val="22"/>
        </w:rPr>
      </w:pPr>
      <w:r>
        <w:rPr>
          <w:rFonts w:ascii="Arial" w:eastAsia="Arial" w:hAnsi="Arial" w:cs="Arial"/>
          <w:sz w:val="22"/>
          <w:szCs w:val="22"/>
        </w:rPr>
        <w:t>Whilst Lloyd’s Brussels respects market lead agreements/GUAs, Managing Agencies and Lloyd’s Underwriters are reminded that the working of the Lloyd’s market GUA is not changed by the use of the Lloyd’s Brussels stamp. However, the endorsement can only reflect one overall position, so the following market are responsible for ensuring that the broker has taken their position into account when the broker submits an endorsement into the Lloyd’s Brussels system.  This may be by agreement with the broker or during the Managing Agent’s checking of the endorsement.</w:t>
      </w:r>
    </w:p>
    <w:p w14:paraId="038208F9" w14:textId="3A75C375" w:rsidR="00592C29" w:rsidRDefault="0048296D">
      <w:pPr>
        <w:spacing w:before="120"/>
        <w:ind w:left="720"/>
        <w:jc w:val="both"/>
        <w:rPr>
          <w:sz w:val="22"/>
          <w:szCs w:val="22"/>
        </w:rPr>
      </w:pPr>
      <w:r>
        <w:rPr>
          <w:rFonts w:ascii="Arial" w:eastAsia="Arial" w:hAnsi="Arial" w:cs="Arial"/>
          <w:sz w:val="22"/>
          <w:szCs w:val="22"/>
        </w:rPr>
        <w:t xml:space="preserve">Reference should be made to the </w:t>
      </w:r>
      <w:r w:rsidR="007567CA">
        <w:rPr>
          <w:rFonts w:ascii="Arial" w:eastAsia="Arial" w:hAnsi="Arial" w:cs="Arial"/>
          <w:sz w:val="22"/>
          <w:szCs w:val="22"/>
        </w:rPr>
        <w:t xml:space="preserve">current </w:t>
      </w:r>
      <w:r>
        <w:rPr>
          <w:rFonts w:ascii="Arial" w:eastAsia="Arial" w:hAnsi="Arial" w:cs="Arial"/>
          <w:sz w:val="22"/>
          <w:szCs w:val="22"/>
        </w:rPr>
        <w:t xml:space="preserve">MRCE Guidance and </w:t>
      </w:r>
      <w:r w:rsidR="007567CA">
        <w:rPr>
          <w:rFonts w:ascii="Arial" w:eastAsia="Arial" w:hAnsi="Arial" w:cs="Arial"/>
          <w:sz w:val="22"/>
          <w:szCs w:val="22"/>
        </w:rPr>
        <w:t xml:space="preserve">the current </w:t>
      </w:r>
      <w:r>
        <w:rPr>
          <w:rFonts w:ascii="Arial" w:eastAsia="Arial" w:hAnsi="Arial" w:cs="Arial"/>
          <w:sz w:val="22"/>
          <w:szCs w:val="22"/>
        </w:rPr>
        <w:t>Lloyd’s Brussels MRCE Guidance for further guidance regarding contract changes.</w:t>
      </w:r>
    </w:p>
    <w:p w14:paraId="2CC57549" w14:textId="0B2A5FD5" w:rsidR="00592C29" w:rsidRPr="007567CA" w:rsidRDefault="0048296D">
      <w:pPr>
        <w:spacing w:before="120"/>
        <w:ind w:left="709" w:firstLine="11"/>
        <w:jc w:val="both"/>
        <w:rPr>
          <w:sz w:val="22"/>
          <w:szCs w:val="22"/>
        </w:rPr>
      </w:pPr>
      <w:r w:rsidRPr="007567CA">
        <w:rPr>
          <w:rFonts w:ascii="Arial" w:eastAsia="Arial" w:hAnsi="Arial" w:cs="Arial"/>
          <w:sz w:val="22"/>
          <w:szCs w:val="22"/>
        </w:rPr>
        <w:t>Previously, if Lloyd’s Brussels (as a market) needed to be added to an existing MRC (for non-EEA risks), due to a contract change which added an EEA territory or risk location, a completely new MRC would have needed to be produced.</w:t>
      </w:r>
    </w:p>
    <w:p w14:paraId="2F22D3C6" w14:textId="2D948ED4" w:rsidR="00592C29" w:rsidRDefault="0048296D">
      <w:pPr>
        <w:spacing w:before="120"/>
        <w:ind w:left="709" w:firstLine="11"/>
        <w:jc w:val="both"/>
        <w:rPr>
          <w:sz w:val="22"/>
          <w:szCs w:val="22"/>
        </w:rPr>
      </w:pPr>
      <w:r w:rsidRPr="007567CA">
        <w:rPr>
          <w:rFonts w:ascii="Arial" w:eastAsia="Arial" w:hAnsi="Arial" w:cs="Arial"/>
          <w:sz w:val="22"/>
          <w:szCs w:val="22"/>
        </w:rPr>
        <w:t xml:space="preserve">Following market feedback, Lloyd’s Brussels has introduced an additional option of endorsing Lloyd’s Brussels onto an existing Market Reform Contract (MRC), known as an Endorsement MRC which satisfies the markets request for a more pragmatic approach and Lloyd’s Brussels operational requirements. In September 2019, Lloyd’s Brussels therefore published Endorsement Operational Guidelines Version 2.0 to sit alongside the </w:t>
      </w:r>
      <w:r w:rsidRPr="007567CA">
        <w:rPr>
          <w:rFonts w:ascii="Arial" w:eastAsia="Arial" w:hAnsi="Arial" w:cs="Arial"/>
          <w:sz w:val="22"/>
          <w:szCs w:val="22"/>
        </w:rPr>
        <w:lastRenderedPageBreak/>
        <w:t>MRC and MRCE guidance, to provide the market with guidance regarding the processing of Lloyd’s Brussels endorsements, which is available at</w:t>
      </w:r>
      <w:r>
        <w:rPr>
          <w:rFonts w:ascii="Arial" w:eastAsia="Arial" w:hAnsi="Arial" w:cs="Arial"/>
          <w:color w:val="B5082E"/>
          <w:sz w:val="22"/>
          <w:szCs w:val="22"/>
        </w:rPr>
        <w:t xml:space="preserve"> </w:t>
      </w:r>
      <w:hyperlink r:id="rId28" w:history="1">
        <w:r w:rsidRPr="007567CA">
          <w:rPr>
            <w:rStyle w:val="Hyperlink"/>
            <w:rFonts w:ascii="Arial" w:eastAsia="Arial" w:hAnsi="Arial" w:cs="Arial"/>
            <w:color w:val="0000FF"/>
            <w:sz w:val="22"/>
            <w:szCs w:val="22"/>
          </w:rPr>
          <w:t>LINK</w:t>
        </w:r>
      </w:hyperlink>
      <w:r>
        <w:rPr>
          <w:rFonts w:ascii="Arial" w:eastAsia="Arial" w:hAnsi="Arial" w:cs="Arial"/>
          <w:color w:val="B5082E"/>
          <w:sz w:val="22"/>
          <w:szCs w:val="22"/>
        </w:rPr>
        <w:t>.</w:t>
      </w:r>
    </w:p>
    <w:p w14:paraId="46B5B8FB" w14:textId="77777777" w:rsidR="00592C29" w:rsidRPr="007567CA" w:rsidRDefault="0048296D">
      <w:pPr>
        <w:spacing w:before="120"/>
        <w:ind w:left="709" w:firstLine="11"/>
        <w:jc w:val="both"/>
        <w:rPr>
          <w:sz w:val="22"/>
          <w:szCs w:val="22"/>
        </w:rPr>
      </w:pPr>
      <w:r w:rsidRPr="007567CA">
        <w:rPr>
          <w:rFonts w:ascii="Arial" w:eastAsia="Arial" w:hAnsi="Arial" w:cs="Arial"/>
          <w:sz w:val="22"/>
          <w:szCs w:val="22"/>
        </w:rPr>
        <w:t>Whilst reference should be made to the Endorsement Operational Guidelines Version 2.0 itself, an overview of these guidelines can be found within Appendix 8.</w:t>
      </w:r>
    </w:p>
    <w:p w14:paraId="44863F36" w14:textId="77777777" w:rsidR="00592C29" w:rsidRPr="007567CA" w:rsidRDefault="00592C29">
      <w:pPr>
        <w:spacing w:before="120"/>
        <w:ind w:left="709" w:firstLine="11"/>
        <w:jc w:val="both"/>
        <w:rPr>
          <w:sz w:val="22"/>
          <w:szCs w:val="22"/>
        </w:rPr>
      </w:pPr>
    </w:p>
    <w:p w14:paraId="6D33E623" w14:textId="77777777" w:rsidR="00592C29" w:rsidRDefault="0048296D">
      <w:pPr>
        <w:spacing w:before="120"/>
        <w:ind w:left="1440" w:hanging="720"/>
        <w:jc w:val="both"/>
        <w:rPr>
          <w:sz w:val="22"/>
          <w:szCs w:val="22"/>
        </w:rPr>
      </w:pPr>
      <w:r>
        <w:rPr>
          <w:rFonts w:ascii="Arial" w:eastAsia="Arial" w:hAnsi="Arial" w:cs="Arial"/>
          <w:b/>
          <w:bCs/>
          <w:sz w:val="22"/>
          <w:szCs w:val="22"/>
        </w:rPr>
        <w:t>D.4</w:t>
      </w:r>
      <w:r>
        <w:rPr>
          <w:rFonts w:ascii="Arial" w:eastAsia="Arial" w:hAnsi="Arial" w:cs="Arial"/>
          <w:b/>
          <w:bCs/>
          <w:sz w:val="22"/>
          <w:szCs w:val="22"/>
        </w:rPr>
        <w:tab/>
        <w:t>Other Agreement Parties for Contract Changes, for Part 2 GUA Changes Only – Conditional: To be used only when the GUA forms the basis of agreement to contract changes (and not in conjunction with other leading underwriter agreements that do not have “part 2 changes”).</w:t>
      </w:r>
    </w:p>
    <w:p w14:paraId="7B10BFA7" w14:textId="77777777" w:rsidR="00592C29" w:rsidRDefault="0048296D">
      <w:pPr>
        <w:spacing w:before="120"/>
        <w:ind w:left="709" w:firstLine="11"/>
        <w:jc w:val="both"/>
        <w:rPr>
          <w:sz w:val="22"/>
          <w:szCs w:val="22"/>
        </w:rPr>
      </w:pPr>
      <w:r>
        <w:rPr>
          <w:rFonts w:ascii="Arial" w:eastAsia="Arial" w:hAnsi="Arial" w:cs="Arial"/>
          <w:sz w:val="22"/>
          <w:szCs w:val="22"/>
        </w:rPr>
        <w:t>In respect of EEA risks, the subscribing outsourced Managing Agents underwrite on behalf of the single legal entity that is Lloyd’s Brussels, with EEA risks automatically</w:t>
      </w:r>
      <w:r>
        <w:rPr>
          <w:rFonts w:ascii="Arial" w:eastAsia="Arial" w:hAnsi="Arial" w:cs="Arial"/>
          <w:i/>
          <w:iCs/>
          <w:sz w:val="22"/>
          <w:szCs w:val="22"/>
        </w:rPr>
        <w:t xml:space="preserve"> </w:t>
      </w:r>
      <w:r>
        <w:rPr>
          <w:rFonts w:ascii="Arial" w:eastAsia="Arial" w:hAnsi="Arial" w:cs="Arial"/>
          <w:sz w:val="22"/>
          <w:szCs w:val="22"/>
        </w:rPr>
        <w:t>reinsured 100% to those Lloyd’s Underwriters and Syndicates that may wish to insert their details as an agreement party here.</w:t>
      </w:r>
    </w:p>
    <w:p w14:paraId="4C955C15" w14:textId="77777777" w:rsidR="00592C29" w:rsidRDefault="00592C29">
      <w:pPr>
        <w:spacing w:before="120"/>
        <w:ind w:left="1440" w:hanging="720"/>
        <w:jc w:val="both"/>
        <w:rPr>
          <w:sz w:val="22"/>
          <w:szCs w:val="22"/>
        </w:rPr>
      </w:pPr>
    </w:p>
    <w:p w14:paraId="18FA798F" w14:textId="77777777" w:rsidR="00592C29" w:rsidRDefault="0048296D">
      <w:pPr>
        <w:spacing w:before="120"/>
        <w:ind w:left="1440" w:hanging="720"/>
        <w:jc w:val="both"/>
        <w:rPr>
          <w:sz w:val="22"/>
          <w:szCs w:val="22"/>
        </w:rPr>
      </w:pPr>
      <w:r>
        <w:rPr>
          <w:rFonts w:ascii="Arial" w:eastAsia="Arial" w:hAnsi="Arial" w:cs="Arial"/>
          <w:b/>
          <w:bCs/>
          <w:sz w:val="22"/>
          <w:szCs w:val="22"/>
        </w:rPr>
        <w:t>D.5</w:t>
      </w:r>
      <w:r>
        <w:rPr>
          <w:rFonts w:ascii="Arial" w:eastAsia="Arial" w:hAnsi="Arial" w:cs="Arial"/>
          <w:b/>
          <w:bCs/>
          <w:sz w:val="22"/>
          <w:szCs w:val="22"/>
        </w:rPr>
        <w:tab/>
        <w:t>Agreement Parties for Contract Changes, for Their Proportion Only – Conditional: Where required by insurers.</w:t>
      </w:r>
    </w:p>
    <w:p w14:paraId="5C1613F3" w14:textId="77777777" w:rsidR="00592C29" w:rsidRDefault="0048296D">
      <w:pPr>
        <w:spacing w:before="120"/>
        <w:ind w:left="709" w:firstLine="11"/>
        <w:jc w:val="both"/>
        <w:rPr>
          <w:sz w:val="22"/>
          <w:szCs w:val="22"/>
        </w:rPr>
      </w:pPr>
      <w:r>
        <w:rPr>
          <w:rFonts w:ascii="Arial" w:eastAsia="Arial" w:hAnsi="Arial" w:cs="Arial"/>
          <w:sz w:val="22"/>
          <w:szCs w:val="22"/>
        </w:rPr>
        <w:t>In respect of EEA risks, the subscribing outsourced Managing Agents underwrite on behalf of the single legal entity that is Lloyd’s Brussels, with EEA risks automatically</w:t>
      </w:r>
      <w:r>
        <w:rPr>
          <w:rFonts w:ascii="Arial" w:eastAsia="Arial" w:hAnsi="Arial" w:cs="Arial"/>
          <w:i/>
          <w:iCs/>
          <w:sz w:val="22"/>
          <w:szCs w:val="22"/>
        </w:rPr>
        <w:t xml:space="preserve"> </w:t>
      </w:r>
      <w:r>
        <w:rPr>
          <w:rFonts w:ascii="Arial" w:eastAsia="Arial" w:hAnsi="Arial" w:cs="Arial"/>
          <w:sz w:val="22"/>
          <w:szCs w:val="22"/>
        </w:rPr>
        <w:t>reinsured 100% to those Lloyd’s Underwriters and Syndicates that may wish to insert their details as an agreement party here.</w:t>
      </w:r>
    </w:p>
    <w:p w14:paraId="56084989" w14:textId="77777777" w:rsidR="00592C29" w:rsidRDefault="00592C29">
      <w:pPr>
        <w:spacing w:before="120"/>
        <w:ind w:left="1440" w:hanging="720"/>
        <w:jc w:val="both"/>
        <w:rPr>
          <w:sz w:val="22"/>
          <w:szCs w:val="22"/>
        </w:rPr>
      </w:pPr>
    </w:p>
    <w:p w14:paraId="16F9FB11" w14:textId="77777777" w:rsidR="00592C29" w:rsidRPr="00293580" w:rsidRDefault="0048296D">
      <w:pPr>
        <w:spacing w:before="120"/>
        <w:ind w:left="1440" w:hanging="720"/>
        <w:jc w:val="both"/>
        <w:rPr>
          <w:sz w:val="22"/>
          <w:szCs w:val="22"/>
        </w:rPr>
      </w:pPr>
      <w:r>
        <w:rPr>
          <w:rFonts w:ascii="Arial" w:eastAsia="Arial" w:hAnsi="Arial" w:cs="Arial"/>
          <w:b/>
          <w:bCs/>
          <w:sz w:val="22"/>
          <w:szCs w:val="22"/>
        </w:rPr>
        <w:t>D.6</w:t>
      </w:r>
      <w:r>
        <w:rPr>
          <w:rFonts w:ascii="Arial" w:eastAsia="Arial" w:hAnsi="Arial" w:cs="Arial"/>
          <w:b/>
          <w:bCs/>
          <w:sz w:val="22"/>
          <w:szCs w:val="22"/>
        </w:rPr>
        <w:tab/>
        <w:t xml:space="preserve">Basis of Claims Agreement – Mandatory: </w:t>
      </w:r>
    </w:p>
    <w:p w14:paraId="0F217D0B" w14:textId="7244B5DC" w:rsidR="00592C29" w:rsidRPr="00293580" w:rsidRDefault="0048296D">
      <w:pPr>
        <w:spacing w:before="120"/>
        <w:ind w:left="720"/>
        <w:jc w:val="both"/>
        <w:rPr>
          <w:sz w:val="22"/>
          <w:szCs w:val="22"/>
        </w:rPr>
      </w:pPr>
      <w:r w:rsidRPr="00293580">
        <w:rPr>
          <w:rFonts w:ascii="Arial" w:eastAsia="Arial" w:hAnsi="Arial" w:cs="Arial"/>
          <w:sz w:val="22"/>
          <w:szCs w:val="22"/>
        </w:rPr>
        <w:t>There has been little change to existing market practices - Lloyd’s Claims scheme/the Single Claims Agreement Party (SCAP) Arrangements.</w:t>
      </w:r>
    </w:p>
    <w:p w14:paraId="12C6B583" w14:textId="4AB78BE8" w:rsidR="00592C29" w:rsidRPr="00293580" w:rsidRDefault="0048296D">
      <w:pPr>
        <w:spacing w:before="120"/>
        <w:ind w:left="720"/>
        <w:jc w:val="both"/>
        <w:rPr>
          <w:sz w:val="22"/>
          <w:szCs w:val="22"/>
        </w:rPr>
      </w:pPr>
      <w:r w:rsidRPr="00293580">
        <w:rPr>
          <w:rFonts w:ascii="Arial" w:eastAsia="Arial" w:hAnsi="Arial" w:cs="Arial"/>
          <w:sz w:val="22"/>
          <w:szCs w:val="22"/>
        </w:rPr>
        <w:t xml:space="preserve">The claims process remains broadly the same as before, with claims authority being outsourced to managing agents (under the terms of their Outsourcing Agreement) and managing agents can then, in turn, appoint </w:t>
      </w:r>
      <w:proofErr w:type="spellStart"/>
      <w:r w:rsidRPr="00293580">
        <w:rPr>
          <w:rFonts w:ascii="Arial" w:eastAsia="Arial" w:hAnsi="Arial" w:cs="Arial"/>
          <w:sz w:val="22"/>
          <w:szCs w:val="22"/>
        </w:rPr>
        <w:t>Coverholders</w:t>
      </w:r>
      <w:proofErr w:type="spellEnd"/>
      <w:r w:rsidRPr="00293580">
        <w:rPr>
          <w:rFonts w:ascii="Arial" w:eastAsia="Arial" w:hAnsi="Arial" w:cs="Arial"/>
          <w:sz w:val="22"/>
          <w:szCs w:val="22"/>
        </w:rPr>
        <w:t xml:space="preserve"> or TPAs on behalf of Lloyd’s Brussels. In practice, this means that managing agents and third parties will need to make it clear during the claims process that they are acting on behalf of Lloyd’s Brussels.</w:t>
      </w:r>
    </w:p>
    <w:p w14:paraId="6C2E2400" w14:textId="77777777" w:rsidR="00592C29" w:rsidRPr="00293580" w:rsidRDefault="00592C29">
      <w:pPr>
        <w:spacing w:before="120"/>
        <w:ind w:left="720"/>
        <w:jc w:val="both"/>
        <w:rPr>
          <w:sz w:val="22"/>
          <w:szCs w:val="22"/>
        </w:rPr>
      </w:pPr>
    </w:p>
    <w:p w14:paraId="412803CB" w14:textId="77777777" w:rsidR="00592C29" w:rsidRPr="00293580" w:rsidRDefault="0048296D">
      <w:pPr>
        <w:spacing w:before="120"/>
        <w:ind w:left="1418" w:hanging="709"/>
        <w:jc w:val="both"/>
        <w:rPr>
          <w:sz w:val="22"/>
          <w:szCs w:val="22"/>
        </w:rPr>
      </w:pPr>
      <w:r w:rsidRPr="00293580">
        <w:rPr>
          <w:rFonts w:ascii="Arial" w:eastAsia="Arial" w:hAnsi="Arial" w:cs="Arial"/>
          <w:b/>
          <w:bCs/>
          <w:sz w:val="22"/>
          <w:szCs w:val="22"/>
        </w:rPr>
        <w:t>D.7</w:t>
      </w:r>
      <w:r w:rsidRPr="00293580">
        <w:rPr>
          <w:rFonts w:ascii="Arial" w:eastAsia="Arial" w:hAnsi="Arial" w:cs="Arial"/>
          <w:b/>
          <w:bCs/>
          <w:sz w:val="22"/>
          <w:szCs w:val="22"/>
        </w:rPr>
        <w:tab/>
        <w:t xml:space="preserve">Claims Agreement Parties – Mandatory:  </w:t>
      </w:r>
    </w:p>
    <w:p w14:paraId="37265CE3" w14:textId="7E7F1566" w:rsidR="00592C29" w:rsidRPr="00293580" w:rsidRDefault="0048296D">
      <w:pPr>
        <w:spacing w:before="120"/>
        <w:ind w:left="720"/>
        <w:jc w:val="both"/>
        <w:rPr>
          <w:sz w:val="22"/>
          <w:szCs w:val="22"/>
        </w:rPr>
      </w:pPr>
      <w:r w:rsidRPr="00293580">
        <w:rPr>
          <w:rFonts w:ascii="Arial" w:eastAsia="Arial" w:hAnsi="Arial" w:cs="Arial"/>
          <w:sz w:val="22"/>
          <w:szCs w:val="22"/>
        </w:rPr>
        <w:t>In essence, this is no different to existing market practices under the Lloyd’s Claims scheme/the Single Claims Agreement Party (SCAP) Arrangements.</w:t>
      </w:r>
    </w:p>
    <w:p w14:paraId="55C637A5" w14:textId="77777777" w:rsidR="00592C29" w:rsidRPr="00293580" w:rsidRDefault="0048296D">
      <w:pPr>
        <w:spacing w:before="120"/>
        <w:ind w:left="720"/>
        <w:jc w:val="both"/>
        <w:rPr>
          <w:sz w:val="22"/>
          <w:szCs w:val="22"/>
        </w:rPr>
      </w:pPr>
      <w:r w:rsidRPr="00293580">
        <w:rPr>
          <w:rFonts w:ascii="Arial" w:eastAsia="Arial" w:hAnsi="Arial" w:cs="Arial"/>
          <w:sz w:val="22"/>
          <w:szCs w:val="22"/>
        </w:rPr>
        <w:t>Under the Lloyd’s Claims Scheme, the Lloyd’s leader will be the claims agreement party on behalf of Lloyd’s Brussels, plus the Lloyd’s Brussels second for complex claims.</w:t>
      </w:r>
    </w:p>
    <w:p w14:paraId="3051A436" w14:textId="77777777" w:rsidR="00592C29" w:rsidRPr="00293580" w:rsidRDefault="00592C29">
      <w:pPr>
        <w:spacing w:before="120"/>
        <w:ind w:left="1440" w:hanging="720"/>
        <w:jc w:val="both"/>
        <w:rPr>
          <w:sz w:val="22"/>
          <w:szCs w:val="22"/>
        </w:rPr>
      </w:pPr>
    </w:p>
    <w:p w14:paraId="47157B57" w14:textId="77777777" w:rsidR="00592C29" w:rsidRPr="00293580" w:rsidRDefault="0048296D">
      <w:pPr>
        <w:spacing w:before="120"/>
        <w:ind w:left="1440" w:hanging="720"/>
        <w:jc w:val="both"/>
        <w:rPr>
          <w:sz w:val="22"/>
          <w:szCs w:val="22"/>
        </w:rPr>
      </w:pPr>
      <w:r w:rsidRPr="00293580">
        <w:rPr>
          <w:rFonts w:ascii="Arial" w:eastAsia="Arial" w:hAnsi="Arial" w:cs="Arial"/>
          <w:b/>
          <w:bCs/>
          <w:sz w:val="22"/>
          <w:szCs w:val="22"/>
        </w:rPr>
        <w:t>D.8</w:t>
      </w:r>
      <w:r w:rsidRPr="00293580">
        <w:rPr>
          <w:rFonts w:ascii="Arial" w:eastAsia="Arial" w:hAnsi="Arial" w:cs="Arial"/>
          <w:b/>
          <w:bCs/>
          <w:sz w:val="22"/>
          <w:szCs w:val="22"/>
        </w:rPr>
        <w:tab/>
        <w:t xml:space="preserve">Claims Administration – Mandatory:  </w:t>
      </w:r>
    </w:p>
    <w:p w14:paraId="1E299CA3" w14:textId="6C64ED40" w:rsidR="00592C29" w:rsidRPr="00293580" w:rsidRDefault="0048296D">
      <w:pPr>
        <w:spacing w:before="120"/>
        <w:ind w:left="720"/>
        <w:jc w:val="both"/>
        <w:rPr>
          <w:sz w:val="22"/>
          <w:szCs w:val="22"/>
        </w:rPr>
      </w:pPr>
      <w:r w:rsidRPr="00293580">
        <w:rPr>
          <w:rFonts w:ascii="Arial" w:eastAsia="Arial" w:hAnsi="Arial" w:cs="Arial"/>
          <w:sz w:val="22"/>
          <w:szCs w:val="22"/>
        </w:rPr>
        <w:t>The claims process for Lloyd’s Brussels remains broadly the same as before, with claims being handled on Electronic Claims File (ECF).</w:t>
      </w:r>
    </w:p>
    <w:p w14:paraId="3D6ADF80" w14:textId="77777777" w:rsidR="00592C29" w:rsidRPr="00293580" w:rsidRDefault="00592C29">
      <w:pPr>
        <w:spacing w:before="120"/>
        <w:ind w:left="720"/>
        <w:jc w:val="both"/>
        <w:rPr>
          <w:sz w:val="22"/>
          <w:szCs w:val="22"/>
        </w:rPr>
      </w:pPr>
    </w:p>
    <w:p w14:paraId="480CF383" w14:textId="77777777" w:rsidR="00592C29" w:rsidRPr="00293580" w:rsidRDefault="0048296D">
      <w:pPr>
        <w:spacing w:before="120"/>
        <w:ind w:left="1440" w:hanging="720"/>
        <w:jc w:val="both"/>
        <w:rPr>
          <w:sz w:val="22"/>
          <w:szCs w:val="22"/>
        </w:rPr>
      </w:pPr>
      <w:r w:rsidRPr="00293580">
        <w:rPr>
          <w:rFonts w:ascii="Arial" w:eastAsia="Arial" w:hAnsi="Arial" w:cs="Arial"/>
          <w:b/>
          <w:bCs/>
          <w:sz w:val="22"/>
          <w:szCs w:val="22"/>
        </w:rPr>
        <w:t>D.9</w:t>
      </w:r>
      <w:r w:rsidRPr="00293580">
        <w:rPr>
          <w:rFonts w:ascii="Arial" w:eastAsia="Arial" w:hAnsi="Arial" w:cs="Arial"/>
          <w:b/>
          <w:bCs/>
          <w:sz w:val="22"/>
          <w:szCs w:val="22"/>
        </w:rPr>
        <w:tab/>
        <w:t xml:space="preserve">Rules and Extent of any Other Delegated Claims Authority – Mandatory:  </w:t>
      </w:r>
    </w:p>
    <w:p w14:paraId="33E6C367" w14:textId="76EEB28C" w:rsidR="00592C29" w:rsidRPr="00293580" w:rsidRDefault="0048296D">
      <w:pPr>
        <w:spacing w:before="120"/>
        <w:ind w:left="720"/>
        <w:jc w:val="both"/>
        <w:rPr>
          <w:sz w:val="22"/>
          <w:szCs w:val="22"/>
        </w:rPr>
      </w:pPr>
      <w:r w:rsidRPr="00293580">
        <w:rPr>
          <w:rFonts w:ascii="Arial" w:eastAsia="Arial" w:hAnsi="Arial" w:cs="Arial"/>
          <w:sz w:val="22"/>
          <w:szCs w:val="22"/>
        </w:rPr>
        <w:t xml:space="preserve">The claims process for Lloyd’s Brussels remains broadly the same as before, with claims authority being outsourced to managing agents, </w:t>
      </w:r>
      <w:proofErr w:type="spellStart"/>
      <w:r w:rsidRPr="00293580">
        <w:rPr>
          <w:rFonts w:ascii="Arial" w:eastAsia="Arial" w:hAnsi="Arial" w:cs="Arial"/>
          <w:sz w:val="22"/>
          <w:szCs w:val="22"/>
        </w:rPr>
        <w:t>Coverholders</w:t>
      </w:r>
      <w:proofErr w:type="spellEnd"/>
      <w:r w:rsidRPr="00293580">
        <w:rPr>
          <w:rFonts w:ascii="Arial" w:eastAsia="Arial" w:hAnsi="Arial" w:cs="Arial"/>
          <w:sz w:val="22"/>
          <w:szCs w:val="22"/>
        </w:rPr>
        <w:t xml:space="preserve"> or TPAs.</w:t>
      </w:r>
    </w:p>
    <w:p w14:paraId="36E325F4" w14:textId="1A10A22D" w:rsidR="00592C29" w:rsidRPr="00293580" w:rsidRDefault="0048296D">
      <w:pPr>
        <w:spacing w:before="120"/>
        <w:ind w:left="720"/>
        <w:jc w:val="both"/>
        <w:rPr>
          <w:sz w:val="22"/>
          <w:szCs w:val="22"/>
        </w:rPr>
      </w:pPr>
      <w:r w:rsidRPr="00293580">
        <w:rPr>
          <w:rFonts w:ascii="Arial" w:eastAsia="Arial" w:hAnsi="Arial" w:cs="Arial"/>
          <w:sz w:val="22"/>
          <w:szCs w:val="22"/>
        </w:rPr>
        <w:t xml:space="preserve">If authority is to be outsourced to a TPA, it is the responsibility of the </w:t>
      </w:r>
      <w:r w:rsidR="00293580">
        <w:rPr>
          <w:rFonts w:ascii="Arial" w:eastAsia="Arial" w:hAnsi="Arial" w:cs="Arial"/>
          <w:sz w:val="22"/>
          <w:szCs w:val="22"/>
        </w:rPr>
        <w:t>C</w:t>
      </w:r>
      <w:r w:rsidRPr="00293580">
        <w:rPr>
          <w:rFonts w:ascii="Arial" w:eastAsia="Arial" w:hAnsi="Arial" w:cs="Arial"/>
          <w:sz w:val="22"/>
          <w:szCs w:val="22"/>
        </w:rPr>
        <w:t xml:space="preserve">laims </w:t>
      </w:r>
      <w:r w:rsidR="00293580">
        <w:rPr>
          <w:rFonts w:ascii="Arial" w:eastAsia="Arial" w:hAnsi="Arial" w:cs="Arial"/>
          <w:sz w:val="22"/>
          <w:szCs w:val="22"/>
        </w:rPr>
        <w:t>A</w:t>
      </w:r>
      <w:r w:rsidRPr="00293580">
        <w:rPr>
          <w:rFonts w:ascii="Arial" w:eastAsia="Arial" w:hAnsi="Arial" w:cs="Arial"/>
          <w:sz w:val="22"/>
          <w:szCs w:val="22"/>
        </w:rPr>
        <w:t xml:space="preserve">greement </w:t>
      </w:r>
      <w:r w:rsidR="00293580">
        <w:rPr>
          <w:rFonts w:ascii="Arial" w:eastAsia="Arial" w:hAnsi="Arial" w:cs="Arial"/>
          <w:sz w:val="22"/>
          <w:szCs w:val="22"/>
        </w:rPr>
        <w:t>P</w:t>
      </w:r>
      <w:r w:rsidRPr="00293580">
        <w:rPr>
          <w:rFonts w:ascii="Arial" w:eastAsia="Arial" w:hAnsi="Arial" w:cs="Arial"/>
          <w:sz w:val="22"/>
          <w:szCs w:val="22"/>
        </w:rPr>
        <w:t>arties (in this case the lead outsourced managing agent) to update this section as necessary.</w:t>
      </w:r>
    </w:p>
    <w:p w14:paraId="4333CBD2" w14:textId="77777777" w:rsidR="00592C29" w:rsidRPr="00293580" w:rsidRDefault="00592C29">
      <w:pPr>
        <w:spacing w:before="120"/>
        <w:ind w:left="1440" w:hanging="720"/>
        <w:jc w:val="both"/>
        <w:rPr>
          <w:sz w:val="22"/>
          <w:szCs w:val="22"/>
        </w:rPr>
      </w:pPr>
    </w:p>
    <w:p w14:paraId="351F0A63" w14:textId="77777777" w:rsidR="00592C29" w:rsidRDefault="0048296D">
      <w:pPr>
        <w:spacing w:before="120"/>
        <w:ind w:left="1440" w:hanging="720"/>
        <w:jc w:val="both"/>
        <w:rPr>
          <w:sz w:val="22"/>
          <w:szCs w:val="22"/>
        </w:rPr>
      </w:pPr>
      <w:r>
        <w:rPr>
          <w:rFonts w:ascii="Arial" w:eastAsia="Arial" w:hAnsi="Arial" w:cs="Arial"/>
          <w:b/>
          <w:bCs/>
          <w:sz w:val="22"/>
          <w:szCs w:val="22"/>
        </w:rPr>
        <w:t>D.10</w:t>
      </w:r>
      <w:r>
        <w:rPr>
          <w:rFonts w:ascii="Arial" w:eastAsia="Arial" w:hAnsi="Arial" w:cs="Arial"/>
          <w:b/>
          <w:bCs/>
          <w:sz w:val="22"/>
          <w:szCs w:val="22"/>
        </w:rPr>
        <w:tab/>
        <w:t>Expert(s) Fee Collection – Conditional: Required for direct risks and some reinsurance, where collection procedures need to be specified.</w:t>
      </w:r>
    </w:p>
    <w:p w14:paraId="02DE3C4E" w14:textId="77777777" w:rsidR="00592C29" w:rsidRDefault="0048296D">
      <w:pPr>
        <w:spacing w:before="120"/>
        <w:ind w:left="720"/>
        <w:jc w:val="both"/>
        <w:rPr>
          <w:sz w:val="22"/>
          <w:szCs w:val="22"/>
        </w:rPr>
      </w:pPr>
      <w:r>
        <w:rPr>
          <w:rFonts w:ascii="Arial" w:eastAsia="Arial" w:hAnsi="Arial" w:cs="Arial"/>
          <w:i/>
          <w:iCs/>
          <w:sz w:val="22"/>
          <w:szCs w:val="22"/>
        </w:rPr>
        <w:t>{intentionally left blank}</w:t>
      </w:r>
    </w:p>
    <w:p w14:paraId="22BC22A0" w14:textId="77777777" w:rsidR="00592C29" w:rsidRDefault="00592C29">
      <w:pPr>
        <w:spacing w:before="120"/>
        <w:ind w:left="1440" w:hanging="720"/>
        <w:jc w:val="both"/>
        <w:rPr>
          <w:sz w:val="22"/>
          <w:szCs w:val="22"/>
        </w:rPr>
      </w:pPr>
    </w:p>
    <w:p w14:paraId="26892700" w14:textId="77777777" w:rsidR="00592C29" w:rsidRDefault="0048296D">
      <w:pPr>
        <w:spacing w:before="120"/>
        <w:ind w:left="1440" w:hanging="720"/>
        <w:jc w:val="both"/>
        <w:rPr>
          <w:sz w:val="22"/>
          <w:szCs w:val="22"/>
        </w:rPr>
      </w:pPr>
      <w:r>
        <w:rPr>
          <w:rFonts w:ascii="Arial" w:eastAsia="Arial" w:hAnsi="Arial" w:cs="Arial"/>
          <w:b/>
          <w:bCs/>
          <w:sz w:val="22"/>
          <w:szCs w:val="22"/>
        </w:rPr>
        <w:t>D.11</w:t>
      </w:r>
      <w:r>
        <w:rPr>
          <w:rFonts w:ascii="Arial" w:eastAsia="Arial" w:hAnsi="Arial" w:cs="Arial"/>
          <w:b/>
          <w:bCs/>
          <w:sz w:val="22"/>
          <w:szCs w:val="22"/>
        </w:rPr>
        <w:tab/>
        <w:t xml:space="preserve">Settlement Due Date – Mandatory: </w:t>
      </w:r>
    </w:p>
    <w:p w14:paraId="76A9F16E" w14:textId="77777777" w:rsidR="00592C29" w:rsidRDefault="0048296D">
      <w:pPr>
        <w:spacing w:before="120"/>
        <w:ind w:left="720"/>
        <w:jc w:val="both"/>
        <w:rPr>
          <w:sz w:val="22"/>
          <w:szCs w:val="22"/>
        </w:rPr>
      </w:pPr>
      <w:bookmarkStart w:id="52" w:name="OLE_LINK1"/>
      <w:r>
        <w:rPr>
          <w:rFonts w:ascii="Arial" w:eastAsia="Arial" w:hAnsi="Arial" w:cs="Arial"/>
          <w:sz w:val="22"/>
          <w:szCs w:val="22"/>
        </w:rPr>
        <w:t xml:space="preserve">The SDD entered should be no different for Lloyd’s Brussels and non- Lloyd’s Brussels risks.  Lloyd’s Brussels receives premiums payment at the same time as the rest of the (non-EEA) market, and it is simultaneously transferred back to the syndicates net of the reinsurance commission. </w:t>
      </w:r>
    </w:p>
    <w:bookmarkEnd w:id="52"/>
    <w:p w14:paraId="709FFF45" w14:textId="77777777" w:rsidR="00592C29" w:rsidRDefault="00592C29">
      <w:pPr>
        <w:spacing w:before="120"/>
        <w:ind w:left="709"/>
        <w:jc w:val="both"/>
        <w:rPr>
          <w:sz w:val="22"/>
          <w:szCs w:val="22"/>
        </w:rPr>
      </w:pPr>
    </w:p>
    <w:p w14:paraId="4510F313" w14:textId="77777777" w:rsidR="00592C29" w:rsidRDefault="0048296D">
      <w:pPr>
        <w:spacing w:before="120"/>
        <w:ind w:left="1440" w:hanging="720"/>
        <w:jc w:val="both"/>
        <w:rPr>
          <w:sz w:val="22"/>
          <w:szCs w:val="22"/>
        </w:rPr>
      </w:pPr>
      <w:r>
        <w:rPr>
          <w:rFonts w:ascii="Arial" w:eastAsia="Arial" w:hAnsi="Arial" w:cs="Arial"/>
          <w:b/>
          <w:bCs/>
          <w:sz w:val="22"/>
          <w:szCs w:val="22"/>
        </w:rPr>
        <w:t>D.12</w:t>
      </w:r>
      <w:r>
        <w:rPr>
          <w:rFonts w:ascii="Arial" w:eastAsia="Arial" w:hAnsi="Arial" w:cs="Arial"/>
          <w:b/>
          <w:bCs/>
          <w:sz w:val="22"/>
          <w:szCs w:val="22"/>
        </w:rPr>
        <w:tab/>
        <w:t>Instalment Premium Period of Credit – Conditional: Required for placements where the premium is to be paid via instalments.</w:t>
      </w:r>
    </w:p>
    <w:p w14:paraId="364A073B" w14:textId="77777777" w:rsidR="00592C29" w:rsidRDefault="0048296D">
      <w:pPr>
        <w:spacing w:before="120"/>
        <w:ind w:left="720"/>
        <w:jc w:val="both"/>
        <w:rPr>
          <w:sz w:val="22"/>
          <w:szCs w:val="22"/>
        </w:rPr>
      </w:pPr>
      <w:r>
        <w:rPr>
          <w:rFonts w:ascii="Arial" w:eastAsia="Arial" w:hAnsi="Arial" w:cs="Arial"/>
          <w:i/>
          <w:iCs/>
          <w:sz w:val="22"/>
          <w:szCs w:val="22"/>
        </w:rPr>
        <w:t>{intentionally left blank}</w:t>
      </w:r>
      <w:r>
        <w:rPr>
          <w:rFonts w:ascii="Arial" w:eastAsia="Arial" w:hAnsi="Arial" w:cs="Arial"/>
          <w:sz w:val="22"/>
          <w:szCs w:val="22"/>
        </w:rPr>
        <w:t>.</w:t>
      </w:r>
    </w:p>
    <w:p w14:paraId="5104286A" w14:textId="77777777" w:rsidR="00592C29" w:rsidRDefault="00592C29">
      <w:pPr>
        <w:spacing w:before="120"/>
        <w:ind w:left="720"/>
        <w:jc w:val="both"/>
        <w:rPr>
          <w:sz w:val="22"/>
          <w:szCs w:val="22"/>
        </w:rPr>
      </w:pPr>
    </w:p>
    <w:p w14:paraId="278F5D60" w14:textId="77777777" w:rsidR="00592C29" w:rsidRDefault="0048296D">
      <w:pPr>
        <w:spacing w:before="120"/>
        <w:ind w:left="1440" w:hanging="720"/>
        <w:jc w:val="both"/>
        <w:rPr>
          <w:sz w:val="22"/>
          <w:szCs w:val="22"/>
        </w:rPr>
      </w:pPr>
      <w:r>
        <w:rPr>
          <w:rFonts w:ascii="Arial" w:eastAsia="Arial" w:hAnsi="Arial" w:cs="Arial"/>
          <w:b/>
          <w:bCs/>
          <w:sz w:val="22"/>
          <w:szCs w:val="22"/>
        </w:rPr>
        <w:t>D.13</w:t>
      </w:r>
      <w:r>
        <w:rPr>
          <w:rFonts w:ascii="Arial" w:eastAsia="Arial" w:hAnsi="Arial" w:cs="Arial"/>
          <w:b/>
          <w:bCs/>
          <w:sz w:val="22"/>
          <w:szCs w:val="22"/>
        </w:rPr>
        <w:tab/>
        <w:t>Adjustment Premium Period of Credit – Conditional: Required where premium is to be adjusted after expiry.</w:t>
      </w:r>
    </w:p>
    <w:p w14:paraId="41FDF0CF" w14:textId="77777777" w:rsidR="00592C29" w:rsidRDefault="0048296D">
      <w:pPr>
        <w:spacing w:before="120"/>
        <w:ind w:left="720"/>
        <w:jc w:val="both"/>
        <w:rPr>
          <w:sz w:val="22"/>
          <w:szCs w:val="22"/>
        </w:rPr>
      </w:pPr>
      <w:r>
        <w:rPr>
          <w:rFonts w:ascii="Arial" w:eastAsia="Arial" w:hAnsi="Arial" w:cs="Arial"/>
          <w:i/>
          <w:iCs/>
          <w:sz w:val="22"/>
          <w:szCs w:val="22"/>
        </w:rPr>
        <w:t>{intentionally left blank}</w:t>
      </w:r>
      <w:r>
        <w:rPr>
          <w:rFonts w:ascii="Arial" w:eastAsia="Arial" w:hAnsi="Arial" w:cs="Arial"/>
          <w:sz w:val="22"/>
          <w:szCs w:val="22"/>
        </w:rPr>
        <w:t>.</w:t>
      </w:r>
    </w:p>
    <w:p w14:paraId="460C133C" w14:textId="77777777" w:rsidR="00592C29" w:rsidRDefault="00592C29">
      <w:pPr>
        <w:spacing w:before="120"/>
        <w:ind w:left="1440" w:hanging="720"/>
        <w:jc w:val="both"/>
        <w:rPr>
          <w:sz w:val="22"/>
          <w:szCs w:val="22"/>
        </w:rPr>
      </w:pPr>
    </w:p>
    <w:p w14:paraId="584ABD10" w14:textId="77777777" w:rsidR="00592C29" w:rsidRDefault="0048296D">
      <w:pPr>
        <w:spacing w:before="120"/>
        <w:ind w:left="1440" w:hanging="720"/>
        <w:jc w:val="both"/>
        <w:rPr>
          <w:sz w:val="22"/>
          <w:szCs w:val="22"/>
        </w:rPr>
      </w:pPr>
      <w:r>
        <w:rPr>
          <w:rFonts w:ascii="Arial" w:eastAsia="Arial" w:hAnsi="Arial" w:cs="Arial"/>
          <w:b/>
          <w:bCs/>
          <w:sz w:val="22"/>
          <w:szCs w:val="22"/>
        </w:rPr>
        <w:t>D.14</w:t>
      </w:r>
      <w:r>
        <w:rPr>
          <w:rFonts w:ascii="Arial" w:eastAsia="Arial" w:hAnsi="Arial" w:cs="Arial"/>
          <w:b/>
          <w:bCs/>
          <w:sz w:val="22"/>
          <w:szCs w:val="22"/>
        </w:rPr>
        <w:tab/>
        <w:t xml:space="preserve">Bureau(x) Arrangements – Mandatory:  </w:t>
      </w:r>
    </w:p>
    <w:p w14:paraId="4643E79A" w14:textId="08E24D5A" w:rsidR="00592C29" w:rsidRDefault="0048296D">
      <w:pPr>
        <w:spacing w:before="120"/>
        <w:ind w:left="720"/>
        <w:jc w:val="both"/>
        <w:rPr>
          <w:sz w:val="22"/>
          <w:szCs w:val="22"/>
        </w:rPr>
      </w:pPr>
      <w:r>
        <w:rPr>
          <w:rFonts w:ascii="Arial" w:eastAsia="Arial" w:hAnsi="Arial" w:cs="Arial"/>
          <w:sz w:val="22"/>
          <w:szCs w:val="22"/>
        </w:rPr>
        <w:t>Bureau(x) arrangements should be no different for Lloyd’s Brussels and Lloyd’s syndicate risks written. However</w:t>
      </w:r>
      <w:r w:rsidRPr="00293580">
        <w:rPr>
          <w:rFonts w:ascii="Arial" w:eastAsia="Arial" w:hAnsi="Arial" w:cs="Arial"/>
          <w:sz w:val="22"/>
          <w:szCs w:val="22"/>
        </w:rPr>
        <w:t>, there needs to be separate</w:t>
      </w:r>
      <w:r>
        <w:rPr>
          <w:rFonts w:ascii="Arial" w:eastAsia="Arial" w:hAnsi="Arial" w:cs="Arial"/>
          <w:sz w:val="22"/>
          <w:szCs w:val="22"/>
        </w:rPr>
        <w:t xml:space="preserve"> signing number and dates created for the two entities to drive premiums and claims to the correct insurers as separate arrangements are in place with Xchanging/DXC to carry out both processing and contract checks on behalf of Lloyd’s Brussels.</w:t>
      </w:r>
    </w:p>
    <w:p w14:paraId="3618E227" w14:textId="77777777" w:rsidR="00592C29" w:rsidRDefault="00592C29">
      <w:pPr>
        <w:spacing w:before="120"/>
        <w:ind w:left="1440" w:hanging="720"/>
        <w:jc w:val="both"/>
        <w:rPr>
          <w:sz w:val="22"/>
          <w:szCs w:val="22"/>
        </w:rPr>
      </w:pPr>
    </w:p>
    <w:p w14:paraId="73A8B886" w14:textId="77777777" w:rsidR="00592C29" w:rsidRDefault="0048296D">
      <w:pPr>
        <w:spacing w:before="120"/>
        <w:ind w:left="1440" w:hanging="720"/>
        <w:jc w:val="both"/>
        <w:rPr>
          <w:sz w:val="22"/>
          <w:szCs w:val="22"/>
        </w:rPr>
      </w:pPr>
      <w:r>
        <w:rPr>
          <w:rFonts w:ascii="Arial" w:eastAsia="Arial" w:hAnsi="Arial" w:cs="Arial"/>
          <w:b/>
          <w:bCs/>
          <w:sz w:val="22"/>
          <w:szCs w:val="22"/>
        </w:rPr>
        <w:t>D.15</w:t>
      </w:r>
      <w:r>
        <w:rPr>
          <w:rFonts w:ascii="Arial" w:eastAsia="Arial" w:hAnsi="Arial" w:cs="Arial"/>
          <w:b/>
          <w:bCs/>
          <w:sz w:val="22"/>
          <w:szCs w:val="22"/>
        </w:rPr>
        <w:tab/>
        <w:t xml:space="preserve">Non-Bureau Arrangements – Optional:  </w:t>
      </w:r>
    </w:p>
    <w:p w14:paraId="2ABBDC06" w14:textId="77777777" w:rsidR="00592C29" w:rsidRDefault="0048296D">
      <w:pPr>
        <w:spacing w:before="120"/>
        <w:ind w:left="720"/>
        <w:jc w:val="both"/>
        <w:rPr>
          <w:sz w:val="22"/>
          <w:szCs w:val="22"/>
        </w:rPr>
      </w:pPr>
      <w:r>
        <w:rPr>
          <w:rFonts w:ascii="Arial" w:eastAsia="Arial" w:hAnsi="Arial" w:cs="Arial"/>
          <w:i/>
          <w:iCs/>
          <w:sz w:val="22"/>
          <w:szCs w:val="22"/>
        </w:rPr>
        <w:t>{intentionally left blank}</w:t>
      </w:r>
      <w:r>
        <w:rPr>
          <w:rFonts w:ascii="Arial" w:eastAsia="Arial" w:hAnsi="Arial" w:cs="Arial"/>
          <w:sz w:val="22"/>
          <w:szCs w:val="22"/>
        </w:rPr>
        <w:t>.</w:t>
      </w:r>
    </w:p>
    <w:p w14:paraId="03F4A907" w14:textId="77777777" w:rsidR="00592C29" w:rsidRDefault="00592C29">
      <w:pPr>
        <w:spacing w:before="120"/>
        <w:ind w:left="720"/>
        <w:jc w:val="both"/>
        <w:rPr>
          <w:sz w:val="22"/>
          <w:szCs w:val="22"/>
        </w:rPr>
      </w:pPr>
    </w:p>
    <w:p w14:paraId="5C0512A9" w14:textId="4EFAD665" w:rsidR="00592C29" w:rsidRDefault="0048296D">
      <w:pPr>
        <w:spacing w:before="120"/>
        <w:ind w:left="1440" w:hanging="720"/>
        <w:jc w:val="both"/>
        <w:rPr>
          <w:sz w:val="22"/>
          <w:szCs w:val="22"/>
        </w:rPr>
      </w:pPr>
      <w:r>
        <w:rPr>
          <w:rFonts w:ascii="Arial" w:eastAsia="Arial" w:hAnsi="Arial" w:cs="Arial"/>
          <w:b/>
          <w:bCs/>
          <w:sz w:val="22"/>
          <w:szCs w:val="22"/>
        </w:rPr>
        <w:t>D.16</w:t>
      </w:r>
      <w:r>
        <w:rPr>
          <w:rFonts w:ascii="Arial" w:eastAsia="Arial" w:hAnsi="Arial" w:cs="Arial"/>
          <w:b/>
          <w:bCs/>
          <w:sz w:val="22"/>
          <w:szCs w:val="22"/>
        </w:rPr>
        <w:tab/>
        <w:t xml:space="preserve">Notice of cancellation </w:t>
      </w:r>
      <w:r w:rsidR="00445939">
        <w:rPr>
          <w:rFonts w:ascii="Arial" w:eastAsia="Arial" w:hAnsi="Arial" w:cs="Arial"/>
          <w:b/>
          <w:bCs/>
          <w:sz w:val="22"/>
          <w:szCs w:val="22"/>
        </w:rPr>
        <w:t>provisions -</w:t>
      </w:r>
      <w:r>
        <w:rPr>
          <w:rFonts w:ascii="Arial" w:eastAsia="Arial" w:hAnsi="Arial" w:cs="Arial"/>
          <w:b/>
          <w:bCs/>
          <w:sz w:val="22"/>
          <w:szCs w:val="22"/>
        </w:rPr>
        <w:t xml:space="preserve"> Conditional:  </w:t>
      </w:r>
    </w:p>
    <w:p w14:paraId="49A9C22C" w14:textId="78B2246E" w:rsidR="00592C29" w:rsidRDefault="0048296D">
      <w:pPr>
        <w:spacing w:before="120"/>
        <w:ind w:left="720"/>
        <w:jc w:val="both"/>
        <w:rPr>
          <w:rFonts w:ascii="Arial" w:eastAsia="Arial" w:hAnsi="Arial" w:cs="Arial"/>
          <w:sz w:val="22"/>
          <w:szCs w:val="22"/>
        </w:rPr>
      </w:pPr>
      <w:r w:rsidRPr="00445939">
        <w:rPr>
          <w:rFonts w:ascii="Arial" w:eastAsia="Arial" w:hAnsi="Arial" w:cs="Arial"/>
          <w:sz w:val="22"/>
          <w:szCs w:val="22"/>
        </w:rPr>
        <w:t>Please see A.18.</w:t>
      </w:r>
    </w:p>
    <w:p w14:paraId="652C7B1B" w14:textId="77777777" w:rsidR="00445939" w:rsidRPr="00445939" w:rsidRDefault="00445939">
      <w:pPr>
        <w:spacing w:before="120"/>
        <w:ind w:left="720"/>
        <w:jc w:val="both"/>
        <w:rPr>
          <w:sz w:val="22"/>
          <w:szCs w:val="22"/>
        </w:rPr>
      </w:pPr>
    </w:p>
    <w:p w14:paraId="108AF797" w14:textId="77777777" w:rsidR="00592C29" w:rsidRDefault="0048296D">
      <w:pPr>
        <w:spacing w:after="200" w:line="276" w:lineRule="auto"/>
        <w:rPr>
          <w:sz w:val="22"/>
          <w:szCs w:val="22"/>
        </w:rPr>
      </w:pPr>
      <w:r>
        <w:rPr>
          <w:sz w:val="22"/>
          <w:szCs w:val="22"/>
        </w:rPr>
        <w:br w:type="page"/>
      </w:r>
    </w:p>
    <w:p w14:paraId="3E491B05" w14:textId="77777777" w:rsidR="00592C29" w:rsidRDefault="00592C29">
      <w:pPr>
        <w:rPr>
          <w:sz w:val="22"/>
          <w:szCs w:val="22"/>
        </w:rPr>
      </w:pPr>
    </w:p>
    <w:p w14:paraId="159E6D61" w14:textId="77777777" w:rsidR="00592C29" w:rsidRDefault="0048296D">
      <w:pPr>
        <w:pStyle w:val="Heading1"/>
        <w:rPr>
          <w:sz w:val="40"/>
          <w:szCs w:val="40"/>
        </w:rPr>
      </w:pPr>
      <w:bookmarkStart w:id="53" w:name="_Toc21706652"/>
      <w:bookmarkStart w:id="54" w:name="_Toc31396087"/>
      <w:r>
        <w:rPr>
          <w:rFonts w:ascii="Arial" w:eastAsia="Arial" w:hAnsi="Arial" w:cs="Arial"/>
          <w:color w:val="0070C0"/>
          <w:sz w:val="40"/>
          <w:szCs w:val="40"/>
        </w:rPr>
        <w:t>Chapter 8 – FISCAL AND REGULATORY Guidance</w:t>
      </w:r>
      <w:bookmarkEnd w:id="53"/>
      <w:bookmarkEnd w:id="54"/>
    </w:p>
    <w:p w14:paraId="79D6DE8D" w14:textId="77777777" w:rsidR="00592C29" w:rsidRDefault="00592C29">
      <w:pPr>
        <w:rPr>
          <w:sz w:val="22"/>
          <w:szCs w:val="22"/>
        </w:rPr>
      </w:pPr>
    </w:p>
    <w:p w14:paraId="4324CFE4" w14:textId="77777777" w:rsidR="00592C29" w:rsidRDefault="0048296D">
      <w:pPr>
        <w:pStyle w:val="Heading2"/>
        <w:rPr>
          <w:sz w:val="28"/>
          <w:szCs w:val="28"/>
        </w:rPr>
      </w:pPr>
      <w:bookmarkStart w:id="55" w:name="_Toc21706653"/>
      <w:bookmarkStart w:id="56" w:name="_Toc31396088"/>
      <w:r>
        <w:rPr>
          <w:rFonts w:ascii="Arial" w:eastAsia="Arial" w:hAnsi="Arial" w:cs="Arial"/>
          <w:i/>
          <w:color w:val="0070C0"/>
          <w:sz w:val="28"/>
          <w:szCs w:val="28"/>
        </w:rPr>
        <w:t>8.1 General Guidance</w:t>
      </w:r>
      <w:bookmarkEnd w:id="55"/>
      <w:bookmarkEnd w:id="56"/>
    </w:p>
    <w:p w14:paraId="764843A7" w14:textId="77777777" w:rsidR="00592C29" w:rsidRDefault="00592C29">
      <w:pPr>
        <w:rPr>
          <w:sz w:val="22"/>
          <w:szCs w:val="22"/>
        </w:rPr>
      </w:pPr>
    </w:p>
    <w:p w14:paraId="4D58581A" w14:textId="13BC52F1" w:rsidR="00592C29" w:rsidRDefault="0048296D">
      <w:pPr>
        <w:spacing w:after="200" w:line="276" w:lineRule="auto"/>
        <w:ind w:left="720"/>
        <w:jc w:val="both"/>
        <w:rPr>
          <w:sz w:val="22"/>
          <w:szCs w:val="22"/>
        </w:rPr>
      </w:pPr>
      <w:r w:rsidRPr="00962131">
        <w:rPr>
          <w:rFonts w:ascii="Arial" w:eastAsia="Arial" w:hAnsi="Arial" w:cs="Arial"/>
          <w:sz w:val="22"/>
          <w:szCs w:val="22"/>
        </w:rPr>
        <w:t>Lloyd’s Insurance Company S.A. is a Belgian limited liability company (</w:t>
      </w:r>
      <w:proofErr w:type="spellStart"/>
      <w:r w:rsidRPr="00962131">
        <w:rPr>
          <w:rFonts w:ascii="Arial" w:eastAsia="Arial" w:hAnsi="Arial" w:cs="Arial"/>
          <w:i/>
          <w:iCs/>
          <w:sz w:val="22"/>
          <w:szCs w:val="22"/>
        </w:rPr>
        <w:t>société</w:t>
      </w:r>
      <w:proofErr w:type="spellEnd"/>
      <w:r w:rsidRPr="00962131">
        <w:rPr>
          <w:rFonts w:ascii="Arial" w:eastAsia="Arial" w:hAnsi="Arial" w:cs="Arial"/>
          <w:i/>
          <w:iCs/>
          <w:sz w:val="22"/>
          <w:szCs w:val="22"/>
        </w:rPr>
        <w:t xml:space="preserve"> anonyme / </w:t>
      </w:r>
      <w:proofErr w:type="spellStart"/>
      <w:r w:rsidRPr="00962131">
        <w:rPr>
          <w:rFonts w:ascii="Arial" w:eastAsia="Arial" w:hAnsi="Arial" w:cs="Arial"/>
          <w:i/>
          <w:iCs/>
          <w:sz w:val="22"/>
          <w:szCs w:val="22"/>
        </w:rPr>
        <w:t>naamloze</w:t>
      </w:r>
      <w:proofErr w:type="spellEnd"/>
      <w:r w:rsidRPr="00962131">
        <w:rPr>
          <w:rFonts w:ascii="Arial" w:eastAsia="Arial" w:hAnsi="Arial" w:cs="Arial"/>
          <w:i/>
          <w:iCs/>
          <w:sz w:val="22"/>
          <w:szCs w:val="22"/>
        </w:rPr>
        <w:t xml:space="preserve"> </w:t>
      </w:r>
      <w:proofErr w:type="spellStart"/>
      <w:r w:rsidRPr="00962131">
        <w:rPr>
          <w:rFonts w:ascii="Arial" w:eastAsia="Arial" w:hAnsi="Arial" w:cs="Arial"/>
          <w:i/>
          <w:iCs/>
          <w:sz w:val="22"/>
          <w:szCs w:val="22"/>
        </w:rPr>
        <w:t>vennootschap</w:t>
      </w:r>
      <w:proofErr w:type="spellEnd"/>
      <w:r w:rsidRPr="00962131">
        <w:rPr>
          <w:rFonts w:ascii="Arial" w:eastAsia="Arial" w:hAnsi="Arial" w:cs="Arial"/>
          <w:sz w:val="22"/>
          <w:szCs w:val="22"/>
        </w:rPr>
        <w:t xml:space="preserve">) with its registered office at 14th Floor, Bastion Tower, Place du Champ de Mars 5, 1050 Brussels, Belgium and registered with Banque-Carrefour des </w:t>
      </w:r>
      <w:proofErr w:type="spellStart"/>
      <w:r w:rsidRPr="00962131">
        <w:rPr>
          <w:rFonts w:ascii="Arial" w:eastAsia="Arial" w:hAnsi="Arial" w:cs="Arial"/>
          <w:sz w:val="22"/>
          <w:szCs w:val="22"/>
        </w:rPr>
        <w:t>Entreprises</w:t>
      </w:r>
      <w:proofErr w:type="spellEnd"/>
      <w:r w:rsidRPr="00962131">
        <w:rPr>
          <w:rFonts w:ascii="Arial" w:eastAsia="Arial" w:hAnsi="Arial" w:cs="Arial"/>
          <w:sz w:val="22"/>
          <w:szCs w:val="22"/>
        </w:rPr>
        <w:t xml:space="preserve"> / </w:t>
      </w:r>
      <w:proofErr w:type="spellStart"/>
      <w:r w:rsidRPr="00962131">
        <w:rPr>
          <w:rFonts w:ascii="Arial" w:eastAsia="Arial" w:hAnsi="Arial" w:cs="Arial"/>
          <w:sz w:val="22"/>
          <w:szCs w:val="22"/>
        </w:rPr>
        <w:t>Kruispuntbank</w:t>
      </w:r>
      <w:proofErr w:type="spellEnd"/>
      <w:r w:rsidRPr="00962131">
        <w:rPr>
          <w:rFonts w:ascii="Arial" w:eastAsia="Arial" w:hAnsi="Arial" w:cs="Arial"/>
          <w:sz w:val="22"/>
          <w:szCs w:val="22"/>
        </w:rPr>
        <w:t xml:space="preserve"> van </w:t>
      </w:r>
      <w:proofErr w:type="spellStart"/>
      <w:r w:rsidRPr="00962131">
        <w:rPr>
          <w:rFonts w:ascii="Arial" w:eastAsia="Arial" w:hAnsi="Arial" w:cs="Arial"/>
          <w:sz w:val="22"/>
          <w:szCs w:val="22"/>
        </w:rPr>
        <w:t>Ondernemingen</w:t>
      </w:r>
      <w:proofErr w:type="spellEnd"/>
      <w:r>
        <w:rPr>
          <w:rFonts w:ascii="Arial" w:eastAsia="Arial" w:hAnsi="Arial" w:cs="Arial"/>
          <w:sz w:val="22"/>
          <w:szCs w:val="22"/>
        </w:rPr>
        <w:t xml:space="preserve"> under number 682.594.839 RLE (Brussels). It is an insurance company subject to the supervision of the National Bank of Belgium. Its Firm Reference Number(s) and other details can be found on </w:t>
      </w:r>
      <w:hyperlink r:id="rId29" w:history="1">
        <w:r>
          <w:rPr>
            <w:rFonts w:ascii="Arial" w:eastAsia="Arial" w:hAnsi="Arial" w:cs="Arial"/>
            <w:color w:val="0000FF"/>
            <w:sz w:val="22"/>
            <w:szCs w:val="22"/>
            <w:u w:val="single" w:color="0000FF"/>
          </w:rPr>
          <w:t>www.nbb.be</w:t>
        </w:r>
      </w:hyperlink>
      <w:r>
        <w:rPr>
          <w:rFonts w:ascii="Arial" w:eastAsia="Arial" w:hAnsi="Arial" w:cs="Arial"/>
          <w:sz w:val="22"/>
          <w:szCs w:val="22"/>
        </w:rPr>
        <w:t>.</w:t>
      </w:r>
    </w:p>
    <w:p w14:paraId="5138AFCA" w14:textId="77777777" w:rsidR="00592C29" w:rsidRDefault="0048296D">
      <w:pPr>
        <w:spacing w:after="200" w:line="276" w:lineRule="auto"/>
        <w:ind w:left="720"/>
        <w:jc w:val="both"/>
        <w:rPr>
          <w:sz w:val="22"/>
          <w:szCs w:val="22"/>
        </w:rPr>
      </w:pPr>
      <w:r>
        <w:rPr>
          <w:rFonts w:ascii="Arial" w:eastAsia="Arial" w:hAnsi="Arial" w:cs="Arial"/>
          <w:sz w:val="22"/>
          <w:szCs w:val="22"/>
        </w:rPr>
        <w:t xml:space="preserve">Website address: </w:t>
      </w:r>
      <w:hyperlink r:id="rId30" w:history="1">
        <w:r>
          <w:rPr>
            <w:rFonts w:ascii="Arial" w:eastAsia="Arial" w:hAnsi="Arial" w:cs="Arial"/>
            <w:color w:val="0000FF"/>
            <w:sz w:val="22"/>
            <w:szCs w:val="22"/>
            <w:u w:val="single" w:color="0000FF"/>
          </w:rPr>
          <w:t>www.lloyds.com/brussels</w:t>
        </w:r>
      </w:hyperlink>
      <w:r>
        <w:rPr>
          <w:rFonts w:ascii="Arial" w:eastAsia="Arial" w:hAnsi="Arial" w:cs="Arial"/>
          <w:sz w:val="22"/>
          <w:szCs w:val="22"/>
        </w:rPr>
        <w:t xml:space="preserve">  </w:t>
      </w:r>
    </w:p>
    <w:p w14:paraId="06BCCA21" w14:textId="77777777" w:rsidR="00592C29" w:rsidRDefault="0048296D">
      <w:pPr>
        <w:spacing w:after="200" w:line="276" w:lineRule="auto"/>
        <w:ind w:left="720"/>
        <w:jc w:val="both"/>
        <w:rPr>
          <w:sz w:val="22"/>
          <w:szCs w:val="22"/>
        </w:rPr>
      </w:pPr>
      <w:r>
        <w:rPr>
          <w:rFonts w:ascii="Arial" w:eastAsia="Arial" w:hAnsi="Arial" w:cs="Arial"/>
          <w:sz w:val="22"/>
          <w:szCs w:val="22"/>
        </w:rPr>
        <w:t xml:space="preserve">E-mail: </w:t>
      </w:r>
      <w:hyperlink r:id="rId31" w:history="1">
        <w:r>
          <w:rPr>
            <w:rFonts w:ascii="Arial" w:eastAsia="Arial" w:hAnsi="Arial" w:cs="Arial"/>
            <w:color w:val="0000FF"/>
            <w:sz w:val="22"/>
            <w:szCs w:val="22"/>
            <w:u w:val="single" w:color="0000FF"/>
          </w:rPr>
          <w:t>enquiries.lloydsbrussels@lloyds.com</w:t>
        </w:r>
      </w:hyperlink>
    </w:p>
    <w:p w14:paraId="13A2FD20" w14:textId="77777777" w:rsidR="00592C29" w:rsidRDefault="0048296D">
      <w:pPr>
        <w:spacing w:before="120"/>
        <w:ind w:left="720"/>
        <w:jc w:val="both"/>
        <w:rPr>
          <w:sz w:val="22"/>
          <w:szCs w:val="22"/>
        </w:rPr>
      </w:pPr>
      <w:r>
        <w:rPr>
          <w:rFonts w:ascii="Arial" w:eastAsia="Arial" w:hAnsi="Arial" w:cs="Arial"/>
          <w:sz w:val="22"/>
          <w:szCs w:val="22"/>
        </w:rPr>
        <w:t>Bank details: Citibank Europe plc Belgium Branch, Boulevard General Jacques 263G, Brussels 1050, Belgium - BE46570135225536..</w:t>
      </w:r>
    </w:p>
    <w:p w14:paraId="6ED583BF" w14:textId="3AC6AF8F" w:rsidR="00592C29" w:rsidRDefault="0048296D">
      <w:pPr>
        <w:spacing w:before="120"/>
        <w:ind w:left="720"/>
        <w:jc w:val="both"/>
        <w:rPr>
          <w:sz w:val="22"/>
          <w:szCs w:val="22"/>
        </w:rPr>
      </w:pPr>
      <w:r>
        <w:rPr>
          <w:rFonts w:ascii="Arial" w:eastAsia="Arial" w:hAnsi="Arial" w:cs="Arial"/>
          <w:sz w:val="22"/>
          <w:szCs w:val="22"/>
        </w:rPr>
        <w:t xml:space="preserve">The Fiscal &amp; Regulatory requirements applicable to any given risk will be dictated by the “Regulatory Risk Location”, for which a new Mandatory heading has been included within the MRC standard format (refer </w:t>
      </w:r>
      <w:r w:rsidRPr="00962131">
        <w:rPr>
          <w:rFonts w:ascii="Arial" w:eastAsia="Arial" w:hAnsi="Arial" w:cs="Arial"/>
          <w:sz w:val="22"/>
          <w:szCs w:val="22"/>
        </w:rPr>
        <w:t>E.3</w:t>
      </w:r>
      <w:r>
        <w:rPr>
          <w:rFonts w:ascii="Arial" w:eastAsia="Arial" w:hAnsi="Arial" w:cs="Arial"/>
          <w:sz w:val="22"/>
          <w:szCs w:val="22"/>
        </w:rPr>
        <w:t xml:space="preserve"> below).</w:t>
      </w:r>
    </w:p>
    <w:p w14:paraId="102C2F66" w14:textId="77777777" w:rsidR="00592C29" w:rsidRDefault="00592C29">
      <w:pPr>
        <w:rPr>
          <w:sz w:val="22"/>
          <w:szCs w:val="22"/>
        </w:rPr>
      </w:pPr>
    </w:p>
    <w:p w14:paraId="0A231D05" w14:textId="77777777" w:rsidR="00592C29" w:rsidRDefault="0048296D">
      <w:pPr>
        <w:pStyle w:val="Heading2"/>
        <w:rPr>
          <w:sz w:val="28"/>
          <w:szCs w:val="28"/>
        </w:rPr>
      </w:pPr>
      <w:bookmarkStart w:id="57" w:name="_Toc21706654"/>
      <w:bookmarkStart w:id="58" w:name="_Toc31396089"/>
      <w:r>
        <w:rPr>
          <w:rFonts w:ascii="Arial" w:eastAsia="Arial" w:hAnsi="Arial" w:cs="Arial"/>
          <w:i/>
          <w:color w:val="0070C0"/>
          <w:sz w:val="28"/>
          <w:szCs w:val="28"/>
        </w:rPr>
        <w:t>8.2 Guidance on Specific Fields</w:t>
      </w:r>
      <w:bookmarkEnd w:id="57"/>
      <w:bookmarkEnd w:id="58"/>
    </w:p>
    <w:p w14:paraId="001D0ECE" w14:textId="77777777" w:rsidR="00592C29" w:rsidRDefault="00592C29">
      <w:pPr>
        <w:rPr>
          <w:sz w:val="22"/>
          <w:szCs w:val="22"/>
        </w:rPr>
      </w:pPr>
    </w:p>
    <w:p w14:paraId="75CD9AF9" w14:textId="77777777" w:rsidR="00592C29" w:rsidRDefault="0048296D">
      <w:pPr>
        <w:spacing w:before="120"/>
        <w:ind w:left="1440" w:hanging="720"/>
        <w:jc w:val="both"/>
        <w:rPr>
          <w:sz w:val="22"/>
          <w:szCs w:val="22"/>
        </w:rPr>
      </w:pPr>
      <w:r>
        <w:rPr>
          <w:rFonts w:ascii="Arial" w:eastAsia="Arial" w:hAnsi="Arial" w:cs="Arial"/>
          <w:b/>
          <w:bCs/>
          <w:sz w:val="22"/>
          <w:szCs w:val="22"/>
        </w:rPr>
        <w:t>E.1</w:t>
      </w:r>
      <w:r>
        <w:rPr>
          <w:rFonts w:ascii="Arial" w:eastAsia="Arial" w:hAnsi="Arial" w:cs="Arial"/>
          <w:b/>
          <w:bCs/>
          <w:sz w:val="22"/>
          <w:szCs w:val="22"/>
        </w:rPr>
        <w:tab/>
        <w:t xml:space="preserve">Tax Payable by Insurer(s) – Mandatory:  </w:t>
      </w:r>
    </w:p>
    <w:p w14:paraId="204B3189" w14:textId="77777777" w:rsidR="00592C29" w:rsidRDefault="0048296D">
      <w:pPr>
        <w:spacing w:before="120"/>
        <w:ind w:left="709"/>
        <w:jc w:val="both"/>
        <w:rPr>
          <w:sz w:val="22"/>
          <w:szCs w:val="22"/>
        </w:rPr>
      </w:pPr>
      <w:r>
        <w:rPr>
          <w:rFonts w:ascii="Arial" w:eastAsia="Arial" w:hAnsi="Arial" w:cs="Arial"/>
          <w:sz w:val="22"/>
          <w:szCs w:val="22"/>
        </w:rPr>
        <w:t>Lloyd’s Brussels is ensuring it causes as little disruption as possible to the market by using existing market systems and processes Therefore, Lloyd’s Brussels has put in place separate contracts with the bureau to enable taxes to be processed “behind the scenes”.</w:t>
      </w:r>
    </w:p>
    <w:p w14:paraId="7FB82850" w14:textId="7349C9C7" w:rsidR="00592C29" w:rsidRDefault="0048296D">
      <w:pPr>
        <w:spacing w:before="120"/>
        <w:ind w:left="709"/>
        <w:jc w:val="both"/>
        <w:rPr>
          <w:sz w:val="22"/>
          <w:szCs w:val="22"/>
        </w:rPr>
      </w:pPr>
      <w:r>
        <w:rPr>
          <w:rFonts w:ascii="Arial" w:eastAsia="Arial" w:hAnsi="Arial" w:cs="Arial"/>
          <w:sz w:val="22"/>
          <w:szCs w:val="22"/>
        </w:rPr>
        <w:t xml:space="preserve">Like Premium, the taxes “payable by the insured” need to be split between Lloyd’s Brussels and non-Lloyd’s Brussels risks. </w:t>
      </w:r>
    </w:p>
    <w:p w14:paraId="56EF7335" w14:textId="1B973324" w:rsidR="00592C29" w:rsidRDefault="0048296D">
      <w:pPr>
        <w:spacing w:before="120"/>
        <w:ind w:left="720"/>
        <w:jc w:val="both"/>
        <w:rPr>
          <w:sz w:val="22"/>
          <w:szCs w:val="22"/>
        </w:rPr>
      </w:pPr>
      <w:r>
        <w:rPr>
          <w:rFonts w:ascii="Arial" w:eastAsia="Arial" w:hAnsi="Arial" w:cs="Arial"/>
          <w:sz w:val="22"/>
          <w:szCs w:val="22"/>
        </w:rPr>
        <w:t xml:space="preserve">Where a contract covers a risk in multiple countries, a separate schedule of risk values and tax information may be necessary.  In these </w:t>
      </w:r>
      <w:r w:rsidR="00962131">
        <w:rPr>
          <w:rFonts w:ascii="Arial" w:eastAsia="Arial" w:hAnsi="Arial" w:cs="Arial"/>
          <w:sz w:val="22"/>
          <w:szCs w:val="22"/>
        </w:rPr>
        <w:t>cases,</w:t>
      </w:r>
      <w:r>
        <w:rPr>
          <w:rFonts w:ascii="Arial" w:eastAsia="Arial" w:hAnsi="Arial" w:cs="Arial"/>
          <w:sz w:val="22"/>
          <w:szCs w:val="22"/>
        </w:rPr>
        <w:t xml:space="preserve"> a premium breakdown by territory is required as a basis for tax calculation. This may be produced in a variety of formats e.g. as a spreadsheet, or as a tax schedule report output from tax calculation software, but the tax details must be clearly identified between Lloyd’s Brussels and non-Lloyd’s Brussels.</w:t>
      </w:r>
    </w:p>
    <w:p w14:paraId="3B2392B1" w14:textId="77777777" w:rsidR="00592C29" w:rsidRDefault="0048296D">
      <w:pPr>
        <w:spacing w:before="120"/>
        <w:ind w:left="720"/>
        <w:jc w:val="both"/>
        <w:rPr>
          <w:sz w:val="22"/>
          <w:szCs w:val="22"/>
        </w:rPr>
      </w:pPr>
      <w:r>
        <w:rPr>
          <w:rFonts w:ascii="Arial" w:eastAsia="Arial" w:hAnsi="Arial" w:cs="Arial"/>
          <w:sz w:val="22"/>
          <w:szCs w:val="22"/>
        </w:rPr>
        <w:t>It should also be clear which party is responsible for making the payment to the authorities i.e. the insurer, local intermediary or insured.</w:t>
      </w:r>
    </w:p>
    <w:p w14:paraId="5EBF735B" w14:textId="70CEC669" w:rsidR="00592C29" w:rsidRDefault="0048296D">
      <w:pPr>
        <w:spacing w:before="120"/>
        <w:ind w:left="720"/>
        <w:jc w:val="both"/>
        <w:rPr>
          <w:rFonts w:ascii="Arial" w:eastAsia="Arial" w:hAnsi="Arial" w:cs="Arial"/>
          <w:sz w:val="22"/>
          <w:szCs w:val="22"/>
        </w:rPr>
      </w:pPr>
      <w:r>
        <w:rPr>
          <w:rFonts w:ascii="Arial" w:eastAsia="Arial" w:hAnsi="Arial" w:cs="Arial"/>
          <w:sz w:val="22"/>
          <w:szCs w:val="22"/>
        </w:rPr>
        <w:t>All parties, including intermediaries, may have various individual and shared responsibilities to ensure that the contract complies with all relevant taxation laws and regulations.</w:t>
      </w:r>
    </w:p>
    <w:p w14:paraId="479E925F" w14:textId="7769ED8F" w:rsidR="00962131" w:rsidRDefault="00962131">
      <w:pPr>
        <w:spacing w:before="120"/>
        <w:ind w:left="720"/>
        <w:jc w:val="both"/>
        <w:rPr>
          <w:sz w:val="22"/>
          <w:szCs w:val="22"/>
        </w:rPr>
      </w:pPr>
      <w:r>
        <w:rPr>
          <w:rFonts w:ascii="Arial" w:eastAsia="Arial" w:hAnsi="Arial" w:cs="Arial"/>
          <w:sz w:val="22"/>
          <w:szCs w:val="22"/>
        </w:rPr>
        <w:t>The tax position for the contract/policy must always be clear on the insurance documentation.</w:t>
      </w:r>
    </w:p>
    <w:p w14:paraId="71B948D7" w14:textId="77777777" w:rsidR="00592C29" w:rsidRDefault="00592C29">
      <w:pPr>
        <w:spacing w:before="120"/>
        <w:ind w:left="709"/>
        <w:jc w:val="both"/>
        <w:rPr>
          <w:sz w:val="22"/>
          <w:szCs w:val="22"/>
        </w:rPr>
      </w:pPr>
    </w:p>
    <w:p w14:paraId="2FCC68CD" w14:textId="77777777" w:rsidR="003B5105" w:rsidRDefault="003B5105">
      <w:pPr>
        <w:rPr>
          <w:rFonts w:ascii="Arial" w:eastAsia="Arial" w:hAnsi="Arial" w:cs="Arial"/>
          <w:b/>
          <w:bCs/>
          <w:sz w:val="22"/>
          <w:szCs w:val="22"/>
        </w:rPr>
      </w:pPr>
      <w:r>
        <w:rPr>
          <w:rFonts w:ascii="Arial" w:eastAsia="Arial" w:hAnsi="Arial" w:cs="Arial"/>
          <w:b/>
          <w:bCs/>
          <w:sz w:val="22"/>
          <w:szCs w:val="22"/>
        </w:rPr>
        <w:br w:type="page"/>
      </w:r>
    </w:p>
    <w:p w14:paraId="6C2C57B0" w14:textId="7C42F560" w:rsidR="00592C29" w:rsidRDefault="0048296D">
      <w:pPr>
        <w:spacing w:before="120"/>
        <w:ind w:left="1440" w:hanging="720"/>
        <w:jc w:val="both"/>
        <w:rPr>
          <w:sz w:val="22"/>
          <w:szCs w:val="22"/>
        </w:rPr>
      </w:pPr>
      <w:r>
        <w:rPr>
          <w:rFonts w:ascii="Arial" w:eastAsia="Arial" w:hAnsi="Arial" w:cs="Arial"/>
          <w:b/>
          <w:bCs/>
          <w:sz w:val="22"/>
          <w:szCs w:val="22"/>
        </w:rPr>
        <w:lastRenderedPageBreak/>
        <w:t>E.2</w:t>
      </w:r>
      <w:r>
        <w:rPr>
          <w:rFonts w:ascii="Arial" w:eastAsia="Arial" w:hAnsi="Arial" w:cs="Arial"/>
          <w:b/>
          <w:bCs/>
          <w:sz w:val="22"/>
          <w:szCs w:val="22"/>
        </w:rPr>
        <w:tab/>
        <w:t xml:space="preserve">Country of Origin – Mandatory: </w:t>
      </w:r>
    </w:p>
    <w:p w14:paraId="7C2CF73D" w14:textId="77777777" w:rsidR="00592C29" w:rsidRDefault="0048296D">
      <w:pPr>
        <w:spacing w:before="120"/>
        <w:ind w:left="709" w:firstLine="11"/>
        <w:jc w:val="both"/>
        <w:rPr>
          <w:sz w:val="22"/>
          <w:szCs w:val="22"/>
        </w:rPr>
      </w:pPr>
      <w:r>
        <w:rPr>
          <w:rFonts w:ascii="Arial" w:eastAsia="Arial" w:hAnsi="Arial" w:cs="Arial"/>
          <w:sz w:val="22"/>
          <w:szCs w:val="22"/>
        </w:rPr>
        <w:t>The country of origin will continue to be determined in the same way as it is now and is important for Lloyd’s statistics and tax reporting purposes.</w:t>
      </w:r>
    </w:p>
    <w:p w14:paraId="6415EC8C" w14:textId="77777777" w:rsidR="00592C29" w:rsidRDefault="0048296D">
      <w:pPr>
        <w:spacing w:before="120"/>
        <w:ind w:left="709" w:firstLine="11"/>
        <w:jc w:val="both"/>
        <w:rPr>
          <w:sz w:val="22"/>
          <w:szCs w:val="22"/>
        </w:rPr>
      </w:pPr>
      <w:r>
        <w:rPr>
          <w:rFonts w:ascii="Arial" w:eastAsia="Arial" w:hAnsi="Arial" w:cs="Arial"/>
          <w:sz w:val="22"/>
          <w:szCs w:val="22"/>
        </w:rPr>
        <w:t xml:space="preserve">The location of the insured in a particular territory </w:t>
      </w:r>
      <w:r>
        <w:rPr>
          <w:rFonts w:ascii="Arial" w:eastAsia="Arial" w:hAnsi="Arial" w:cs="Arial"/>
          <w:sz w:val="22"/>
          <w:szCs w:val="22"/>
          <w:u w:val="single"/>
        </w:rPr>
        <w:t>may</w:t>
      </w:r>
      <w:r>
        <w:rPr>
          <w:rFonts w:ascii="Arial" w:eastAsia="Arial" w:hAnsi="Arial" w:cs="Arial"/>
          <w:sz w:val="22"/>
          <w:szCs w:val="22"/>
        </w:rPr>
        <w:t xml:space="preserve"> determine the risk location for regulatory purposes.</w:t>
      </w:r>
    </w:p>
    <w:p w14:paraId="3820ADC5" w14:textId="77777777" w:rsidR="00592C29" w:rsidRDefault="00592C29">
      <w:pPr>
        <w:spacing w:before="120"/>
        <w:ind w:left="1440" w:hanging="720"/>
        <w:jc w:val="both"/>
        <w:rPr>
          <w:sz w:val="22"/>
          <w:szCs w:val="22"/>
        </w:rPr>
      </w:pPr>
    </w:p>
    <w:p w14:paraId="58B74285" w14:textId="77777777" w:rsidR="00592C29" w:rsidRDefault="0048296D">
      <w:pPr>
        <w:spacing w:before="120"/>
        <w:ind w:left="1440" w:hanging="720"/>
        <w:jc w:val="both"/>
        <w:rPr>
          <w:sz w:val="22"/>
          <w:szCs w:val="22"/>
        </w:rPr>
      </w:pPr>
      <w:r>
        <w:rPr>
          <w:rFonts w:ascii="Arial" w:eastAsia="Arial" w:hAnsi="Arial" w:cs="Arial"/>
          <w:b/>
          <w:bCs/>
          <w:sz w:val="22"/>
          <w:szCs w:val="22"/>
        </w:rPr>
        <w:t>E.3</w:t>
      </w:r>
      <w:r>
        <w:rPr>
          <w:rFonts w:ascii="Arial" w:eastAsia="Arial" w:hAnsi="Arial" w:cs="Arial"/>
          <w:b/>
          <w:bCs/>
          <w:sz w:val="22"/>
          <w:szCs w:val="22"/>
        </w:rPr>
        <w:tab/>
        <w:t xml:space="preserve">Regulatory Risk Location – Mandatory: </w:t>
      </w:r>
    </w:p>
    <w:p w14:paraId="070E75C6" w14:textId="77777777" w:rsidR="00592C29" w:rsidRPr="00962131" w:rsidRDefault="0048296D">
      <w:pPr>
        <w:spacing w:before="120"/>
        <w:ind w:left="720"/>
        <w:jc w:val="both"/>
        <w:rPr>
          <w:sz w:val="22"/>
          <w:szCs w:val="22"/>
        </w:rPr>
      </w:pPr>
      <w:r w:rsidRPr="00962131">
        <w:rPr>
          <w:rFonts w:ascii="Arial" w:eastAsia="Arial" w:hAnsi="Arial" w:cs="Arial"/>
          <w:sz w:val="22"/>
          <w:szCs w:val="22"/>
        </w:rPr>
        <w:t>This is a mandatory heading added to the MRC standard format and guidance, to assist in the creation of split/</w:t>
      </w:r>
      <w:proofErr w:type="spellStart"/>
      <w:r w:rsidRPr="00962131">
        <w:rPr>
          <w:rFonts w:ascii="Arial" w:eastAsia="Arial" w:hAnsi="Arial" w:cs="Arial"/>
          <w:sz w:val="22"/>
          <w:szCs w:val="22"/>
        </w:rPr>
        <w:t>sectionalised</w:t>
      </w:r>
      <w:proofErr w:type="spellEnd"/>
      <w:r w:rsidRPr="00962131">
        <w:rPr>
          <w:rFonts w:ascii="Arial" w:eastAsia="Arial" w:hAnsi="Arial" w:cs="Arial"/>
          <w:sz w:val="22"/>
          <w:szCs w:val="22"/>
        </w:rPr>
        <w:t xml:space="preserve"> MRC post Brexit.</w:t>
      </w:r>
    </w:p>
    <w:p w14:paraId="50C8E101" w14:textId="5698C3C3" w:rsidR="00592C29" w:rsidRPr="00962131" w:rsidRDefault="0048296D">
      <w:pPr>
        <w:spacing w:before="120"/>
        <w:ind w:left="720"/>
        <w:jc w:val="both"/>
        <w:rPr>
          <w:sz w:val="22"/>
          <w:szCs w:val="22"/>
        </w:rPr>
      </w:pPr>
      <w:r w:rsidRPr="00962131">
        <w:rPr>
          <w:rFonts w:ascii="Arial" w:eastAsia="Arial" w:hAnsi="Arial" w:cs="Arial"/>
          <w:sz w:val="22"/>
          <w:szCs w:val="22"/>
        </w:rPr>
        <w:t xml:space="preserve">Whilst the mandatory heading was introduced with effect from September 2018, the requirement to identify the regulatory risk location has always existed </w:t>
      </w:r>
      <w:r w:rsidR="00962131" w:rsidRPr="00962131">
        <w:rPr>
          <w:rFonts w:ascii="Arial" w:eastAsia="Arial" w:hAnsi="Arial" w:cs="Arial"/>
          <w:sz w:val="22"/>
          <w:szCs w:val="22"/>
        </w:rPr>
        <w:t>and must</w:t>
      </w:r>
      <w:r w:rsidRPr="00962131">
        <w:rPr>
          <w:rFonts w:ascii="Arial" w:eastAsia="Arial" w:hAnsi="Arial" w:cs="Arial"/>
          <w:sz w:val="22"/>
          <w:szCs w:val="22"/>
        </w:rPr>
        <w:t xml:space="preserve"> be determined prior to compilation of the (split/</w:t>
      </w:r>
      <w:proofErr w:type="spellStart"/>
      <w:r w:rsidRPr="00962131">
        <w:rPr>
          <w:rFonts w:ascii="Arial" w:eastAsia="Arial" w:hAnsi="Arial" w:cs="Arial"/>
          <w:sz w:val="22"/>
          <w:szCs w:val="22"/>
        </w:rPr>
        <w:t>sectionalised</w:t>
      </w:r>
      <w:proofErr w:type="spellEnd"/>
      <w:r w:rsidRPr="00962131">
        <w:rPr>
          <w:rFonts w:ascii="Arial" w:eastAsia="Arial" w:hAnsi="Arial" w:cs="Arial"/>
          <w:sz w:val="22"/>
          <w:szCs w:val="22"/>
        </w:rPr>
        <w:t xml:space="preserve">) MRC. </w:t>
      </w:r>
    </w:p>
    <w:p w14:paraId="456CC66B" w14:textId="77777777" w:rsidR="00592C29" w:rsidRPr="00962131" w:rsidRDefault="0048296D">
      <w:pPr>
        <w:spacing w:before="120"/>
        <w:ind w:left="720"/>
        <w:jc w:val="both"/>
        <w:rPr>
          <w:sz w:val="22"/>
          <w:szCs w:val="22"/>
        </w:rPr>
      </w:pPr>
      <w:r w:rsidRPr="00962131">
        <w:rPr>
          <w:rFonts w:ascii="Arial" w:eastAsia="Arial" w:hAnsi="Arial" w:cs="Arial"/>
          <w:sz w:val="22"/>
          <w:szCs w:val="22"/>
        </w:rPr>
        <w:t>A far greater emphasis is placed upon Regulatory Risk Location due to Brexit as there needs to be a clear distinction made between location of risk and the related, but very different, pieces of information (e.g. insured’s domicile/address, situation/territorial scope) contained elsewhere within the MRC.</w:t>
      </w:r>
    </w:p>
    <w:p w14:paraId="7904D5A7" w14:textId="77777777" w:rsidR="00592C29" w:rsidRPr="00962131" w:rsidRDefault="0048296D">
      <w:pPr>
        <w:spacing w:before="120"/>
        <w:ind w:left="720"/>
        <w:jc w:val="both"/>
        <w:rPr>
          <w:sz w:val="22"/>
          <w:szCs w:val="22"/>
        </w:rPr>
      </w:pPr>
      <w:r w:rsidRPr="00962131">
        <w:rPr>
          <w:rFonts w:ascii="Arial" w:eastAsia="Arial" w:hAnsi="Arial" w:cs="Arial"/>
          <w:sz w:val="22"/>
          <w:szCs w:val="22"/>
        </w:rPr>
        <w:t xml:space="preserve">Whilst this is not an exhaustive list, the regulatory risk location can be affected/determined by reference to a number of different parameters. </w:t>
      </w:r>
    </w:p>
    <w:p w14:paraId="49855F41" w14:textId="77777777" w:rsidR="00592C29" w:rsidRPr="00962131" w:rsidRDefault="0048296D">
      <w:pPr>
        <w:spacing w:before="120"/>
        <w:ind w:left="720"/>
        <w:jc w:val="both"/>
        <w:rPr>
          <w:sz w:val="22"/>
          <w:szCs w:val="22"/>
        </w:rPr>
      </w:pPr>
      <w:r w:rsidRPr="00962131">
        <w:rPr>
          <w:rFonts w:ascii="Arial" w:eastAsia="Arial" w:hAnsi="Arial" w:cs="Arial"/>
          <w:sz w:val="22"/>
          <w:szCs w:val="22"/>
        </w:rPr>
        <w:t>Examples include:</w:t>
      </w:r>
    </w:p>
    <w:p w14:paraId="1CA4168F" w14:textId="77777777" w:rsidR="00592C29" w:rsidRPr="00962131" w:rsidRDefault="0048296D">
      <w:pPr>
        <w:numPr>
          <w:ilvl w:val="0"/>
          <w:numId w:val="33"/>
        </w:numPr>
        <w:pBdr>
          <w:left w:val="none" w:sz="0" w:space="7" w:color="auto"/>
        </w:pBdr>
        <w:spacing w:before="120"/>
        <w:ind w:left="1440" w:hanging="430"/>
        <w:jc w:val="both"/>
        <w:rPr>
          <w:sz w:val="22"/>
          <w:szCs w:val="22"/>
        </w:rPr>
      </w:pPr>
      <w:r w:rsidRPr="00962131">
        <w:rPr>
          <w:rFonts w:ascii="Arial" w:eastAsia="Arial" w:hAnsi="Arial" w:cs="Arial"/>
          <w:sz w:val="22"/>
          <w:szCs w:val="22"/>
        </w:rPr>
        <w:t>Insured’s domicile/address (refer A.3 above);</w:t>
      </w:r>
    </w:p>
    <w:p w14:paraId="5E022C89" w14:textId="77777777" w:rsidR="00592C29" w:rsidRPr="00962131" w:rsidRDefault="0048296D">
      <w:pPr>
        <w:numPr>
          <w:ilvl w:val="0"/>
          <w:numId w:val="33"/>
        </w:numPr>
        <w:pBdr>
          <w:left w:val="none" w:sz="0" w:space="7" w:color="auto"/>
        </w:pBdr>
        <w:spacing w:before="120"/>
        <w:ind w:left="1440" w:hanging="430"/>
        <w:jc w:val="both"/>
        <w:rPr>
          <w:sz w:val="22"/>
          <w:szCs w:val="22"/>
        </w:rPr>
      </w:pPr>
      <w:proofErr w:type="spellStart"/>
      <w:r w:rsidRPr="00962131">
        <w:rPr>
          <w:rFonts w:ascii="Arial" w:eastAsia="Arial" w:hAnsi="Arial" w:cs="Arial"/>
          <w:sz w:val="22"/>
          <w:szCs w:val="22"/>
        </w:rPr>
        <w:t>Reinsured’s</w:t>
      </w:r>
      <w:proofErr w:type="spellEnd"/>
      <w:r w:rsidRPr="00962131">
        <w:rPr>
          <w:rFonts w:ascii="Arial" w:eastAsia="Arial" w:hAnsi="Arial" w:cs="Arial"/>
          <w:sz w:val="22"/>
          <w:szCs w:val="22"/>
        </w:rPr>
        <w:t xml:space="preserve"> domicile;</w:t>
      </w:r>
    </w:p>
    <w:p w14:paraId="147373A4" w14:textId="77777777" w:rsidR="00592C29" w:rsidRPr="00962131" w:rsidRDefault="0048296D">
      <w:pPr>
        <w:numPr>
          <w:ilvl w:val="0"/>
          <w:numId w:val="33"/>
        </w:numPr>
        <w:pBdr>
          <w:left w:val="none" w:sz="0" w:space="7" w:color="auto"/>
        </w:pBdr>
        <w:spacing w:before="120"/>
        <w:ind w:left="1440" w:hanging="430"/>
        <w:jc w:val="both"/>
        <w:rPr>
          <w:sz w:val="22"/>
          <w:szCs w:val="22"/>
        </w:rPr>
      </w:pPr>
      <w:r w:rsidRPr="00962131">
        <w:rPr>
          <w:rFonts w:ascii="Arial" w:eastAsia="Arial" w:hAnsi="Arial" w:cs="Arial"/>
          <w:sz w:val="22"/>
          <w:szCs w:val="22"/>
        </w:rPr>
        <w:t>Class of business and the perils to be covered (A.2 Type and A.5 Interest, above);</w:t>
      </w:r>
    </w:p>
    <w:p w14:paraId="2C281553" w14:textId="77777777" w:rsidR="00592C29" w:rsidRPr="00962131" w:rsidRDefault="0048296D">
      <w:pPr>
        <w:numPr>
          <w:ilvl w:val="0"/>
          <w:numId w:val="33"/>
        </w:numPr>
        <w:pBdr>
          <w:left w:val="none" w:sz="0" w:space="7" w:color="auto"/>
        </w:pBdr>
        <w:spacing w:before="120"/>
        <w:ind w:left="1440" w:hanging="430"/>
        <w:jc w:val="both"/>
        <w:rPr>
          <w:sz w:val="22"/>
          <w:szCs w:val="22"/>
        </w:rPr>
      </w:pPr>
      <w:r w:rsidRPr="00962131">
        <w:rPr>
          <w:rFonts w:ascii="Arial" w:eastAsia="Arial" w:hAnsi="Arial" w:cs="Arial"/>
          <w:sz w:val="22"/>
          <w:szCs w:val="22"/>
        </w:rPr>
        <w:t>Interest/subject matter of insurance (refer A.5 above);</w:t>
      </w:r>
    </w:p>
    <w:p w14:paraId="18C6D437" w14:textId="77777777" w:rsidR="00592C29" w:rsidRPr="00962131" w:rsidRDefault="0048296D">
      <w:pPr>
        <w:numPr>
          <w:ilvl w:val="0"/>
          <w:numId w:val="33"/>
        </w:numPr>
        <w:pBdr>
          <w:left w:val="none" w:sz="0" w:space="7" w:color="auto"/>
        </w:pBdr>
        <w:spacing w:before="120"/>
        <w:ind w:left="1440" w:hanging="430"/>
        <w:jc w:val="both"/>
        <w:rPr>
          <w:sz w:val="22"/>
          <w:szCs w:val="22"/>
        </w:rPr>
      </w:pPr>
      <w:r w:rsidRPr="00962131">
        <w:rPr>
          <w:rFonts w:ascii="Arial" w:eastAsia="Arial" w:hAnsi="Arial" w:cs="Arial"/>
          <w:sz w:val="22"/>
          <w:szCs w:val="22"/>
        </w:rPr>
        <w:t>Situation/territorial scope (refer A.6 above);</w:t>
      </w:r>
    </w:p>
    <w:p w14:paraId="1EC80B43" w14:textId="77777777" w:rsidR="00592C29" w:rsidRPr="00962131" w:rsidRDefault="0048296D">
      <w:pPr>
        <w:numPr>
          <w:ilvl w:val="0"/>
          <w:numId w:val="33"/>
        </w:numPr>
        <w:pBdr>
          <w:left w:val="none" w:sz="0" w:space="7" w:color="auto"/>
        </w:pBdr>
        <w:spacing w:before="120"/>
        <w:ind w:left="1440" w:hanging="430"/>
        <w:jc w:val="both"/>
        <w:rPr>
          <w:sz w:val="22"/>
          <w:szCs w:val="22"/>
        </w:rPr>
      </w:pPr>
      <w:r w:rsidRPr="00962131">
        <w:rPr>
          <w:rFonts w:ascii="Arial" w:eastAsia="Arial" w:hAnsi="Arial" w:cs="Arial"/>
          <w:sz w:val="22"/>
          <w:szCs w:val="22"/>
        </w:rPr>
        <w:t>Country in which the property is located (A.6 Situation, above);</w:t>
      </w:r>
    </w:p>
    <w:p w14:paraId="7B64D58A" w14:textId="77777777" w:rsidR="00592C29" w:rsidRPr="00962131" w:rsidRDefault="0048296D">
      <w:pPr>
        <w:numPr>
          <w:ilvl w:val="0"/>
          <w:numId w:val="33"/>
        </w:numPr>
        <w:pBdr>
          <w:left w:val="none" w:sz="0" w:space="7" w:color="auto"/>
        </w:pBdr>
        <w:spacing w:before="120"/>
        <w:ind w:left="1440" w:hanging="430"/>
        <w:jc w:val="both"/>
        <w:rPr>
          <w:sz w:val="22"/>
          <w:szCs w:val="22"/>
        </w:rPr>
      </w:pPr>
      <w:r w:rsidRPr="00962131">
        <w:rPr>
          <w:rFonts w:ascii="Arial" w:eastAsia="Arial" w:hAnsi="Arial" w:cs="Arial"/>
          <w:sz w:val="22"/>
          <w:szCs w:val="22"/>
        </w:rPr>
        <w:t>Country of origin (refer E.2 above);</w:t>
      </w:r>
    </w:p>
    <w:p w14:paraId="666104EB" w14:textId="77777777" w:rsidR="00592C29" w:rsidRPr="00962131" w:rsidRDefault="0048296D">
      <w:pPr>
        <w:numPr>
          <w:ilvl w:val="0"/>
          <w:numId w:val="33"/>
        </w:numPr>
        <w:pBdr>
          <w:left w:val="none" w:sz="0" w:space="7" w:color="auto"/>
        </w:pBdr>
        <w:spacing w:before="120"/>
        <w:ind w:left="1440" w:hanging="430"/>
        <w:jc w:val="both"/>
        <w:rPr>
          <w:sz w:val="22"/>
          <w:szCs w:val="22"/>
        </w:rPr>
      </w:pPr>
      <w:r w:rsidRPr="00962131">
        <w:rPr>
          <w:rFonts w:ascii="Arial" w:eastAsia="Arial" w:hAnsi="Arial" w:cs="Arial"/>
          <w:sz w:val="22"/>
          <w:szCs w:val="22"/>
        </w:rPr>
        <w:t>Location of the producing broker and/or overseas broker (refer E.4 below);</w:t>
      </w:r>
    </w:p>
    <w:p w14:paraId="330699E4" w14:textId="77777777" w:rsidR="00592C29" w:rsidRPr="00962131" w:rsidRDefault="0048296D">
      <w:pPr>
        <w:numPr>
          <w:ilvl w:val="0"/>
          <w:numId w:val="33"/>
        </w:numPr>
        <w:pBdr>
          <w:left w:val="none" w:sz="0" w:space="7" w:color="auto"/>
        </w:pBdr>
        <w:spacing w:before="120"/>
        <w:ind w:left="1440" w:hanging="430"/>
        <w:jc w:val="both"/>
        <w:rPr>
          <w:sz w:val="22"/>
          <w:szCs w:val="22"/>
        </w:rPr>
      </w:pPr>
      <w:r w:rsidRPr="00962131">
        <w:rPr>
          <w:rFonts w:ascii="Arial" w:eastAsia="Arial" w:hAnsi="Arial" w:cs="Arial"/>
          <w:sz w:val="22"/>
          <w:szCs w:val="22"/>
        </w:rPr>
        <w:t>Country in which the vessel/vehicle/aircraft is registered;</w:t>
      </w:r>
    </w:p>
    <w:p w14:paraId="1F4A9699" w14:textId="77777777" w:rsidR="00592C29" w:rsidRPr="00962131" w:rsidRDefault="0048296D">
      <w:pPr>
        <w:numPr>
          <w:ilvl w:val="0"/>
          <w:numId w:val="33"/>
        </w:numPr>
        <w:pBdr>
          <w:left w:val="none" w:sz="0" w:space="7" w:color="auto"/>
        </w:pBdr>
        <w:spacing w:before="120"/>
        <w:ind w:left="1440" w:hanging="430"/>
        <w:jc w:val="both"/>
        <w:rPr>
          <w:sz w:val="22"/>
          <w:szCs w:val="22"/>
        </w:rPr>
      </w:pPr>
      <w:r w:rsidRPr="00962131">
        <w:rPr>
          <w:rFonts w:ascii="Arial" w:eastAsia="Arial" w:hAnsi="Arial" w:cs="Arial"/>
          <w:sz w:val="22"/>
          <w:szCs w:val="22"/>
        </w:rPr>
        <w:t>Country in which the vessel is being constructed..</w:t>
      </w:r>
    </w:p>
    <w:p w14:paraId="0A787F13" w14:textId="77777777" w:rsidR="00962131" w:rsidRPr="00962131" w:rsidRDefault="00962131">
      <w:pPr>
        <w:spacing w:before="120"/>
        <w:ind w:left="720"/>
        <w:jc w:val="both"/>
        <w:rPr>
          <w:rFonts w:ascii="Arial" w:eastAsia="Arial" w:hAnsi="Arial" w:cs="Arial"/>
          <w:sz w:val="22"/>
          <w:szCs w:val="22"/>
        </w:rPr>
      </w:pPr>
    </w:p>
    <w:p w14:paraId="332D122D" w14:textId="46717A95" w:rsidR="00592C29" w:rsidRPr="00962131" w:rsidRDefault="0048296D">
      <w:pPr>
        <w:spacing w:before="120"/>
        <w:ind w:left="720"/>
        <w:jc w:val="both"/>
        <w:rPr>
          <w:sz w:val="22"/>
          <w:szCs w:val="22"/>
        </w:rPr>
      </w:pPr>
      <w:r w:rsidRPr="00962131">
        <w:rPr>
          <w:rFonts w:ascii="Arial" w:eastAsia="Arial" w:hAnsi="Arial" w:cs="Arial"/>
          <w:sz w:val="22"/>
          <w:szCs w:val="22"/>
        </w:rPr>
        <w:t>For further details on how to determine the risk location(s) for regulatory purposes, please refer to:</w:t>
      </w:r>
    </w:p>
    <w:p w14:paraId="631F1526" w14:textId="77777777" w:rsidR="00592C29" w:rsidRPr="00962131" w:rsidRDefault="0048296D">
      <w:pPr>
        <w:numPr>
          <w:ilvl w:val="0"/>
          <w:numId w:val="34"/>
        </w:numPr>
        <w:pBdr>
          <w:left w:val="none" w:sz="0" w:space="7" w:color="auto"/>
        </w:pBdr>
        <w:spacing w:before="120"/>
        <w:ind w:left="1440" w:hanging="430"/>
        <w:jc w:val="both"/>
        <w:rPr>
          <w:sz w:val="22"/>
          <w:szCs w:val="22"/>
        </w:rPr>
      </w:pPr>
      <w:r w:rsidRPr="00962131">
        <w:rPr>
          <w:rFonts w:ascii="Arial" w:eastAsia="Arial" w:hAnsi="Arial" w:cs="Arial"/>
          <w:sz w:val="22"/>
          <w:szCs w:val="22"/>
        </w:rPr>
        <w:t xml:space="preserve">the Risk Locator Tool </w:t>
      </w:r>
      <w:hyperlink r:id="rId32" w:history="1">
        <w:r w:rsidRPr="00962131">
          <w:rPr>
            <w:rFonts w:ascii="Arial" w:eastAsia="Arial" w:hAnsi="Arial" w:cs="Arial"/>
            <w:color w:val="0000FF"/>
            <w:sz w:val="22"/>
            <w:szCs w:val="22"/>
            <w:u w:val="single" w:color="B5082E"/>
          </w:rPr>
          <w:t>https://www.lloyds.com/tools-and-systems/risk-locator</w:t>
        </w:r>
      </w:hyperlink>
      <w:r w:rsidRPr="00962131">
        <w:rPr>
          <w:rFonts w:ascii="Arial" w:eastAsia="Arial" w:hAnsi="Arial" w:cs="Arial"/>
          <w:sz w:val="22"/>
          <w:szCs w:val="22"/>
        </w:rPr>
        <w:t xml:space="preserve">; and </w:t>
      </w:r>
    </w:p>
    <w:p w14:paraId="3A7B339D" w14:textId="4BAFA051" w:rsidR="00592C29" w:rsidRPr="00962131" w:rsidRDefault="0048296D">
      <w:pPr>
        <w:numPr>
          <w:ilvl w:val="0"/>
          <w:numId w:val="34"/>
        </w:numPr>
        <w:pBdr>
          <w:left w:val="none" w:sz="0" w:space="7" w:color="auto"/>
        </w:pBdr>
        <w:spacing w:before="120"/>
        <w:ind w:left="1440" w:hanging="430"/>
        <w:jc w:val="both"/>
        <w:rPr>
          <w:sz w:val="22"/>
          <w:szCs w:val="22"/>
        </w:rPr>
      </w:pPr>
      <w:r w:rsidRPr="00962131">
        <w:rPr>
          <w:rFonts w:ascii="Arial" w:eastAsia="Arial" w:hAnsi="Arial" w:cs="Arial"/>
          <w:sz w:val="22"/>
          <w:szCs w:val="22"/>
        </w:rPr>
        <w:t>the Lloyd’s Crystal tool (</w:t>
      </w:r>
      <w:hyperlink r:id="rId33" w:history="1">
        <w:r w:rsidRPr="00962131">
          <w:rPr>
            <w:rFonts w:ascii="Arial" w:eastAsia="Arial" w:hAnsi="Arial" w:cs="Arial"/>
            <w:color w:val="0000FF"/>
            <w:sz w:val="22"/>
            <w:szCs w:val="22"/>
            <w:u w:val="single" w:color="B5082E"/>
          </w:rPr>
          <w:t>https://www.lloyds.com/tools-and-systems/crystal</w:t>
        </w:r>
      </w:hyperlink>
      <w:r w:rsidRPr="00962131">
        <w:rPr>
          <w:rFonts w:ascii="Arial" w:eastAsia="Arial" w:hAnsi="Arial" w:cs="Arial"/>
          <w:sz w:val="22"/>
          <w:szCs w:val="22"/>
        </w:rPr>
        <w:t>) under the heading “Pre-placement considerations”.</w:t>
      </w:r>
    </w:p>
    <w:p w14:paraId="2377DB97" w14:textId="77777777" w:rsidR="00592C29" w:rsidRPr="00962131" w:rsidRDefault="00592C29">
      <w:pPr>
        <w:spacing w:before="120"/>
        <w:ind w:left="720"/>
        <w:jc w:val="both"/>
        <w:rPr>
          <w:sz w:val="22"/>
          <w:szCs w:val="22"/>
        </w:rPr>
      </w:pPr>
    </w:p>
    <w:p w14:paraId="482FE342" w14:textId="1291BE47" w:rsidR="00592C29" w:rsidRPr="00962131" w:rsidRDefault="0048296D">
      <w:pPr>
        <w:spacing w:before="120"/>
        <w:ind w:left="720"/>
        <w:jc w:val="both"/>
        <w:rPr>
          <w:sz w:val="22"/>
          <w:szCs w:val="22"/>
        </w:rPr>
      </w:pPr>
      <w:r w:rsidRPr="00962131">
        <w:rPr>
          <w:rFonts w:ascii="Arial" w:eastAsia="Arial" w:hAnsi="Arial" w:cs="Arial"/>
          <w:sz w:val="22"/>
          <w:szCs w:val="22"/>
        </w:rPr>
        <w:t xml:space="preserve">There may be more than one regulatory risk location applicable to the MRC. </w:t>
      </w:r>
    </w:p>
    <w:p w14:paraId="702E25AD" w14:textId="2BA627E8" w:rsidR="00592C29" w:rsidRPr="00962131" w:rsidRDefault="00592C29">
      <w:pPr>
        <w:spacing w:before="120"/>
        <w:ind w:left="720"/>
        <w:jc w:val="both"/>
        <w:rPr>
          <w:sz w:val="22"/>
          <w:szCs w:val="22"/>
        </w:rPr>
      </w:pPr>
    </w:p>
    <w:p w14:paraId="369C089F" w14:textId="77777777" w:rsidR="00962131" w:rsidRDefault="00962131" w:rsidP="00962131">
      <w:pPr>
        <w:pStyle w:val="MRBodyTextIndent"/>
      </w:pPr>
      <w:r>
        <w:t xml:space="preserve">Generally, the regulatory risk location and the tax risk location will be aligned.  However, it is important to note that it is possible for the territories of regulation and tax for a single contract to be different because they do derive from different rules. For example, the regulatory risk location for moveable property in the EEA is the territory where the insured is resident but the tax risk location is where the moveable property is normally situated. </w:t>
      </w:r>
    </w:p>
    <w:p w14:paraId="1B039E98" w14:textId="77777777" w:rsidR="00962131" w:rsidRDefault="00962131" w:rsidP="00962131">
      <w:pPr>
        <w:pStyle w:val="MRBodyTextIndent"/>
      </w:pPr>
      <w:r>
        <w:lastRenderedPageBreak/>
        <w:t>Further, in some territories, e.g. Canada and the US, the location of the insured’s residence or business establishment creates a risk location irrespective of the physical location of the insured property. Consequently, if the insured property is in a different territory from the insured’s residence or business establishment, there may be two territories for both regulation and tax.</w:t>
      </w:r>
    </w:p>
    <w:p w14:paraId="74E7F718" w14:textId="77777777" w:rsidR="00962131" w:rsidRDefault="00962131" w:rsidP="00962131">
      <w:pPr>
        <w:pStyle w:val="MRBodyTextIndent"/>
      </w:pPr>
      <w:r>
        <w:t>There may be more than one territory for regulation and tax, particularly where multiple risks are insured, multiple policyholders are covered, or regulatory and tax rules overlap across jurisdictions. Country guidance can be found on Crystal (refer to link above) for specific risk location rules by territory. Any differences between tax and regulatory risk location must be identified on the MRC.</w:t>
      </w:r>
    </w:p>
    <w:p w14:paraId="01FF57AC" w14:textId="77777777" w:rsidR="00962131" w:rsidRPr="001E7A9B" w:rsidRDefault="00962131" w:rsidP="00962131">
      <w:pPr>
        <w:pStyle w:val="MRBodyTextIndent"/>
      </w:pPr>
      <w:r w:rsidRPr="001E7A9B">
        <w:t>The applicable regulatory risk location(s), i.e. the country(</w:t>
      </w:r>
      <w:proofErr w:type="spellStart"/>
      <w:r w:rsidRPr="001E7A9B">
        <w:t>ies</w:t>
      </w:r>
      <w:proofErr w:type="spellEnd"/>
      <w:r w:rsidRPr="001E7A9B">
        <w:t>) or territory(</w:t>
      </w:r>
      <w:proofErr w:type="spellStart"/>
      <w:r w:rsidRPr="001E7A9B">
        <w:t>ies</w:t>
      </w:r>
      <w:proofErr w:type="spellEnd"/>
      <w:r w:rsidRPr="001E7A9B">
        <w:t>), should be stated against this MRC heading and should be in line with Xchanging’s Market Communication 2019/028 (dated 28 March 2019).</w:t>
      </w:r>
    </w:p>
    <w:p w14:paraId="3BD31004" w14:textId="286C6A3E" w:rsidR="00962131" w:rsidRPr="001E7A9B" w:rsidRDefault="00962131" w:rsidP="00962131">
      <w:pPr>
        <w:pStyle w:val="MRBodyTextIndent"/>
      </w:pPr>
      <w:r w:rsidRPr="001E7A9B">
        <w:t>The terms “EEA” and “non-EAA” are not regulatory risk locations per se and cannot be used in isolation to complete the MRC However, their use is permissible under this heading, only if qualified in the manner shown in the examples below. Terms such as “Europe”, “Worldwide” or “Rest of the World” are not permissible to be used against this MRC heading.</w:t>
      </w:r>
    </w:p>
    <w:p w14:paraId="5A6342B9" w14:textId="77777777" w:rsidR="00592C29" w:rsidRPr="004F0CEF" w:rsidRDefault="0048296D">
      <w:pPr>
        <w:numPr>
          <w:ilvl w:val="0"/>
          <w:numId w:val="35"/>
        </w:numPr>
        <w:pBdr>
          <w:left w:val="none" w:sz="0" w:space="7" w:color="auto"/>
        </w:pBdr>
        <w:spacing w:before="120" w:after="120"/>
        <w:ind w:left="1434" w:hanging="427"/>
        <w:jc w:val="both"/>
        <w:rPr>
          <w:sz w:val="22"/>
          <w:szCs w:val="22"/>
        </w:rPr>
      </w:pPr>
      <w:r>
        <w:rPr>
          <w:rFonts w:ascii="Arial" w:eastAsia="Arial" w:hAnsi="Arial" w:cs="Arial"/>
          <w:color w:val="B5082E"/>
          <w:sz w:val="22"/>
          <w:szCs w:val="22"/>
        </w:rPr>
        <w:t xml:space="preserve">If there </w:t>
      </w:r>
      <w:r w:rsidRPr="004F0CEF">
        <w:rPr>
          <w:rFonts w:ascii="Arial" w:eastAsia="Arial" w:hAnsi="Arial" w:cs="Arial"/>
          <w:sz w:val="22"/>
          <w:szCs w:val="22"/>
        </w:rPr>
        <w:t>is only one regulatory risk location applicable (i.e. only one country or territory), this should be stated/identified against this heading; for example:</w:t>
      </w:r>
    </w:p>
    <w:tbl>
      <w:tblPr>
        <w:tblW w:w="0" w:type="auto"/>
        <w:tblInd w:w="1529"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860"/>
        <w:gridCol w:w="4302"/>
      </w:tblGrid>
      <w:tr w:rsidR="00592C29" w:rsidRPr="004F0CEF" w14:paraId="0B2D2DAC" w14:textId="77777777">
        <w:tc>
          <w:tcPr>
            <w:tcW w:w="3870" w:type="dxa"/>
            <w:tcBorders>
              <w:right w:val="single" w:sz="6" w:space="0" w:color="000000"/>
            </w:tcBorders>
            <w:tcMar>
              <w:top w:w="8" w:type="dxa"/>
              <w:left w:w="108" w:type="dxa"/>
              <w:bottom w:w="8" w:type="dxa"/>
              <w:right w:w="108" w:type="dxa"/>
            </w:tcMar>
            <w:hideMark/>
          </w:tcPr>
          <w:p w14:paraId="2D0393CB" w14:textId="77777777" w:rsidR="00592C29" w:rsidRPr="004F0CEF" w:rsidRDefault="0048296D">
            <w:pPr>
              <w:spacing w:before="120" w:after="120"/>
              <w:jc w:val="both"/>
              <w:rPr>
                <w:sz w:val="22"/>
                <w:szCs w:val="22"/>
              </w:rPr>
            </w:pPr>
            <w:r w:rsidRPr="004F0CEF">
              <w:rPr>
                <w:rFonts w:ascii="Arial" w:eastAsia="Arial" w:hAnsi="Arial" w:cs="Arial"/>
                <w:b/>
                <w:bCs/>
                <w:sz w:val="22"/>
                <w:szCs w:val="22"/>
              </w:rPr>
              <w:t xml:space="preserve">REGULATORY RISK LOCATION: </w:t>
            </w:r>
          </w:p>
        </w:tc>
        <w:tc>
          <w:tcPr>
            <w:tcW w:w="4317" w:type="dxa"/>
            <w:tcBorders>
              <w:left w:val="single" w:sz="6" w:space="0" w:color="000000"/>
            </w:tcBorders>
            <w:tcMar>
              <w:top w:w="8" w:type="dxa"/>
              <w:left w:w="108" w:type="dxa"/>
              <w:bottom w:w="8" w:type="dxa"/>
              <w:right w:w="108" w:type="dxa"/>
            </w:tcMar>
            <w:hideMark/>
          </w:tcPr>
          <w:p w14:paraId="7D4996DA" w14:textId="77777777" w:rsidR="00592C29" w:rsidRPr="004F0CEF" w:rsidRDefault="0048296D">
            <w:pPr>
              <w:spacing w:before="120" w:after="120"/>
              <w:jc w:val="both"/>
              <w:rPr>
                <w:sz w:val="22"/>
                <w:szCs w:val="22"/>
              </w:rPr>
            </w:pPr>
            <w:r w:rsidRPr="004F0CEF">
              <w:rPr>
                <w:rFonts w:ascii="Arial" w:eastAsia="Arial" w:hAnsi="Arial" w:cs="Arial"/>
                <w:sz w:val="22"/>
                <w:szCs w:val="22"/>
              </w:rPr>
              <w:t xml:space="preserve">France </w:t>
            </w:r>
          </w:p>
        </w:tc>
      </w:tr>
    </w:tbl>
    <w:p w14:paraId="5F3DD85A" w14:textId="77777777" w:rsidR="00592C29" w:rsidRPr="004F0CEF" w:rsidRDefault="0048296D">
      <w:pPr>
        <w:numPr>
          <w:ilvl w:val="0"/>
          <w:numId w:val="36"/>
        </w:numPr>
        <w:pBdr>
          <w:left w:val="none" w:sz="0" w:space="7" w:color="auto"/>
        </w:pBdr>
        <w:spacing w:before="120" w:after="120"/>
        <w:ind w:left="1434" w:hanging="427"/>
        <w:jc w:val="both"/>
        <w:rPr>
          <w:sz w:val="22"/>
          <w:szCs w:val="22"/>
        </w:rPr>
      </w:pPr>
      <w:r w:rsidRPr="004F0CEF">
        <w:rPr>
          <w:rFonts w:ascii="Arial" w:eastAsia="Arial" w:hAnsi="Arial" w:cs="Arial"/>
          <w:sz w:val="22"/>
          <w:szCs w:val="22"/>
        </w:rPr>
        <w:t>It is permissible, for USA risks, to state “USA” as the Regulatory Risk Location, as the “Home State” (for regulatory purposes) should be indicated against the State of Filing Heading (refer E.6 below); for example:</w:t>
      </w:r>
    </w:p>
    <w:tbl>
      <w:tblPr>
        <w:tblW w:w="0" w:type="auto"/>
        <w:tblInd w:w="1529"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861"/>
        <w:gridCol w:w="4301"/>
      </w:tblGrid>
      <w:tr w:rsidR="00592C29" w:rsidRPr="004F0CEF" w14:paraId="4E45D17D" w14:textId="77777777">
        <w:tc>
          <w:tcPr>
            <w:tcW w:w="3870" w:type="dxa"/>
            <w:tcBorders>
              <w:right w:val="single" w:sz="6" w:space="0" w:color="000000"/>
            </w:tcBorders>
            <w:tcMar>
              <w:top w:w="8" w:type="dxa"/>
              <w:left w:w="108" w:type="dxa"/>
              <w:bottom w:w="8" w:type="dxa"/>
              <w:right w:w="108" w:type="dxa"/>
            </w:tcMar>
            <w:hideMark/>
          </w:tcPr>
          <w:p w14:paraId="62A1EFBA" w14:textId="77777777" w:rsidR="00592C29" w:rsidRPr="004F0CEF" w:rsidRDefault="0048296D">
            <w:pPr>
              <w:spacing w:before="120"/>
              <w:jc w:val="both"/>
              <w:rPr>
                <w:sz w:val="22"/>
                <w:szCs w:val="22"/>
              </w:rPr>
            </w:pPr>
            <w:r w:rsidRPr="004F0CEF">
              <w:rPr>
                <w:rFonts w:ascii="Arial" w:eastAsia="Arial" w:hAnsi="Arial" w:cs="Arial"/>
                <w:b/>
                <w:bCs/>
                <w:sz w:val="22"/>
                <w:szCs w:val="22"/>
              </w:rPr>
              <w:t xml:space="preserve">REGULATORY RISK LOCATION: </w:t>
            </w:r>
          </w:p>
          <w:p w14:paraId="79769626" w14:textId="77777777" w:rsidR="00592C29" w:rsidRPr="004F0CEF" w:rsidRDefault="00592C29">
            <w:pPr>
              <w:spacing w:before="120"/>
              <w:jc w:val="both"/>
              <w:rPr>
                <w:sz w:val="22"/>
                <w:szCs w:val="22"/>
              </w:rPr>
            </w:pPr>
          </w:p>
          <w:p w14:paraId="556B1901" w14:textId="77777777" w:rsidR="00592C29" w:rsidRPr="004F0CEF" w:rsidRDefault="0048296D">
            <w:pPr>
              <w:spacing w:before="120"/>
              <w:jc w:val="both"/>
              <w:rPr>
                <w:sz w:val="22"/>
                <w:szCs w:val="22"/>
              </w:rPr>
            </w:pPr>
            <w:r w:rsidRPr="004F0CEF">
              <w:rPr>
                <w:rFonts w:ascii="Arial" w:eastAsia="Arial" w:hAnsi="Arial" w:cs="Arial"/>
                <w:b/>
                <w:bCs/>
                <w:sz w:val="22"/>
                <w:szCs w:val="22"/>
              </w:rPr>
              <w:t>STATE OF FILING:</w:t>
            </w:r>
          </w:p>
          <w:p w14:paraId="08AB161B" w14:textId="77777777" w:rsidR="00592C29" w:rsidRPr="004F0CEF" w:rsidRDefault="00592C29">
            <w:pPr>
              <w:spacing w:before="120"/>
              <w:jc w:val="both"/>
              <w:rPr>
                <w:sz w:val="22"/>
                <w:szCs w:val="22"/>
              </w:rPr>
            </w:pPr>
          </w:p>
          <w:p w14:paraId="267BBC03" w14:textId="77777777" w:rsidR="00592C29" w:rsidRPr="004F0CEF" w:rsidRDefault="0048296D">
            <w:pPr>
              <w:spacing w:before="120"/>
              <w:jc w:val="both"/>
              <w:rPr>
                <w:sz w:val="22"/>
                <w:szCs w:val="22"/>
              </w:rPr>
            </w:pPr>
            <w:r w:rsidRPr="004F0CEF">
              <w:rPr>
                <w:rFonts w:ascii="Arial" w:eastAsia="Arial" w:hAnsi="Arial" w:cs="Arial"/>
                <w:b/>
                <w:bCs/>
                <w:sz w:val="22"/>
                <w:szCs w:val="22"/>
              </w:rPr>
              <w:t>US CLASSIFICATION:</w:t>
            </w:r>
          </w:p>
        </w:tc>
        <w:tc>
          <w:tcPr>
            <w:tcW w:w="4317" w:type="dxa"/>
            <w:tcBorders>
              <w:left w:val="single" w:sz="6" w:space="0" w:color="000000"/>
            </w:tcBorders>
            <w:tcMar>
              <w:top w:w="8" w:type="dxa"/>
              <w:left w:w="108" w:type="dxa"/>
              <w:bottom w:w="8" w:type="dxa"/>
              <w:right w:w="108" w:type="dxa"/>
            </w:tcMar>
            <w:hideMark/>
          </w:tcPr>
          <w:p w14:paraId="73E88D63" w14:textId="77777777" w:rsidR="00592C29" w:rsidRPr="004F0CEF" w:rsidRDefault="0048296D">
            <w:pPr>
              <w:spacing w:before="120" w:after="120"/>
              <w:jc w:val="both"/>
              <w:rPr>
                <w:sz w:val="22"/>
                <w:szCs w:val="22"/>
              </w:rPr>
            </w:pPr>
            <w:r w:rsidRPr="004F0CEF">
              <w:rPr>
                <w:rFonts w:ascii="Arial" w:eastAsia="Arial" w:hAnsi="Arial" w:cs="Arial"/>
                <w:sz w:val="22"/>
                <w:szCs w:val="22"/>
              </w:rPr>
              <w:t xml:space="preserve">USA </w:t>
            </w:r>
          </w:p>
          <w:p w14:paraId="3B85080D" w14:textId="77777777" w:rsidR="00592C29" w:rsidRPr="004F0CEF" w:rsidRDefault="00592C29">
            <w:pPr>
              <w:spacing w:before="120" w:after="120"/>
              <w:jc w:val="both"/>
              <w:rPr>
                <w:sz w:val="22"/>
                <w:szCs w:val="22"/>
              </w:rPr>
            </w:pPr>
          </w:p>
          <w:p w14:paraId="7992A293" w14:textId="77777777" w:rsidR="00592C29" w:rsidRPr="004F0CEF" w:rsidRDefault="0048296D">
            <w:pPr>
              <w:spacing w:before="120" w:after="120"/>
              <w:jc w:val="both"/>
              <w:rPr>
                <w:sz w:val="22"/>
                <w:szCs w:val="22"/>
              </w:rPr>
            </w:pPr>
            <w:r w:rsidRPr="004F0CEF">
              <w:rPr>
                <w:rFonts w:ascii="Arial" w:eastAsia="Arial" w:hAnsi="Arial" w:cs="Arial"/>
                <w:sz w:val="22"/>
                <w:szCs w:val="22"/>
              </w:rPr>
              <w:t>New York</w:t>
            </w:r>
          </w:p>
          <w:p w14:paraId="0973E907" w14:textId="77777777" w:rsidR="00592C29" w:rsidRPr="004F0CEF" w:rsidRDefault="00592C29">
            <w:pPr>
              <w:spacing w:before="120" w:after="120"/>
              <w:jc w:val="both"/>
              <w:rPr>
                <w:sz w:val="22"/>
                <w:szCs w:val="22"/>
              </w:rPr>
            </w:pPr>
          </w:p>
          <w:p w14:paraId="3EBF5C54" w14:textId="77777777" w:rsidR="00592C29" w:rsidRPr="004F0CEF" w:rsidRDefault="0048296D">
            <w:pPr>
              <w:spacing w:before="120" w:after="120"/>
              <w:jc w:val="both"/>
              <w:rPr>
                <w:sz w:val="22"/>
                <w:szCs w:val="22"/>
              </w:rPr>
            </w:pPr>
            <w:r w:rsidRPr="004F0CEF">
              <w:rPr>
                <w:rFonts w:ascii="Arial" w:eastAsia="Arial" w:hAnsi="Arial" w:cs="Arial"/>
                <w:sz w:val="22"/>
                <w:szCs w:val="22"/>
              </w:rPr>
              <w:t>US Surplus Lines</w:t>
            </w:r>
          </w:p>
        </w:tc>
      </w:tr>
    </w:tbl>
    <w:p w14:paraId="6782937B" w14:textId="77777777" w:rsidR="00592C29" w:rsidRPr="004F0CEF" w:rsidRDefault="0048296D">
      <w:pPr>
        <w:numPr>
          <w:ilvl w:val="0"/>
          <w:numId w:val="37"/>
        </w:numPr>
        <w:pBdr>
          <w:left w:val="none" w:sz="0" w:space="7" w:color="auto"/>
        </w:pBdr>
        <w:spacing w:before="120" w:after="120"/>
        <w:ind w:left="1434" w:hanging="427"/>
        <w:jc w:val="both"/>
        <w:rPr>
          <w:sz w:val="22"/>
          <w:szCs w:val="22"/>
        </w:rPr>
      </w:pPr>
      <w:r w:rsidRPr="004F0CEF">
        <w:rPr>
          <w:rFonts w:ascii="Arial" w:eastAsia="Arial" w:hAnsi="Arial" w:cs="Arial"/>
          <w:sz w:val="22"/>
          <w:szCs w:val="22"/>
        </w:rPr>
        <w:t>Where there is more than one regulatory risk location applicable, each applicable country (or territory) should be clearly identified against this heading, and the appropriate allocation of premium for each regulatory risk location stated here provided under the appropriate premium heading in the MRC (refer A.11), and/or within the premium/tax schedule attached; for example:</w:t>
      </w:r>
    </w:p>
    <w:tbl>
      <w:tblPr>
        <w:tblW w:w="0" w:type="auto"/>
        <w:tblInd w:w="1529"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860"/>
        <w:gridCol w:w="4302"/>
      </w:tblGrid>
      <w:tr w:rsidR="00592C29" w:rsidRPr="004F0CEF" w14:paraId="00C9E3F9" w14:textId="77777777">
        <w:tc>
          <w:tcPr>
            <w:tcW w:w="3870" w:type="dxa"/>
            <w:tcBorders>
              <w:right w:val="single" w:sz="6" w:space="0" w:color="000000"/>
            </w:tcBorders>
            <w:tcMar>
              <w:top w:w="8" w:type="dxa"/>
              <w:left w:w="108" w:type="dxa"/>
              <w:bottom w:w="8" w:type="dxa"/>
              <w:right w:w="108" w:type="dxa"/>
            </w:tcMar>
            <w:hideMark/>
          </w:tcPr>
          <w:p w14:paraId="1760C52E" w14:textId="77777777" w:rsidR="00592C29" w:rsidRPr="004F0CEF" w:rsidRDefault="0048296D">
            <w:pPr>
              <w:spacing w:before="120"/>
              <w:jc w:val="both"/>
              <w:rPr>
                <w:sz w:val="22"/>
                <w:szCs w:val="22"/>
              </w:rPr>
            </w:pPr>
            <w:r w:rsidRPr="004F0CEF">
              <w:rPr>
                <w:rFonts w:ascii="Arial" w:eastAsia="Arial" w:hAnsi="Arial" w:cs="Arial"/>
                <w:b/>
                <w:bCs/>
                <w:sz w:val="22"/>
                <w:szCs w:val="22"/>
              </w:rPr>
              <w:t xml:space="preserve">REGULATORY RISK LOCATION: </w:t>
            </w:r>
          </w:p>
        </w:tc>
        <w:tc>
          <w:tcPr>
            <w:tcW w:w="4317" w:type="dxa"/>
            <w:tcBorders>
              <w:left w:val="single" w:sz="6" w:space="0" w:color="000000"/>
            </w:tcBorders>
            <w:tcMar>
              <w:top w:w="8" w:type="dxa"/>
              <w:left w:w="108" w:type="dxa"/>
              <w:bottom w:w="8" w:type="dxa"/>
              <w:right w:w="108" w:type="dxa"/>
            </w:tcMar>
            <w:hideMark/>
          </w:tcPr>
          <w:p w14:paraId="767933F9" w14:textId="77777777" w:rsidR="00592C29" w:rsidRPr="004F0CEF" w:rsidRDefault="0048296D">
            <w:pPr>
              <w:spacing w:before="120" w:after="120"/>
              <w:jc w:val="both"/>
              <w:rPr>
                <w:sz w:val="22"/>
                <w:szCs w:val="22"/>
              </w:rPr>
            </w:pPr>
            <w:r w:rsidRPr="004F0CEF">
              <w:rPr>
                <w:rFonts w:ascii="Arial" w:eastAsia="Arial" w:hAnsi="Arial" w:cs="Arial"/>
                <w:sz w:val="22"/>
                <w:szCs w:val="22"/>
              </w:rPr>
              <w:t>EEA: Spain and France</w:t>
            </w:r>
          </w:p>
          <w:p w14:paraId="22CBD57D" w14:textId="77777777" w:rsidR="00592C29" w:rsidRPr="004F0CEF" w:rsidRDefault="0048296D">
            <w:pPr>
              <w:spacing w:before="120" w:after="120"/>
              <w:jc w:val="both"/>
              <w:rPr>
                <w:sz w:val="22"/>
                <w:szCs w:val="22"/>
              </w:rPr>
            </w:pPr>
            <w:r w:rsidRPr="004F0CEF">
              <w:rPr>
                <w:rFonts w:ascii="Arial" w:eastAsia="Arial" w:hAnsi="Arial" w:cs="Arial"/>
                <w:sz w:val="22"/>
                <w:szCs w:val="22"/>
              </w:rPr>
              <w:t>Non-EEA: Australia and New Zealand</w:t>
            </w:r>
          </w:p>
        </w:tc>
      </w:tr>
    </w:tbl>
    <w:p w14:paraId="5C3B667A" w14:textId="77777777" w:rsidR="00592C29" w:rsidRPr="004F0CEF" w:rsidRDefault="0048296D">
      <w:pPr>
        <w:numPr>
          <w:ilvl w:val="0"/>
          <w:numId w:val="38"/>
        </w:numPr>
        <w:pBdr>
          <w:left w:val="none" w:sz="0" w:space="7" w:color="auto"/>
        </w:pBdr>
        <w:spacing w:before="120" w:after="120"/>
        <w:ind w:left="1434" w:hanging="427"/>
        <w:jc w:val="both"/>
        <w:rPr>
          <w:sz w:val="22"/>
          <w:szCs w:val="22"/>
        </w:rPr>
      </w:pPr>
      <w:r w:rsidRPr="004F0CEF">
        <w:rPr>
          <w:rFonts w:ascii="Arial" w:eastAsia="Arial" w:hAnsi="Arial" w:cs="Arial"/>
          <w:sz w:val="22"/>
          <w:szCs w:val="22"/>
        </w:rPr>
        <w:t xml:space="preserve">If you have more than one regulatory risk location, a separate schedule may be more practical, which must then be referenced here (it is common practice for a premium allocation and tax schedule to be compiled by the broker, by country/territory, which is then agreed by insurers); for example: </w:t>
      </w:r>
    </w:p>
    <w:tbl>
      <w:tblPr>
        <w:tblW w:w="0" w:type="auto"/>
        <w:tblInd w:w="1529"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860"/>
        <w:gridCol w:w="4302"/>
      </w:tblGrid>
      <w:tr w:rsidR="00592C29" w:rsidRPr="004F0CEF" w14:paraId="6F4C524C" w14:textId="77777777">
        <w:tc>
          <w:tcPr>
            <w:tcW w:w="3870" w:type="dxa"/>
            <w:tcBorders>
              <w:right w:val="single" w:sz="6" w:space="0" w:color="000000"/>
            </w:tcBorders>
            <w:tcMar>
              <w:top w:w="8" w:type="dxa"/>
              <w:left w:w="108" w:type="dxa"/>
              <w:bottom w:w="8" w:type="dxa"/>
              <w:right w:w="108" w:type="dxa"/>
            </w:tcMar>
            <w:hideMark/>
          </w:tcPr>
          <w:p w14:paraId="6DD737CD" w14:textId="77777777" w:rsidR="00592C29" w:rsidRPr="004F0CEF" w:rsidRDefault="0048296D">
            <w:pPr>
              <w:spacing w:before="120"/>
              <w:jc w:val="both"/>
              <w:rPr>
                <w:sz w:val="22"/>
                <w:szCs w:val="22"/>
              </w:rPr>
            </w:pPr>
            <w:r w:rsidRPr="004F0CEF">
              <w:rPr>
                <w:rFonts w:ascii="Arial" w:eastAsia="Arial" w:hAnsi="Arial" w:cs="Arial"/>
                <w:b/>
                <w:bCs/>
                <w:sz w:val="22"/>
                <w:szCs w:val="22"/>
              </w:rPr>
              <w:t xml:space="preserve">REGULATORY RISK LOCATION: </w:t>
            </w:r>
          </w:p>
        </w:tc>
        <w:tc>
          <w:tcPr>
            <w:tcW w:w="4317" w:type="dxa"/>
            <w:tcBorders>
              <w:left w:val="single" w:sz="6" w:space="0" w:color="000000"/>
            </w:tcBorders>
            <w:tcMar>
              <w:top w:w="8" w:type="dxa"/>
              <w:left w:w="108" w:type="dxa"/>
              <w:bottom w:w="8" w:type="dxa"/>
              <w:right w:w="108" w:type="dxa"/>
            </w:tcMar>
            <w:hideMark/>
          </w:tcPr>
          <w:p w14:paraId="7484A4D6" w14:textId="77777777" w:rsidR="00592C29" w:rsidRPr="004F0CEF" w:rsidRDefault="0048296D">
            <w:pPr>
              <w:spacing w:before="120" w:after="120"/>
              <w:jc w:val="both"/>
              <w:rPr>
                <w:sz w:val="22"/>
                <w:szCs w:val="22"/>
              </w:rPr>
            </w:pPr>
            <w:r w:rsidRPr="004F0CEF">
              <w:rPr>
                <w:rFonts w:ascii="Arial" w:eastAsia="Arial" w:hAnsi="Arial" w:cs="Arial"/>
                <w:sz w:val="22"/>
                <w:szCs w:val="22"/>
              </w:rPr>
              <w:t>EEA/Non-EEA (refer attached tax schedule to identify individual countries)</w:t>
            </w:r>
          </w:p>
        </w:tc>
      </w:tr>
    </w:tbl>
    <w:p w14:paraId="490AA95D" w14:textId="77777777" w:rsidR="00592C29" w:rsidRPr="004F0CEF" w:rsidRDefault="00592C29">
      <w:pPr>
        <w:spacing w:before="120"/>
        <w:jc w:val="both"/>
        <w:rPr>
          <w:sz w:val="22"/>
          <w:szCs w:val="22"/>
        </w:rPr>
      </w:pPr>
    </w:p>
    <w:p w14:paraId="39103AC3" w14:textId="77777777" w:rsidR="00592C29" w:rsidRDefault="0048296D">
      <w:pPr>
        <w:spacing w:before="120"/>
        <w:ind w:left="1440" w:hanging="720"/>
        <w:jc w:val="both"/>
        <w:rPr>
          <w:sz w:val="22"/>
          <w:szCs w:val="22"/>
        </w:rPr>
      </w:pPr>
      <w:r>
        <w:rPr>
          <w:rFonts w:ascii="Arial" w:eastAsia="Arial" w:hAnsi="Arial" w:cs="Arial"/>
          <w:b/>
          <w:bCs/>
          <w:sz w:val="22"/>
          <w:szCs w:val="22"/>
        </w:rPr>
        <w:lastRenderedPageBreak/>
        <w:t>E.4</w:t>
      </w:r>
      <w:r>
        <w:rPr>
          <w:rFonts w:ascii="Arial" w:eastAsia="Arial" w:hAnsi="Arial" w:cs="Arial"/>
          <w:b/>
          <w:bCs/>
          <w:sz w:val="22"/>
          <w:szCs w:val="22"/>
        </w:rPr>
        <w:tab/>
        <w:t xml:space="preserve">Overseas Broker – Mandatory: </w:t>
      </w:r>
    </w:p>
    <w:p w14:paraId="3EAB2CD9" w14:textId="77777777" w:rsidR="00592C29" w:rsidRDefault="0048296D">
      <w:pPr>
        <w:spacing w:before="120"/>
        <w:ind w:left="720"/>
        <w:jc w:val="both"/>
        <w:rPr>
          <w:sz w:val="22"/>
          <w:szCs w:val="22"/>
        </w:rPr>
      </w:pPr>
      <w:r>
        <w:rPr>
          <w:rFonts w:ascii="Arial" w:eastAsia="Arial" w:hAnsi="Arial" w:cs="Arial"/>
          <w:sz w:val="22"/>
          <w:szCs w:val="22"/>
        </w:rPr>
        <w:t xml:space="preserve">Brokers will need to hold the appropriate </w:t>
      </w:r>
      <w:proofErr w:type="spellStart"/>
      <w:r>
        <w:rPr>
          <w:rFonts w:ascii="Arial" w:eastAsia="Arial" w:hAnsi="Arial" w:cs="Arial"/>
          <w:sz w:val="22"/>
          <w:szCs w:val="22"/>
        </w:rPr>
        <w:t>authorisation</w:t>
      </w:r>
      <w:proofErr w:type="spellEnd"/>
      <w:r>
        <w:rPr>
          <w:rFonts w:ascii="Arial" w:eastAsia="Arial" w:hAnsi="Arial" w:cs="Arial"/>
          <w:sz w:val="22"/>
          <w:szCs w:val="22"/>
        </w:rPr>
        <w:t xml:space="preserve"> if they wish to carry on insurance mediation activity in the EEA post-Brexit. </w:t>
      </w:r>
    </w:p>
    <w:p w14:paraId="47E44AC9" w14:textId="77777777" w:rsidR="00592C29" w:rsidRDefault="00592C29">
      <w:pPr>
        <w:spacing w:before="120"/>
        <w:ind w:left="720"/>
        <w:jc w:val="both"/>
        <w:rPr>
          <w:sz w:val="22"/>
          <w:szCs w:val="22"/>
        </w:rPr>
      </w:pPr>
    </w:p>
    <w:p w14:paraId="1C15E593" w14:textId="77777777" w:rsidR="00592C29" w:rsidRDefault="0048296D">
      <w:pPr>
        <w:spacing w:before="120"/>
        <w:ind w:left="1440" w:hanging="720"/>
        <w:jc w:val="both"/>
        <w:rPr>
          <w:sz w:val="22"/>
          <w:szCs w:val="22"/>
        </w:rPr>
      </w:pPr>
      <w:r>
        <w:rPr>
          <w:rFonts w:ascii="Arial" w:eastAsia="Arial" w:hAnsi="Arial" w:cs="Arial"/>
          <w:b/>
          <w:bCs/>
          <w:sz w:val="22"/>
          <w:szCs w:val="22"/>
        </w:rPr>
        <w:t>E.5</w:t>
      </w:r>
      <w:r>
        <w:rPr>
          <w:rFonts w:ascii="Arial" w:eastAsia="Arial" w:hAnsi="Arial" w:cs="Arial"/>
          <w:b/>
          <w:bCs/>
          <w:sz w:val="22"/>
          <w:szCs w:val="22"/>
        </w:rPr>
        <w:tab/>
        <w:t xml:space="preserve">Surplus Lines Broker – Conditional: Required on all contracts with a US classification of “US Surplus Lines”. </w:t>
      </w:r>
    </w:p>
    <w:p w14:paraId="0F15091A" w14:textId="77777777" w:rsidR="00592C29" w:rsidRDefault="0048296D">
      <w:pPr>
        <w:spacing w:before="120"/>
        <w:ind w:left="720"/>
        <w:jc w:val="both"/>
        <w:rPr>
          <w:sz w:val="22"/>
          <w:szCs w:val="22"/>
        </w:rPr>
      </w:pPr>
      <w:r>
        <w:rPr>
          <w:rFonts w:ascii="Arial" w:eastAsia="Arial" w:hAnsi="Arial" w:cs="Arial"/>
          <w:i/>
          <w:iCs/>
          <w:sz w:val="22"/>
          <w:szCs w:val="22"/>
        </w:rPr>
        <w:t>{intentionally left blank}.</w:t>
      </w:r>
    </w:p>
    <w:p w14:paraId="350AF5F9" w14:textId="77777777" w:rsidR="00592C29" w:rsidRDefault="00592C29">
      <w:pPr>
        <w:spacing w:before="120"/>
        <w:ind w:left="1440" w:hanging="720"/>
        <w:jc w:val="both"/>
        <w:rPr>
          <w:sz w:val="22"/>
          <w:szCs w:val="22"/>
        </w:rPr>
      </w:pPr>
    </w:p>
    <w:p w14:paraId="008B2EE6" w14:textId="77777777" w:rsidR="00592C29" w:rsidRDefault="0048296D">
      <w:pPr>
        <w:spacing w:before="120"/>
        <w:ind w:left="1440" w:hanging="720"/>
        <w:jc w:val="both"/>
        <w:rPr>
          <w:sz w:val="22"/>
          <w:szCs w:val="22"/>
        </w:rPr>
      </w:pPr>
      <w:r>
        <w:rPr>
          <w:rFonts w:ascii="Arial" w:eastAsia="Arial" w:hAnsi="Arial" w:cs="Arial"/>
          <w:b/>
          <w:bCs/>
          <w:sz w:val="22"/>
          <w:szCs w:val="22"/>
        </w:rPr>
        <w:t>E.6</w:t>
      </w:r>
      <w:r>
        <w:rPr>
          <w:rFonts w:ascii="Arial" w:eastAsia="Arial" w:hAnsi="Arial" w:cs="Arial"/>
          <w:b/>
          <w:bCs/>
          <w:sz w:val="22"/>
          <w:szCs w:val="22"/>
        </w:rPr>
        <w:tab/>
        <w:t xml:space="preserve">State of Filing – Conditional: Required on all contracts with the US classification “US Surplus Lines”. </w:t>
      </w:r>
    </w:p>
    <w:p w14:paraId="7692CE12" w14:textId="77777777" w:rsidR="00592C29" w:rsidRDefault="0048296D">
      <w:pPr>
        <w:spacing w:before="120"/>
        <w:ind w:left="720"/>
        <w:jc w:val="both"/>
        <w:rPr>
          <w:sz w:val="22"/>
          <w:szCs w:val="22"/>
        </w:rPr>
      </w:pPr>
      <w:r>
        <w:rPr>
          <w:rFonts w:ascii="Arial" w:eastAsia="Arial" w:hAnsi="Arial" w:cs="Arial"/>
          <w:i/>
          <w:iCs/>
          <w:sz w:val="22"/>
          <w:szCs w:val="22"/>
        </w:rPr>
        <w:t>{intentionally left blank}</w:t>
      </w:r>
    </w:p>
    <w:p w14:paraId="78F8824C" w14:textId="77777777" w:rsidR="00592C29" w:rsidRDefault="00592C29">
      <w:pPr>
        <w:spacing w:before="120"/>
        <w:ind w:left="720"/>
        <w:jc w:val="both"/>
        <w:rPr>
          <w:sz w:val="22"/>
          <w:szCs w:val="22"/>
        </w:rPr>
      </w:pPr>
    </w:p>
    <w:p w14:paraId="70AB896E" w14:textId="77777777" w:rsidR="00592C29" w:rsidRDefault="0048296D">
      <w:pPr>
        <w:spacing w:before="120"/>
        <w:ind w:left="1440" w:hanging="720"/>
        <w:jc w:val="both"/>
        <w:rPr>
          <w:sz w:val="22"/>
          <w:szCs w:val="22"/>
        </w:rPr>
      </w:pPr>
      <w:r>
        <w:rPr>
          <w:rFonts w:ascii="Arial" w:eastAsia="Arial" w:hAnsi="Arial" w:cs="Arial"/>
          <w:b/>
          <w:bCs/>
          <w:sz w:val="22"/>
          <w:szCs w:val="22"/>
        </w:rPr>
        <w:t>E.7</w:t>
      </w:r>
      <w:r>
        <w:rPr>
          <w:rFonts w:ascii="Arial" w:eastAsia="Arial" w:hAnsi="Arial" w:cs="Arial"/>
          <w:b/>
          <w:bCs/>
          <w:sz w:val="22"/>
          <w:szCs w:val="22"/>
        </w:rPr>
        <w:tab/>
        <w:t>US Classification – Conditional: Required on all contracts where:  the original premium is in US Dollars; or the original premium is in another currency and the Country of Origin is the US.</w:t>
      </w:r>
    </w:p>
    <w:p w14:paraId="7FC4297B" w14:textId="77777777" w:rsidR="00592C29" w:rsidRDefault="0048296D">
      <w:pPr>
        <w:spacing w:before="120"/>
        <w:ind w:left="1100" w:hanging="391"/>
        <w:jc w:val="both"/>
        <w:rPr>
          <w:sz w:val="22"/>
          <w:szCs w:val="22"/>
        </w:rPr>
      </w:pPr>
      <w:r>
        <w:rPr>
          <w:rFonts w:ascii="Arial" w:eastAsia="Arial" w:hAnsi="Arial" w:cs="Arial"/>
          <w:i/>
          <w:iCs/>
          <w:sz w:val="22"/>
          <w:szCs w:val="22"/>
        </w:rPr>
        <w:t>{intentionally left blank}.</w:t>
      </w:r>
      <w:r>
        <w:rPr>
          <w:rFonts w:ascii="Arial" w:eastAsia="Arial" w:hAnsi="Arial" w:cs="Arial"/>
          <w:sz w:val="22"/>
          <w:szCs w:val="22"/>
        </w:rPr>
        <w:t xml:space="preserve"> </w:t>
      </w:r>
    </w:p>
    <w:p w14:paraId="237862E0" w14:textId="77777777" w:rsidR="00592C29" w:rsidRDefault="00592C29">
      <w:pPr>
        <w:spacing w:before="120"/>
        <w:ind w:left="720"/>
        <w:jc w:val="both"/>
        <w:rPr>
          <w:sz w:val="22"/>
          <w:szCs w:val="22"/>
        </w:rPr>
      </w:pPr>
    </w:p>
    <w:p w14:paraId="5C75E358" w14:textId="77777777" w:rsidR="00592C29" w:rsidRDefault="0048296D">
      <w:pPr>
        <w:spacing w:before="120"/>
        <w:ind w:left="1440" w:hanging="720"/>
        <w:jc w:val="both"/>
        <w:rPr>
          <w:sz w:val="22"/>
          <w:szCs w:val="22"/>
        </w:rPr>
      </w:pPr>
      <w:r>
        <w:rPr>
          <w:rFonts w:ascii="Arial" w:eastAsia="Arial" w:hAnsi="Arial" w:cs="Arial"/>
          <w:b/>
          <w:bCs/>
          <w:sz w:val="22"/>
          <w:szCs w:val="22"/>
        </w:rPr>
        <w:t>E.8</w:t>
      </w:r>
      <w:r>
        <w:rPr>
          <w:rFonts w:ascii="Arial" w:eastAsia="Arial" w:hAnsi="Arial" w:cs="Arial"/>
          <w:b/>
          <w:bCs/>
          <w:sz w:val="22"/>
          <w:szCs w:val="22"/>
        </w:rPr>
        <w:tab/>
        <w:t xml:space="preserve">NAIC Codes – Conditional: Required on all contracts with the US classification “US reinsurance”. </w:t>
      </w:r>
    </w:p>
    <w:p w14:paraId="319F9B1C" w14:textId="77777777" w:rsidR="00592C29" w:rsidRDefault="0048296D">
      <w:pPr>
        <w:spacing w:before="120"/>
        <w:ind w:left="1100" w:hanging="391"/>
        <w:jc w:val="both"/>
        <w:rPr>
          <w:sz w:val="22"/>
          <w:szCs w:val="22"/>
        </w:rPr>
      </w:pPr>
      <w:r>
        <w:rPr>
          <w:rFonts w:ascii="Arial" w:eastAsia="Arial" w:hAnsi="Arial" w:cs="Arial"/>
          <w:i/>
          <w:iCs/>
          <w:sz w:val="22"/>
          <w:szCs w:val="22"/>
        </w:rPr>
        <w:t>{intentionally left blank}.</w:t>
      </w:r>
      <w:r>
        <w:rPr>
          <w:rFonts w:ascii="Arial" w:eastAsia="Arial" w:hAnsi="Arial" w:cs="Arial"/>
          <w:sz w:val="22"/>
          <w:szCs w:val="22"/>
        </w:rPr>
        <w:t xml:space="preserve"> </w:t>
      </w:r>
    </w:p>
    <w:p w14:paraId="530E497A" w14:textId="77777777" w:rsidR="00592C29" w:rsidRDefault="00592C29">
      <w:pPr>
        <w:spacing w:before="120"/>
        <w:ind w:left="1440" w:hanging="720"/>
        <w:jc w:val="both"/>
        <w:rPr>
          <w:sz w:val="22"/>
          <w:szCs w:val="22"/>
        </w:rPr>
      </w:pPr>
    </w:p>
    <w:p w14:paraId="6625B206" w14:textId="77777777" w:rsidR="00592C29" w:rsidRDefault="0048296D">
      <w:pPr>
        <w:spacing w:before="120"/>
        <w:ind w:left="1440" w:hanging="720"/>
        <w:jc w:val="both"/>
        <w:rPr>
          <w:sz w:val="22"/>
          <w:szCs w:val="22"/>
        </w:rPr>
      </w:pPr>
      <w:r>
        <w:rPr>
          <w:rFonts w:ascii="Arial" w:eastAsia="Arial" w:hAnsi="Arial" w:cs="Arial"/>
          <w:b/>
          <w:bCs/>
          <w:sz w:val="22"/>
          <w:szCs w:val="22"/>
        </w:rPr>
        <w:t>E.9</w:t>
      </w:r>
      <w:r>
        <w:rPr>
          <w:rFonts w:ascii="Arial" w:eastAsia="Arial" w:hAnsi="Arial" w:cs="Arial"/>
          <w:b/>
          <w:bCs/>
          <w:sz w:val="22"/>
          <w:szCs w:val="22"/>
        </w:rPr>
        <w:tab/>
        <w:t>Allocation of Premium to Coding – Conditional (mandatory where there are Lloyd’s participations)</w:t>
      </w:r>
    </w:p>
    <w:p w14:paraId="4F2B6ED0" w14:textId="77777777" w:rsidR="00592C29" w:rsidRDefault="0048296D">
      <w:pPr>
        <w:spacing w:before="120"/>
        <w:ind w:left="720"/>
        <w:jc w:val="both"/>
        <w:rPr>
          <w:sz w:val="22"/>
          <w:szCs w:val="22"/>
        </w:rPr>
      </w:pPr>
      <w:r>
        <w:rPr>
          <w:rFonts w:ascii="Arial" w:eastAsia="Arial" w:hAnsi="Arial" w:cs="Arial"/>
          <w:sz w:val="22"/>
          <w:szCs w:val="22"/>
        </w:rPr>
        <w:t>Appropriate Risk codes should be allocated for Lloyd’s Brussels and non-Lloyd’s Brussels taking into account territorial requirements.</w:t>
      </w:r>
    </w:p>
    <w:p w14:paraId="50470B36" w14:textId="77777777" w:rsidR="00592C29" w:rsidRDefault="00592C29">
      <w:pPr>
        <w:spacing w:before="120"/>
        <w:ind w:left="1440" w:hanging="720"/>
        <w:jc w:val="both"/>
        <w:rPr>
          <w:sz w:val="22"/>
          <w:szCs w:val="22"/>
        </w:rPr>
      </w:pPr>
    </w:p>
    <w:p w14:paraId="5085F4CD" w14:textId="77777777" w:rsidR="00592C29" w:rsidRDefault="0048296D">
      <w:pPr>
        <w:spacing w:before="120"/>
        <w:ind w:left="1440" w:hanging="720"/>
        <w:jc w:val="both"/>
        <w:rPr>
          <w:sz w:val="22"/>
          <w:szCs w:val="22"/>
        </w:rPr>
      </w:pPr>
      <w:r>
        <w:rPr>
          <w:rFonts w:ascii="Arial" w:eastAsia="Arial" w:hAnsi="Arial" w:cs="Arial"/>
          <w:b/>
          <w:bCs/>
          <w:sz w:val="22"/>
          <w:szCs w:val="22"/>
        </w:rPr>
        <w:t>E.10</w:t>
      </w:r>
      <w:r>
        <w:rPr>
          <w:rFonts w:ascii="Arial" w:eastAsia="Arial" w:hAnsi="Arial" w:cs="Arial"/>
          <w:b/>
          <w:bCs/>
          <w:sz w:val="22"/>
          <w:szCs w:val="22"/>
        </w:rPr>
        <w:tab/>
        <w:t>Allocation of Premium to Years of Account – Conditional: Required on contracts where the policy period exceeds 18 months.</w:t>
      </w:r>
    </w:p>
    <w:p w14:paraId="3E0D42AD" w14:textId="4946CD25" w:rsidR="00592C29" w:rsidRDefault="0048296D">
      <w:pPr>
        <w:spacing w:before="120"/>
        <w:ind w:left="720"/>
        <w:jc w:val="both"/>
        <w:rPr>
          <w:sz w:val="22"/>
          <w:szCs w:val="22"/>
        </w:rPr>
      </w:pPr>
      <w:r>
        <w:rPr>
          <w:rFonts w:ascii="Arial" w:eastAsia="Arial" w:hAnsi="Arial" w:cs="Arial"/>
          <w:sz w:val="22"/>
          <w:szCs w:val="22"/>
        </w:rPr>
        <w:t xml:space="preserve">Multi-year contracts </w:t>
      </w:r>
      <w:r w:rsidR="00A024E0">
        <w:rPr>
          <w:rFonts w:ascii="Arial" w:eastAsia="Arial" w:hAnsi="Arial" w:cs="Arial"/>
          <w:sz w:val="22"/>
          <w:szCs w:val="22"/>
        </w:rPr>
        <w:t>which incepted</w:t>
      </w:r>
      <w:r>
        <w:rPr>
          <w:rFonts w:ascii="Arial" w:eastAsia="Arial" w:hAnsi="Arial" w:cs="Arial"/>
          <w:sz w:val="22"/>
          <w:szCs w:val="22"/>
        </w:rPr>
        <w:t xml:space="preserve"> prior to 01 January 2019 that ha</w:t>
      </w:r>
      <w:r w:rsidR="00A024E0">
        <w:rPr>
          <w:rFonts w:ascii="Arial" w:eastAsia="Arial" w:hAnsi="Arial" w:cs="Arial"/>
          <w:sz w:val="22"/>
          <w:szCs w:val="22"/>
        </w:rPr>
        <w:t>d</w:t>
      </w:r>
      <w:r>
        <w:rPr>
          <w:rFonts w:ascii="Arial" w:eastAsia="Arial" w:hAnsi="Arial" w:cs="Arial"/>
          <w:sz w:val="22"/>
          <w:szCs w:val="22"/>
        </w:rPr>
        <w:t xml:space="preserve"> an annual resigning </w:t>
      </w:r>
      <w:r w:rsidR="00A024E0">
        <w:rPr>
          <w:rFonts w:ascii="Arial" w:eastAsia="Arial" w:hAnsi="Arial" w:cs="Arial"/>
          <w:sz w:val="22"/>
          <w:szCs w:val="22"/>
        </w:rPr>
        <w:t>n</w:t>
      </w:r>
      <w:r>
        <w:rPr>
          <w:rFonts w:ascii="Arial" w:eastAsia="Arial" w:hAnsi="Arial" w:cs="Arial"/>
          <w:sz w:val="22"/>
          <w:szCs w:val="22"/>
        </w:rPr>
        <w:t>eed</w:t>
      </w:r>
      <w:r w:rsidR="00A024E0">
        <w:rPr>
          <w:rFonts w:ascii="Arial" w:eastAsia="Arial" w:hAnsi="Arial" w:cs="Arial"/>
          <w:sz w:val="22"/>
          <w:szCs w:val="22"/>
        </w:rPr>
        <w:t>ed</w:t>
      </w:r>
      <w:r>
        <w:rPr>
          <w:rFonts w:ascii="Arial" w:eastAsia="Arial" w:hAnsi="Arial" w:cs="Arial"/>
          <w:sz w:val="22"/>
          <w:szCs w:val="22"/>
        </w:rPr>
        <w:t xml:space="preserve"> to be split at the first resigning date in to </w:t>
      </w:r>
      <w:r w:rsidR="00A024E0">
        <w:rPr>
          <w:rFonts w:ascii="Arial" w:eastAsia="Arial" w:hAnsi="Arial" w:cs="Arial"/>
          <w:sz w:val="22"/>
          <w:szCs w:val="22"/>
        </w:rPr>
        <w:t>“</w:t>
      </w:r>
      <w:r>
        <w:rPr>
          <w:rFonts w:ascii="Arial" w:eastAsia="Arial" w:hAnsi="Arial" w:cs="Arial"/>
          <w:sz w:val="22"/>
          <w:szCs w:val="22"/>
        </w:rPr>
        <w:t>EEA/UK/Monaco</w:t>
      </w:r>
      <w:r w:rsidR="00A024E0">
        <w:rPr>
          <w:rFonts w:ascii="Arial" w:eastAsia="Arial" w:hAnsi="Arial" w:cs="Arial"/>
          <w:sz w:val="22"/>
          <w:szCs w:val="22"/>
        </w:rPr>
        <w:t>”</w:t>
      </w:r>
      <w:r>
        <w:rPr>
          <w:rFonts w:ascii="Arial" w:eastAsia="Arial" w:hAnsi="Arial" w:cs="Arial"/>
          <w:sz w:val="22"/>
          <w:szCs w:val="22"/>
        </w:rPr>
        <w:t xml:space="preserve"> (as appropriate) and </w:t>
      </w:r>
      <w:r w:rsidR="00A024E0">
        <w:rPr>
          <w:rFonts w:ascii="Arial" w:eastAsia="Arial" w:hAnsi="Arial" w:cs="Arial"/>
          <w:sz w:val="22"/>
          <w:szCs w:val="22"/>
        </w:rPr>
        <w:t>“</w:t>
      </w:r>
      <w:r>
        <w:rPr>
          <w:rFonts w:ascii="Arial" w:eastAsia="Arial" w:hAnsi="Arial" w:cs="Arial"/>
          <w:sz w:val="22"/>
          <w:szCs w:val="22"/>
        </w:rPr>
        <w:t>Rest of the World excluding EEA/UK/Monaco</w:t>
      </w:r>
      <w:r w:rsidR="00A024E0">
        <w:rPr>
          <w:rFonts w:ascii="Arial" w:eastAsia="Arial" w:hAnsi="Arial" w:cs="Arial"/>
          <w:sz w:val="22"/>
          <w:szCs w:val="22"/>
        </w:rPr>
        <w:t>”</w:t>
      </w:r>
      <w:r>
        <w:rPr>
          <w:rFonts w:ascii="Arial" w:eastAsia="Arial" w:hAnsi="Arial" w:cs="Arial"/>
          <w:sz w:val="22"/>
          <w:szCs w:val="22"/>
        </w:rPr>
        <w:t xml:space="preserve"> (as appropriate) and underwritten by Lloyd’s Brussels and Lloyd’s syndicates respectively.</w:t>
      </w:r>
    </w:p>
    <w:p w14:paraId="785F81A5" w14:textId="1285403A" w:rsidR="00592C29" w:rsidRDefault="0048296D">
      <w:pPr>
        <w:spacing w:before="120"/>
        <w:ind w:left="720"/>
        <w:jc w:val="both"/>
        <w:rPr>
          <w:sz w:val="22"/>
          <w:szCs w:val="22"/>
        </w:rPr>
      </w:pPr>
      <w:r>
        <w:rPr>
          <w:rFonts w:ascii="Arial" w:eastAsia="Arial" w:hAnsi="Arial" w:cs="Arial"/>
          <w:sz w:val="22"/>
          <w:szCs w:val="22"/>
        </w:rPr>
        <w:t>Any Long-Term Agreement without an annual resigning can run to expiry under the original Lloyd’s syndicate(s)</w:t>
      </w:r>
      <w:r w:rsidR="00A024E0">
        <w:rPr>
          <w:rFonts w:ascii="Arial" w:eastAsia="Arial" w:hAnsi="Arial" w:cs="Arial"/>
          <w:sz w:val="22"/>
          <w:szCs w:val="22"/>
        </w:rPr>
        <w:t xml:space="preserve">. </w:t>
      </w:r>
      <w:r w:rsidR="00A024E0" w:rsidRPr="00A024E0">
        <w:rPr>
          <w:rFonts w:ascii="Arial" w:eastAsia="Arial" w:hAnsi="Arial" w:cs="Arial"/>
          <w:i/>
          <w:sz w:val="22"/>
          <w:szCs w:val="22"/>
        </w:rPr>
        <w:t xml:space="preserve">[For Long-Term Agreements with an annual resigning, </w:t>
      </w:r>
      <w:r w:rsidR="00A024E0">
        <w:rPr>
          <w:rFonts w:ascii="Arial" w:eastAsia="Arial" w:hAnsi="Arial" w:cs="Arial"/>
          <w:i/>
          <w:sz w:val="22"/>
          <w:szCs w:val="22"/>
        </w:rPr>
        <w:t>c</w:t>
      </w:r>
      <w:r w:rsidR="00A024E0" w:rsidRPr="00A024E0">
        <w:rPr>
          <w:rFonts w:ascii="Arial" w:eastAsia="Arial" w:hAnsi="Arial" w:cs="Arial"/>
          <w:i/>
          <w:sz w:val="22"/>
          <w:szCs w:val="22"/>
        </w:rPr>
        <w:t xml:space="preserve">ross </w:t>
      </w:r>
      <w:r w:rsidR="00A024E0">
        <w:rPr>
          <w:rFonts w:ascii="Arial" w:eastAsia="Arial" w:hAnsi="Arial" w:cs="Arial"/>
          <w:i/>
          <w:sz w:val="22"/>
          <w:szCs w:val="22"/>
        </w:rPr>
        <w:t>r</w:t>
      </w:r>
      <w:r w:rsidR="00A024E0" w:rsidRPr="00A024E0">
        <w:rPr>
          <w:rFonts w:ascii="Arial" w:eastAsia="Arial" w:hAnsi="Arial" w:cs="Arial"/>
          <w:i/>
          <w:sz w:val="22"/>
          <w:szCs w:val="22"/>
        </w:rPr>
        <w:t>eference with Lloyd’s Brussels Endorsement Operational Guidance v2.0</w:t>
      </w:r>
      <w:r w:rsidR="00A024E0">
        <w:rPr>
          <w:rFonts w:ascii="Arial" w:eastAsia="Arial" w:hAnsi="Arial" w:cs="Arial"/>
          <w:i/>
          <w:sz w:val="22"/>
          <w:szCs w:val="22"/>
        </w:rPr>
        <w:t xml:space="preserve"> published September 2019]</w:t>
      </w:r>
    </w:p>
    <w:p w14:paraId="51A2A5F8" w14:textId="77777777" w:rsidR="00592C29" w:rsidRDefault="00592C29">
      <w:pPr>
        <w:spacing w:before="120"/>
        <w:ind w:left="1440" w:hanging="720"/>
        <w:jc w:val="both"/>
        <w:rPr>
          <w:sz w:val="22"/>
          <w:szCs w:val="22"/>
        </w:rPr>
      </w:pPr>
    </w:p>
    <w:p w14:paraId="67C5FC80" w14:textId="77777777" w:rsidR="00592C29" w:rsidRDefault="0048296D">
      <w:pPr>
        <w:spacing w:before="120"/>
        <w:ind w:left="1440" w:hanging="720"/>
        <w:jc w:val="both"/>
        <w:rPr>
          <w:sz w:val="22"/>
          <w:szCs w:val="22"/>
        </w:rPr>
      </w:pPr>
      <w:r>
        <w:rPr>
          <w:rFonts w:ascii="Arial" w:eastAsia="Arial" w:hAnsi="Arial" w:cs="Arial"/>
          <w:b/>
          <w:bCs/>
          <w:sz w:val="22"/>
          <w:szCs w:val="22"/>
        </w:rPr>
        <w:t>E.11</w:t>
      </w:r>
      <w:r>
        <w:rPr>
          <w:rFonts w:ascii="Arial" w:eastAsia="Arial" w:hAnsi="Arial" w:cs="Arial"/>
          <w:b/>
          <w:bCs/>
          <w:sz w:val="22"/>
          <w:szCs w:val="22"/>
        </w:rPr>
        <w:tab/>
        <w:t xml:space="preserve">Regulatory Client Classification – Mandatory: </w:t>
      </w:r>
    </w:p>
    <w:p w14:paraId="50E8580A" w14:textId="77777777" w:rsidR="00A024E0" w:rsidRPr="00A024E0" w:rsidRDefault="00A024E0" w:rsidP="00A024E0">
      <w:pPr>
        <w:pStyle w:val="MRBodyTextIndent"/>
        <w:spacing w:after="240"/>
        <w:rPr>
          <w:rFonts w:eastAsia="Arial"/>
          <w:lang w:val="en-US"/>
        </w:rPr>
      </w:pPr>
      <w:r w:rsidRPr="00A024E0">
        <w:rPr>
          <w:rFonts w:eastAsia="Arial"/>
          <w:lang w:val="en-US"/>
        </w:rPr>
        <w:t xml:space="preserve">It is recognised that the definition of “consumer”; the distinction made between “consumer” and “commercial” business; and the ensuing regulatory obligations attaching; differ in different jurisdictions and different regulatory handbooks. Generic definitions have therefore been developed. The same client classifications should be used for business worldwide, and the options are as follows:  </w:t>
      </w:r>
    </w:p>
    <w:p w14:paraId="7C8661A7" w14:textId="1EF68C7F" w:rsidR="00A024E0" w:rsidRDefault="00A024E0" w:rsidP="00A024E0">
      <w:pPr>
        <w:ind w:left="1440"/>
        <w:rPr>
          <w:rFonts w:ascii="Arial" w:hAnsi="Arial" w:cs="Arial"/>
          <w:sz w:val="22"/>
          <w:szCs w:val="22"/>
        </w:rPr>
      </w:pPr>
      <w:r w:rsidRPr="00A024E0">
        <w:rPr>
          <w:rFonts w:ascii="Arial" w:hAnsi="Arial" w:cs="Arial"/>
          <w:b/>
          <w:bCs/>
          <w:sz w:val="22"/>
          <w:szCs w:val="22"/>
        </w:rPr>
        <w:t>Individual/Personal</w:t>
      </w:r>
      <w:r w:rsidRPr="00A024E0">
        <w:rPr>
          <w:rFonts w:ascii="Arial" w:hAnsi="Arial" w:cs="Arial"/>
          <w:sz w:val="22"/>
          <w:szCs w:val="22"/>
        </w:rPr>
        <w:t>: Natural person acting for purposes outside their trade, business or profession.</w:t>
      </w:r>
    </w:p>
    <w:p w14:paraId="7378B67B" w14:textId="77777777" w:rsidR="00A024E0" w:rsidRPr="00A024E0" w:rsidRDefault="00A024E0" w:rsidP="00A024E0">
      <w:pPr>
        <w:ind w:left="1440"/>
        <w:rPr>
          <w:rFonts w:ascii="Arial" w:hAnsi="Arial" w:cs="Arial"/>
          <w:sz w:val="22"/>
          <w:szCs w:val="22"/>
        </w:rPr>
      </w:pPr>
    </w:p>
    <w:p w14:paraId="4A5D44B2" w14:textId="6F38AD05" w:rsidR="00A024E0" w:rsidRDefault="00A024E0" w:rsidP="00A024E0">
      <w:pPr>
        <w:ind w:left="1440"/>
        <w:rPr>
          <w:rFonts w:ascii="Arial" w:hAnsi="Arial" w:cs="Arial"/>
          <w:sz w:val="22"/>
          <w:szCs w:val="22"/>
        </w:rPr>
      </w:pPr>
      <w:r w:rsidRPr="00A024E0">
        <w:rPr>
          <w:rFonts w:ascii="Arial" w:hAnsi="Arial" w:cs="Arial"/>
          <w:b/>
          <w:bCs/>
          <w:sz w:val="22"/>
          <w:szCs w:val="22"/>
        </w:rPr>
        <w:t>Commercial – Micro-enterprise</w:t>
      </w:r>
      <w:r w:rsidRPr="00A024E0">
        <w:rPr>
          <w:rFonts w:ascii="Arial" w:hAnsi="Arial" w:cs="Arial"/>
          <w:sz w:val="22"/>
          <w:szCs w:val="22"/>
        </w:rPr>
        <w:t>: A micro-enterprise which employs fewer than 10 persons and has a turnover or annual balance sheet that does not exceed EUR 2 million (or its equivalent in any other currency)</w:t>
      </w:r>
      <w:r>
        <w:rPr>
          <w:rFonts w:ascii="Arial" w:hAnsi="Arial" w:cs="Arial"/>
          <w:sz w:val="22"/>
          <w:szCs w:val="22"/>
        </w:rPr>
        <w:t>.</w:t>
      </w:r>
    </w:p>
    <w:p w14:paraId="6C52908D" w14:textId="77777777" w:rsidR="00A024E0" w:rsidRPr="00A024E0" w:rsidRDefault="00A024E0" w:rsidP="00A024E0">
      <w:pPr>
        <w:ind w:left="1440"/>
        <w:rPr>
          <w:rFonts w:ascii="Arial" w:hAnsi="Arial" w:cs="Arial"/>
          <w:sz w:val="22"/>
          <w:szCs w:val="22"/>
        </w:rPr>
      </w:pPr>
    </w:p>
    <w:p w14:paraId="77213268" w14:textId="36805541" w:rsidR="00A024E0" w:rsidRDefault="00A024E0" w:rsidP="00A024E0">
      <w:pPr>
        <w:ind w:left="1440"/>
        <w:rPr>
          <w:rFonts w:ascii="Arial" w:hAnsi="Arial" w:cs="Arial"/>
          <w:sz w:val="22"/>
          <w:szCs w:val="22"/>
        </w:rPr>
      </w:pPr>
      <w:r w:rsidRPr="00A024E0">
        <w:rPr>
          <w:rFonts w:ascii="Arial" w:hAnsi="Arial" w:cs="Arial"/>
          <w:b/>
          <w:bCs/>
          <w:sz w:val="22"/>
          <w:szCs w:val="22"/>
        </w:rPr>
        <w:t>Commercial – Small</w:t>
      </w:r>
      <w:r w:rsidRPr="00A024E0">
        <w:rPr>
          <w:rFonts w:ascii="Arial" w:hAnsi="Arial" w:cs="Arial"/>
          <w:sz w:val="22"/>
          <w:szCs w:val="22"/>
        </w:rPr>
        <w:t xml:space="preserve">: A small business which is not a micro-enterprise and has an annual turnover of less than GBP 6.5 million (or its equivalent in any other currency) </w:t>
      </w:r>
      <w:r w:rsidRPr="00A024E0">
        <w:rPr>
          <w:rFonts w:ascii="Arial" w:hAnsi="Arial" w:cs="Arial"/>
          <w:sz w:val="22"/>
          <w:szCs w:val="22"/>
          <w:u w:val="single"/>
        </w:rPr>
        <w:t>and</w:t>
      </w:r>
      <w:r w:rsidRPr="00A024E0">
        <w:rPr>
          <w:rFonts w:ascii="Arial" w:hAnsi="Arial" w:cs="Arial"/>
          <w:sz w:val="22"/>
          <w:szCs w:val="22"/>
        </w:rPr>
        <w:t xml:space="preserve"> either (</w:t>
      </w:r>
      <w:proofErr w:type="spellStart"/>
      <w:r w:rsidRPr="00A024E0">
        <w:rPr>
          <w:rFonts w:ascii="Arial" w:hAnsi="Arial" w:cs="Arial"/>
          <w:sz w:val="22"/>
          <w:szCs w:val="22"/>
        </w:rPr>
        <w:t>i</w:t>
      </w:r>
      <w:proofErr w:type="spellEnd"/>
      <w:r w:rsidRPr="00A024E0">
        <w:rPr>
          <w:rFonts w:ascii="Arial" w:hAnsi="Arial" w:cs="Arial"/>
          <w:sz w:val="22"/>
          <w:szCs w:val="22"/>
        </w:rPr>
        <w:t>) employs fewer than 50 persons; or (ii) has a balance sheet total of less than GBP 5 million (or its equivalent in any other currency).</w:t>
      </w:r>
    </w:p>
    <w:p w14:paraId="745364F8" w14:textId="77777777" w:rsidR="00A024E0" w:rsidRPr="00A024E0" w:rsidRDefault="00A024E0" w:rsidP="00A024E0">
      <w:pPr>
        <w:ind w:left="1440"/>
        <w:rPr>
          <w:rFonts w:ascii="Arial" w:hAnsi="Arial" w:cs="Arial"/>
          <w:sz w:val="22"/>
          <w:szCs w:val="22"/>
        </w:rPr>
      </w:pPr>
    </w:p>
    <w:p w14:paraId="4F97C680" w14:textId="77777777" w:rsidR="00A024E0" w:rsidRPr="00A024E0" w:rsidRDefault="00A024E0" w:rsidP="00A024E0">
      <w:pPr>
        <w:ind w:left="1440"/>
        <w:rPr>
          <w:rFonts w:ascii="Arial" w:hAnsi="Arial" w:cs="Arial"/>
          <w:sz w:val="22"/>
          <w:szCs w:val="22"/>
        </w:rPr>
      </w:pPr>
      <w:r w:rsidRPr="00A024E0">
        <w:rPr>
          <w:rFonts w:ascii="Arial" w:hAnsi="Arial" w:cs="Arial"/>
          <w:b/>
          <w:bCs/>
          <w:sz w:val="22"/>
          <w:szCs w:val="22"/>
        </w:rPr>
        <w:t>Commercial – Large risk:</w:t>
      </w:r>
      <w:r w:rsidRPr="00A024E0">
        <w:rPr>
          <w:rFonts w:ascii="Arial" w:hAnsi="Arial" w:cs="Arial"/>
          <w:sz w:val="22"/>
          <w:szCs w:val="22"/>
        </w:rPr>
        <w:t xml:space="preserve"> A contract insuring: </w:t>
      </w:r>
    </w:p>
    <w:p w14:paraId="0CA70D1F" w14:textId="77777777" w:rsidR="00A024E0" w:rsidRPr="00A024E0" w:rsidRDefault="00A024E0" w:rsidP="00A024E0">
      <w:pPr>
        <w:pStyle w:val="MRBodyTextIndent"/>
        <w:numPr>
          <w:ilvl w:val="0"/>
          <w:numId w:val="46"/>
        </w:numPr>
        <w:tabs>
          <w:tab w:val="clear" w:pos="1440"/>
          <w:tab w:val="num" w:pos="2880"/>
        </w:tabs>
        <w:ind w:left="2160"/>
      </w:pPr>
      <w:r w:rsidRPr="00A024E0">
        <w:t xml:space="preserve">Railway rolling stock, aircraft, ships (sea, lake, river and canal vessels), goods in transit, aircraft liability or liability of ships (sea, lake, river and canal vessels). </w:t>
      </w:r>
    </w:p>
    <w:p w14:paraId="7FAF11F5" w14:textId="77777777" w:rsidR="00A024E0" w:rsidRPr="00A024E0" w:rsidRDefault="00A024E0" w:rsidP="00A024E0">
      <w:pPr>
        <w:pStyle w:val="MRBodyTextIndent"/>
        <w:numPr>
          <w:ilvl w:val="0"/>
          <w:numId w:val="46"/>
        </w:numPr>
        <w:tabs>
          <w:tab w:val="clear" w:pos="1440"/>
          <w:tab w:val="num" w:pos="2880"/>
        </w:tabs>
        <w:ind w:left="2160"/>
      </w:pPr>
      <w:r w:rsidRPr="00A024E0">
        <w:t xml:space="preserve">Credit and suretyship, where the policyholder is engaged professionally in an industrial or commercial activity or in one of the liberal professions and the risk relates to such activity. </w:t>
      </w:r>
    </w:p>
    <w:p w14:paraId="7A50F0F1" w14:textId="77777777" w:rsidR="00A024E0" w:rsidRPr="00A024E0" w:rsidRDefault="00A024E0" w:rsidP="00A024E0">
      <w:pPr>
        <w:pStyle w:val="MRBodyTextIndent"/>
        <w:numPr>
          <w:ilvl w:val="0"/>
          <w:numId w:val="46"/>
        </w:numPr>
        <w:tabs>
          <w:tab w:val="clear" w:pos="1440"/>
          <w:tab w:val="num" w:pos="2880"/>
        </w:tabs>
        <w:ind w:left="2160"/>
      </w:pPr>
      <w:r w:rsidRPr="00A024E0">
        <w:t xml:space="preserve">Land vehicles (other than railway rolling stock), fire and natural forces, other than damage to property, motor vehicle liability, general liability and miscellaneous financial loss, insofar as the policyholder exceeds the limits of at least two of the following three criteria:    </w:t>
      </w:r>
    </w:p>
    <w:p w14:paraId="0E384105" w14:textId="77777777" w:rsidR="00A024E0" w:rsidRPr="00A024E0" w:rsidRDefault="00A024E0" w:rsidP="00A024E0">
      <w:pPr>
        <w:pStyle w:val="MRBodyTextIndent"/>
        <w:numPr>
          <w:ilvl w:val="1"/>
          <w:numId w:val="46"/>
        </w:numPr>
        <w:tabs>
          <w:tab w:val="clear" w:pos="1800"/>
          <w:tab w:val="num" w:pos="3240"/>
        </w:tabs>
        <w:ind w:left="2520"/>
      </w:pPr>
      <w:r w:rsidRPr="00A024E0">
        <w:t>Balance sheet total: EUR 6.2 million (or its equivalent in any other currency)</w:t>
      </w:r>
    </w:p>
    <w:p w14:paraId="1F230CD9" w14:textId="77777777" w:rsidR="00A024E0" w:rsidRPr="00A024E0" w:rsidRDefault="00A024E0" w:rsidP="00A024E0">
      <w:pPr>
        <w:pStyle w:val="MRBodyTextIndent"/>
        <w:numPr>
          <w:ilvl w:val="1"/>
          <w:numId w:val="46"/>
        </w:numPr>
        <w:tabs>
          <w:tab w:val="clear" w:pos="1800"/>
          <w:tab w:val="num" w:pos="3240"/>
        </w:tabs>
        <w:ind w:left="2520"/>
        <w:rPr>
          <w:lang w:val="fr-BE"/>
        </w:rPr>
      </w:pPr>
      <w:r w:rsidRPr="00A024E0">
        <w:rPr>
          <w:lang w:val="fr-FR"/>
        </w:rPr>
        <w:t xml:space="preserve">Net turnover : EUR 12.8 million </w:t>
      </w:r>
      <w:r w:rsidRPr="00A024E0">
        <w:t>(or its equivalent in any other currency)</w:t>
      </w:r>
      <w:r w:rsidRPr="00A024E0">
        <w:rPr>
          <w:lang w:val="fr-FR"/>
        </w:rPr>
        <w:t xml:space="preserve">  </w:t>
      </w:r>
    </w:p>
    <w:p w14:paraId="1EB0A4DF" w14:textId="77777777" w:rsidR="00A024E0" w:rsidRPr="00A024E0" w:rsidRDefault="00A024E0" w:rsidP="00A024E0">
      <w:pPr>
        <w:pStyle w:val="MRBodyTextIndent"/>
        <w:numPr>
          <w:ilvl w:val="1"/>
          <w:numId w:val="46"/>
        </w:numPr>
        <w:tabs>
          <w:tab w:val="clear" w:pos="1800"/>
          <w:tab w:val="num" w:pos="3240"/>
        </w:tabs>
        <w:spacing w:after="120"/>
        <w:ind w:left="2517" w:hanging="357"/>
      </w:pPr>
      <w:r w:rsidRPr="00A024E0">
        <w:t xml:space="preserve">Average number of employees during the financial year: 250. </w:t>
      </w:r>
    </w:p>
    <w:p w14:paraId="79B1AFC9" w14:textId="3E556D70" w:rsidR="00A024E0" w:rsidRDefault="00A024E0" w:rsidP="00A024E0">
      <w:pPr>
        <w:ind w:left="1418" w:hanging="698"/>
        <w:rPr>
          <w:rFonts w:ascii="Arial" w:hAnsi="Arial" w:cs="Arial"/>
          <w:i/>
          <w:iCs/>
          <w:sz w:val="22"/>
          <w:szCs w:val="22"/>
        </w:rPr>
      </w:pPr>
      <w:r w:rsidRPr="00A024E0">
        <w:rPr>
          <w:rFonts w:ascii="Arial" w:hAnsi="Arial" w:cs="Arial"/>
          <w:sz w:val="22"/>
          <w:szCs w:val="22"/>
        </w:rPr>
        <w:tab/>
      </w:r>
      <w:r w:rsidRPr="00A024E0">
        <w:rPr>
          <w:rFonts w:ascii="Arial" w:hAnsi="Arial" w:cs="Arial"/>
          <w:i/>
          <w:iCs/>
          <w:sz w:val="22"/>
          <w:szCs w:val="22"/>
        </w:rPr>
        <w:t>[Note: “Large Risk” is an official term used in EEA insurance regulation. The formal definition of “Large Risks” is found in the EU’s 2nd Non-Life Insurance Directive (88/357). A “Mass risk” is anything that is not a “Large Risk”]</w:t>
      </w:r>
    </w:p>
    <w:p w14:paraId="6E543887" w14:textId="77777777" w:rsidR="00A024E0" w:rsidRPr="00A024E0" w:rsidRDefault="00A024E0" w:rsidP="00A024E0">
      <w:pPr>
        <w:ind w:left="1418" w:hanging="698"/>
        <w:rPr>
          <w:rFonts w:ascii="Arial" w:hAnsi="Arial" w:cs="Arial"/>
          <w:i/>
          <w:iCs/>
          <w:sz w:val="22"/>
          <w:szCs w:val="22"/>
        </w:rPr>
      </w:pPr>
    </w:p>
    <w:p w14:paraId="30B1BBBD" w14:textId="300980E4" w:rsidR="00A024E0" w:rsidRDefault="00A024E0" w:rsidP="00A024E0">
      <w:pPr>
        <w:ind w:left="1440"/>
        <w:rPr>
          <w:rFonts w:ascii="Arial" w:hAnsi="Arial" w:cs="Arial"/>
          <w:sz w:val="22"/>
          <w:szCs w:val="22"/>
        </w:rPr>
      </w:pPr>
      <w:r w:rsidRPr="00A024E0">
        <w:rPr>
          <w:rFonts w:ascii="Arial" w:hAnsi="Arial" w:cs="Arial"/>
          <w:b/>
          <w:bCs/>
          <w:sz w:val="22"/>
          <w:szCs w:val="22"/>
        </w:rPr>
        <w:t>Commercial – Other</w:t>
      </w:r>
      <w:r w:rsidRPr="00A024E0">
        <w:rPr>
          <w:rFonts w:ascii="Arial" w:hAnsi="Arial" w:cs="Arial"/>
          <w:sz w:val="22"/>
          <w:szCs w:val="22"/>
        </w:rPr>
        <w:t>: All commercial business that is not micro-enterprise, small or large risk.</w:t>
      </w:r>
    </w:p>
    <w:p w14:paraId="77A26964" w14:textId="77777777" w:rsidR="00A024E0" w:rsidRPr="00A024E0" w:rsidRDefault="00A024E0" w:rsidP="00A024E0">
      <w:pPr>
        <w:ind w:left="1440"/>
        <w:rPr>
          <w:rFonts w:ascii="Arial" w:hAnsi="Arial" w:cs="Arial"/>
          <w:sz w:val="22"/>
          <w:szCs w:val="22"/>
        </w:rPr>
      </w:pPr>
    </w:p>
    <w:p w14:paraId="2D7C161B" w14:textId="2CB214DE" w:rsidR="00A024E0" w:rsidRDefault="00A024E0" w:rsidP="00A024E0">
      <w:pPr>
        <w:ind w:left="1440"/>
        <w:rPr>
          <w:rFonts w:ascii="Arial" w:hAnsi="Arial" w:cs="Arial"/>
          <w:sz w:val="22"/>
          <w:szCs w:val="22"/>
        </w:rPr>
      </w:pPr>
      <w:r w:rsidRPr="00A024E0">
        <w:rPr>
          <w:rFonts w:ascii="Arial" w:hAnsi="Arial" w:cs="Arial"/>
          <w:b/>
          <w:bCs/>
          <w:sz w:val="22"/>
          <w:szCs w:val="22"/>
        </w:rPr>
        <w:t>Reinsurance:</w:t>
      </w:r>
      <w:r w:rsidRPr="00A024E0">
        <w:rPr>
          <w:rFonts w:ascii="Arial" w:hAnsi="Arial" w:cs="Arial"/>
          <w:sz w:val="22"/>
          <w:szCs w:val="22"/>
        </w:rPr>
        <w:t xml:space="preserve"> Reinsurance worldwide.</w:t>
      </w:r>
    </w:p>
    <w:p w14:paraId="46D76615" w14:textId="77777777" w:rsidR="00A024E0" w:rsidRPr="00A024E0" w:rsidRDefault="00A024E0" w:rsidP="00A024E0">
      <w:pPr>
        <w:ind w:left="1440"/>
        <w:rPr>
          <w:rFonts w:ascii="Arial" w:hAnsi="Arial" w:cs="Arial"/>
          <w:sz w:val="22"/>
          <w:szCs w:val="22"/>
        </w:rPr>
      </w:pPr>
    </w:p>
    <w:p w14:paraId="0C68D87D" w14:textId="77777777" w:rsidR="00A024E0" w:rsidRPr="00A024E0" w:rsidRDefault="00A024E0" w:rsidP="00A024E0">
      <w:pPr>
        <w:ind w:left="1440"/>
        <w:rPr>
          <w:rFonts w:ascii="Arial" w:hAnsi="Arial" w:cs="Arial"/>
          <w:sz w:val="22"/>
          <w:szCs w:val="22"/>
        </w:rPr>
      </w:pPr>
      <w:r w:rsidRPr="00A024E0">
        <w:rPr>
          <w:rFonts w:ascii="Arial" w:hAnsi="Arial" w:cs="Arial"/>
          <w:b/>
          <w:bCs/>
          <w:sz w:val="22"/>
          <w:szCs w:val="22"/>
        </w:rPr>
        <w:t>Master Policy/Group Scheme:</w:t>
      </w:r>
      <w:r w:rsidRPr="00A024E0">
        <w:rPr>
          <w:rFonts w:ascii="Arial" w:hAnsi="Arial" w:cs="Arial"/>
          <w:sz w:val="22"/>
          <w:szCs w:val="22"/>
        </w:rPr>
        <w:t xml:space="preserve"> A policy sold to a master policyholder (consumer, commercial or large risk) for the benefit of others in relation to their common employment, occupation, or activity.</w:t>
      </w:r>
    </w:p>
    <w:p w14:paraId="0DD69557" w14:textId="77777777" w:rsidR="00592C29" w:rsidRPr="00A024E0" w:rsidRDefault="00592C29">
      <w:pPr>
        <w:spacing w:before="120"/>
        <w:ind w:left="720"/>
        <w:jc w:val="both"/>
        <w:rPr>
          <w:rFonts w:ascii="Arial" w:hAnsi="Arial" w:cs="Arial"/>
          <w:sz w:val="22"/>
          <w:szCs w:val="22"/>
        </w:rPr>
      </w:pPr>
    </w:p>
    <w:p w14:paraId="7C2BE618" w14:textId="77777777" w:rsidR="00592C29" w:rsidRDefault="0048296D">
      <w:pPr>
        <w:spacing w:before="120"/>
        <w:ind w:left="1440" w:hanging="720"/>
        <w:jc w:val="both"/>
        <w:rPr>
          <w:sz w:val="22"/>
          <w:szCs w:val="22"/>
        </w:rPr>
      </w:pPr>
      <w:r>
        <w:rPr>
          <w:rFonts w:ascii="Arial" w:eastAsia="Arial" w:hAnsi="Arial" w:cs="Arial"/>
          <w:b/>
          <w:bCs/>
          <w:sz w:val="22"/>
          <w:szCs w:val="22"/>
        </w:rPr>
        <w:t>E.12</w:t>
      </w:r>
      <w:r>
        <w:rPr>
          <w:rFonts w:ascii="Arial" w:eastAsia="Arial" w:hAnsi="Arial" w:cs="Arial"/>
          <w:b/>
          <w:bCs/>
          <w:sz w:val="22"/>
          <w:szCs w:val="22"/>
        </w:rPr>
        <w:tab/>
        <w:t>Is the Business Subject to Distance Marketing Directive? – Conditional: Required where the Regulatory Client Classification is “Consumer”. For all other Regulatory Client Classifications this heading is omitted.</w:t>
      </w:r>
    </w:p>
    <w:p w14:paraId="3B272F77" w14:textId="77777777" w:rsidR="00592C29" w:rsidRDefault="0048296D">
      <w:pPr>
        <w:spacing w:before="120"/>
        <w:ind w:left="1440" w:hanging="720"/>
        <w:jc w:val="both"/>
        <w:rPr>
          <w:sz w:val="22"/>
          <w:szCs w:val="22"/>
        </w:rPr>
      </w:pPr>
      <w:r>
        <w:rPr>
          <w:rFonts w:ascii="Arial" w:eastAsia="Arial" w:hAnsi="Arial" w:cs="Arial"/>
          <w:i/>
          <w:iCs/>
          <w:sz w:val="22"/>
          <w:szCs w:val="22"/>
        </w:rPr>
        <w:t>{intentionally left blank}</w:t>
      </w:r>
    </w:p>
    <w:p w14:paraId="7E42F76B" w14:textId="77777777" w:rsidR="00B91A3D" w:rsidRDefault="00B91A3D">
      <w:pPr>
        <w:spacing w:after="200" w:line="276" w:lineRule="auto"/>
        <w:rPr>
          <w:sz w:val="22"/>
          <w:szCs w:val="22"/>
        </w:rPr>
      </w:pPr>
    </w:p>
    <w:p w14:paraId="70C05F93" w14:textId="3E131CC1" w:rsidR="00592C29" w:rsidRDefault="0048296D">
      <w:pPr>
        <w:spacing w:after="200" w:line="276" w:lineRule="auto"/>
        <w:rPr>
          <w:sz w:val="22"/>
          <w:szCs w:val="22"/>
        </w:rPr>
      </w:pPr>
      <w:r>
        <w:rPr>
          <w:sz w:val="22"/>
          <w:szCs w:val="22"/>
        </w:rPr>
        <w:br w:type="page"/>
      </w:r>
    </w:p>
    <w:p w14:paraId="166041B7" w14:textId="77777777" w:rsidR="00592C29" w:rsidRDefault="0048296D">
      <w:pPr>
        <w:pStyle w:val="Heading1"/>
        <w:rPr>
          <w:sz w:val="40"/>
          <w:szCs w:val="40"/>
        </w:rPr>
      </w:pPr>
      <w:bookmarkStart w:id="59" w:name="_Toc21706655"/>
      <w:bookmarkStart w:id="60" w:name="_Toc31396090"/>
      <w:r>
        <w:rPr>
          <w:rFonts w:ascii="Arial" w:eastAsia="Arial" w:hAnsi="Arial" w:cs="Arial"/>
          <w:color w:val="0070C0"/>
          <w:sz w:val="40"/>
          <w:szCs w:val="40"/>
        </w:rPr>
        <w:lastRenderedPageBreak/>
        <w:t>Chapter 9 – BROKER REMUNERATION AND DEDUCTIONS Guidance</w:t>
      </w:r>
      <w:bookmarkEnd w:id="59"/>
      <w:bookmarkEnd w:id="60"/>
    </w:p>
    <w:p w14:paraId="05C5D011" w14:textId="77777777" w:rsidR="00592C29" w:rsidRDefault="00592C29">
      <w:pPr>
        <w:rPr>
          <w:sz w:val="22"/>
          <w:szCs w:val="22"/>
        </w:rPr>
      </w:pPr>
    </w:p>
    <w:p w14:paraId="10CBD3B3" w14:textId="77777777" w:rsidR="00592C29" w:rsidRDefault="0048296D">
      <w:pPr>
        <w:pStyle w:val="Heading2"/>
        <w:rPr>
          <w:sz w:val="28"/>
          <w:szCs w:val="28"/>
        </w:rPr>
      </w:pPr>
      <w:bookmarkStart w:id="61" w:name="_Toc21706656"/>
      <w:bookmarkStart w:id="62" w:name="_Toc31396091"/>
      <w:r>
        <w:rPr>
          <w:rFonts w:ascii="Arial" w:eastAsia="Arial" w:hAnsi="Arial" w:cs="Arial"/>
          <w:i/>
          <w:color w:val="0070C0"/>
          <w:sz w:val="28"/>
          <w:szCs w:val="28"/>
        </w:rPr>
        <w:t>9.1 General Guidance</w:t>
      </w:r>
      <w:bookmarkEnd w:id="61"/>
      <w:bookmarkEnd w:id="62"/>
    </w:p>
    <w:p w14:paraId="7685445A" w14:textId="77777777" w:rsidR="00592C29" w:rsidRDefault="0048296D">
      <w:pPr>
        <w:spacing w:before="120"/>
        <w:ind w:left="720"/>
        <w:jc w:val="both"/>
        <w:rPr>
          <w:sz w:val="22"/>
          <w:szCs w:val="22"/>
        </w:rPr>
      </w:pPr>
      <w:r>
        <w:rPr>
          <w:rFonts w:ascii="Arial" w:eastAsia="Arial" w:hAnsi="Arial" w:cs="Arial"/>
          <w:i/>
          <w:iCs/>
          <w:sz w:val="22"/>
          <w:szCs w:val="22"/>
        </w:rPr>
        <w:t>{intentionally left blank}.</w:t>
      </w:r>
      <w:r>
        <w:rPr>
          <w:rFonts w:ascii="Arial" w:eastAsia="Arial" w:hAnsi="Arial" w:cs="Arial"/>
          <w:sz w:val="22"/>
          <w:szCs w:val="22"/>
        </w:rPr>
        <w:t xml:space="preserve">  </w:t>
      </w:r>
    </w:p>
    <w:p w14:paraId="719C3817" w14:textId="77777777" w:rsidR="00592C29" w:rsidRDefault="00592C29">
      <w:pPr>
        <w:rPr>
          <w:sz w:val="22"/>
          <w:szCs w:val="22"/>
        </w:rPr>
      </w:pPr>
    </w:p>
    <w:p w14:paraId="1120ACE4" w14:textId="77777777" w:rsidR="00592C29" w:rsidRDefault="0048296D">
      <w:pPr>
        <w:pStyle w:val="Heading2"/>
        <w:rPr>
          <w:sz w:val="28"/>
          <w:szCs w:val="28"/>
        </w:rPr>
      </w:pPr>
      <w:bookmarkStart w:id="63" w:name="_Toc21706657"/>
      <w:bookmarkStart w:id="64" w:name="_Toc31396092"/>
      <w:r>
        <w:rPr>
          <w:rFonts w:ascii="Arial" w:eastAsia="Arial" w:hAnsi="Arial" w:cs="Arial"/>
          <w:i/>
          <w:color w:val="0070C0"/>
          <w:sz w:val="28"/>
          <w:szCs w:val="28"/>
        </w:rPr>
        <w:t>9.2 Guidance on Specific Fields</w:t>
      </w:r>
      <w:bookmarkEnd w:id="63"/>
      <w:bookmarkEnd w:id="64"/>
    </w:p>
    <w:p w14:paraId="2D9554E9" w14:textId="77777777" w:rsidR="00592C29" w:rsidRDefault="00592C29">
      <w:pPr>
        <w:rPr>
          <w:sz w:val="22"/>
          <w:szCs w:val="22"/>
        </w:rPr>
      </w:pPr>
    </w:p>
    <w:p w14:paraId="54E73D51" w14:textId="77777777" w:rsidR="00592C29" w:rsidRDefault="0048296D">
      <w:pPr>
        <w:spacing w:before="120"/>
        <w:ind w:left="1440" w:hanging="720"/>
        <w:jc w:val="both"/>
        <w:rPr>
          <w:sz w:val="22"/>
          <w:szCs w:val="22"/>
        </w:rPr>
      </w:pPr>
      <w:r>
        <w:rPr>
          <w:rFonts w:ascii="Arial" w:eastAsia="Arial" w:hAnsi="Arial" w:cs="Arial"/>
          <w:b/>
          <w:bCs/>
          <w:sz w:val="22"/>
          <w:szCs w:val="22"/>
        </w:rPr>
        <w:t>F.1</w:t>
      </w:r>
      <w:r>
        <w:rPr>
          <w:rFonts w:ascii="Arial" w:eastAsia="Arial" w:hAnsi="Arial" w:cs="Arial"/>
          <w:b/>
          <w:bCs/>
          <w:sz w:val="22"/>
          <w:szCs w:val="22"/>
        </w:rPr>
        <w:tab/>
        <w:t>Fee Payable by Client? – Optional:</w:t>
      </w:r>
    </w:p>
    <w:p w14:paraId="462841FD" w14:textId="77777777" w:rsidR="00592C29" w:rsidRDefault="0048296D">
      <w:pPr>
        <w:spacing w:before="120"/>
        <w:ind w:left="720"/>
        <w:jc w:val="both"/>
        <w:rPr>
          <w:sz w:val="22"/>
          <w:szCs w:val="22"/>
        </w:rPr>
      </w:pPr>
      <w:r>
        <w:rPr>
          <w:rFonts w:ascii="Arial" w:eastAsia="Arial" w:hAnsi="Arial" w:cs="Arial"/>
          <w:i/>
          <w:iCs/>
          <w:sz w:val="22"/>
          <w:szCs w:val="22"/>
        </w:rPr>
        <w:t>{intentionally left blank}.</w:t>
      </w:r>
      <w:r>
        <w:rPr>
          <w:rFonts w:ascii="Arial" w:eastAsia="Arial" w:hAnsi="Arial" w:cs="Arial"/>
          <w:sz w:val="22"/>
          <w:szCs w:val="22"/>
        </w:rPr>
        <w:t xml:space="preserve">  </w:t>
      </w:r>
    </w:p>
    <w:p w14:paraId="11786087" w14:textId="77777777" w:rsidR="00592C29" w:rsidRDefault="00592C29">
      <w:pPr>
        <w:spacing w:before="120"/>
        <w:ind w:left="1440" w:hanging="720"/>
        <w:jc w:val="both"/>
        <w:rPr>
          <w:sz w:val="22"/>
          <w:szCs w:val="22"/>
        </w:rPr>
      </w:pPr>
    </w:p>
    <w:p w14:paraId="521BD7CF" w14:textId="77777777" w:rsidR="00592C29" w:rsidRDefault="0048296D">
      <w:pPr>
        <w:spacing w:before="120"/>
        <w:ind w:left="1440" w:hanging="720"/>
        <w:jc w:val="both"/>
        <w:rPr>
          <w:sz w:val="22"/>
          <w:szCs w:val="22"/>
        </w:rPr>
      </w:pPr>
      <w:r>
        <w:rPr>
          <w:rFonts w:ascii="Arial" w:eastAsia="Arial" w:hAnsi="Arial" w:cs="Arial"/>
          <w:b/>
          <w:bCs/>
          <w:sz w:val="22"/>
          <w:szCs w:val="22"/>
        </w:rPr>
        <w:t>F.2</w:t>
      </w:r>
      <w:r>
        <w:rPr>
          <w:rFonts w:ascii="Arial" w:eastAsia="Arial" w:hAnsi="Arial" w:cs="Arial"/>
          <w:b/>
          <w:bCs/>
          <w:sz w:val="22"/>
          <w:szCs w:val="22"/>
        </w:rPr>
        <w:tab/>
        <w:t>Total Brokerage – Conditional: Required where retail and wholesale brokerage is not split out.</w:t>
      </w:r>
    </w:p>
    <w:p w14:paraId="113305F4" w14:textId="77777777" w:rsidR="00592C29" w:rsidRDefault="0048296D">
      <w:pPr>
        <w:spacing w:before="120"/>
        <w:ind w:left="720"/>
        <w:jc w:val="both"/>
        <w:rPr>
          <w:sz w:val="22"/>
          <w:szCs w:val="22"/>
        </w:rPr>
      </w:pPr>
      <w:r>
        <w:rPr>
          <w:rFonts w:ascii="Arial" w:eastAsia="Arial" w:hAnsi="Arial" w:cs="Arial"/>
          <w:i/>
          <w:iCs/>
          <w:sz w:val="22"/>
          <w:szCs w:val="22"/>
        </w:rPr>
        <w:t>{intentionally left blank}.</w:t>
      </w:r>
      <w:r>
        <w:rPr>
          <w:rFonts w:ascii="Arial" w:eastAsia="Arial" w:hAnsi="Arial" w:cs="Arial"/>
          <w:sz w:val="22"/>
          <w:szCs w:val="22"/>
        </w:rPr>
        <w:t xml:space="preserve">  </w:t>
      </w:r>
    </w:p>
    <w:p w14:paraId="6D782EBD" w14:textId="77777777" w:rsidR="00592C29" w:rsidRDefault="00592C29">
      <w:pPr>
        <w:spacing w:before="120"/>
        <w:ind w:left="1440" w:hanging="720"/>
        <w:jc w:val="both"/>
        <w:rPr>
          <w:sz w:val="22"/>
          <w:szCs w:val="22"/>
        </w:rPr>
      </w:pPr>
    </w:p>
    <w:p w14:paraId="36A60557" w14:textId="77777777" w:rsidR="00592C29" w:rsidRDefault="0048296D">
      <w:pPr>
        <w:spacing w:before="120"/>
        <w:ind w:left="1440" w:hanging="720"/>
        <w:jc w:val="both"/>
        <w:rPr>
          <w:sz w:val="22"/>
          <w:szCs w:val="22"/>
        </w:rPr>
      </w:pPr>
      <w:r>
        <w:rPr>
          <w:rFonts w:ascii="Arial" w:eastAsia="Arial" w:hAnsi="Arial" w:cs="Arial"/>
          <w:b/>
          <w:bCs/>
          <w:sz w:val="22"/>
          <w:szCs w:val="22"/>
        </w:rPr>
        <w:t>F.3</w:t>
      </w:r>
      <w:r>
        <w:rPr>
          <w:rFonts w:ascii="Arial" w:eastAsia="Arial" w:hAnsi="Arial" w:cs="Arial"/>
          <w:b/>
          <w:bCs/>
          <w:sz w:val="22"/>
          <w:szCs w:val="22"/>
        </w:rPr>
        <w:tab/>
        <w:t>Retail Brokerage – Conditional: Required where retail and wholesale brokerage is split out.</w:t>
      </w:r>
    </w:p>
    <w:p w14:paraId="1A27BE0A" w14:textId="77777777" w:rsidR="00592C29" w:rsidRDefault="0048296D">
      <w:pPr>
        <w:spacing w:before="120"/>
        <w:ind w:left="720"/>
        <w:jc w:val="both"/>
        <w:rPr>
          <w:sz w:val="22"/>
          <w:szCs w:val="22"/>
        </w:rPr>
      </w:pPr>
      <w:r>
        <w:rPr>
          <w:rFonts w:ascii="Arial" w:eastAsia="Arial" w:hAnsi="Arial" w:cs="Arial"/>
          <w:i/>
          <w:iCs/>
          <w:sz w:val="22"/>
          <w:szCs w:val="22"/>
        </w:rPr>
        <w:t>{intentionally left blank}.</w:t>
      </w:r>
      <w:r>
        <w:rPr>
          <w:rFonts w:ascii="Arial" w:eastAsia="Arial" w:hAnsi="Arial" w:cs="Arial"/>
          <w:sz w:val="22"/>
          <w:szCs w:val="22"/>
        </w:rPr>
        <w:t xml:space="preserve">  </w:t>
      </w:r>
    </w:p>
    <w:p w14:paraId="01B23A89" w14:textId="77777777" w:rsidR="00592C29" w:rsidRDefault="00592C29">
      <w:pPr>
        <w:spacing w:before="120"/>
        <w:ind w:left="1440" w:hanging="720"/>
        <w:jc w:val="both"/>
        <w:rPr>
          <w:sz w:val="22"/>
          <w:szCs w:val="22"/>
        </w:rPr>
      </w:pPr>
    </w:p>
    <w:p w14:paraId="2D7C5663" w14:textId="77777777" w:rsidR="00592C29" w:rsidRDefault="0048296D">
      <w:pPr>
        <w:spacing w:before="120"/>
        <w:ind w:left="1440" w:hanging="720"/>
        <w:jc w:val="both"/>
        <w:rPr>
          <w:sz w:val="22"/>
          <w:szCs w:val="22"/>
        </w:rPr>
      </w:pPr>
      <w:r>
        <w:rPr>
          <w:rFonts w:ascii="Arial" w:eastAsia="Arial" w:hAnsi="Arial" w:cs="Arial"/>
          <w:b/>
          <w:bCs/>
          <w:sz w:val="22"/>
          <w:szCs w:val="22"/>
        </w:rPr>
        <w:t>F.4</w:t>
      </w:r>
      <w:r>
        <w:rPr>
          <w:rFonts w:ascii="Arial" w:eastAsia="Arial" w:hAnsi="Arial" w:cs="Arial"/>
          <w:b/>
          <w:bCs/>
          <w:sz w:val="22"/>
          <w:szCs w:val="22"/>
        </w:rPr>
        <w:tab/>
        <w:t>Wholesale Brokerage – Conditional:</w:t>
      </w:r>
      <w:r>
        <w:rPr>
          <w:rFonts w:ascii="Arial" w:eastAsia="Arial" w:hAnsi="Arial" w:cs="Arial"/>
          <w:b/>
          <w:bCs/>
          <w:sz w:val="22"/>
          <w:szCs w:val="22"/>
        </w:rPr>
        <w:tab/>
        <w:t>Required where retail and wholesale brokerage is split out.</w:t>
      </w:r>
    </w:p>
    <w:p w14:paraId="160AEBC9" w14:textId="77777777" w:rsidR="00592C29" w:rsidRDefault="0048296D">
      <w:pPr>
        <w:spacing w:before="120"/>
        <w:ind w:left="720"/>
        <w:jc w:val="both"/>
        <w:rPr>
          <w:sz w:val="22"/>
          <w:szCs w:val="22"/>
        </w:rPr>
      </w:pPr>
      <w:r>
        <w:rPr>
          <w:rFonts w:ascii="Arial" w:eastAsia="Arial" w:hAnsi="Arial" w:cs="Arial"/>
          <w:i/>
          <w:iCs/>
          <w:sz w:val="22"/>
          <w:szCs w:val="22"/>
        </w:rPr>
        <w:t>{intentionally left blank}.</w:t>
      </w:r>
      <w:r>
        <w:rPr>
          <w:rFonts w:ascii="Arial" w:eastAsia="Arial" w:hAnsi="Arial" w:cs="Arial"/>
          <w:sz w:val="22"/>
          <w:szCs w:val="22"/>
        </w:rPr>
        <w:t xml:space="preserve">  </w:t>
      </w:r>
    </w:p>
    <w:p w14:paraId="3C044401" w14:textId="77777777" w:rsidR="00592C29" w:rsidRDefault="00592C29">
      <w:pPr>
        <w:spacing w:before="120"/>
        <w:ind w:left="1440" w:hanging="720"/>
        <w:jc w:val="both"/>
        <w:rPr>
          <w:sz w:val="22"/>
          <w:szCs w:val="22"/>
        </w:rPr>
      </w:pPr>
    </w:p>
    <w:p w14:paraId="0AB1A6DE" w14:textId="77777777" w:rsidR="00592C29" w:rsidRDefault="0048296D">
      <w:pPr>
        <w:spacing w:before="120"/>
        <w:ind w:left="1440" w:hanging="720"/>
        <w:jc w:val="both"/>
        <w:rPr>
          <w:sz w:val="22"/>
          <w:szCs w:val="22"/>
        </w:rPr>
      </w:pPr>
      <w:r>
        <w:rPr>
          <w:rFonts w:ascii="Arial" w:eastAsia="Arial" w:hAnsi="Arial" w:cs="Arial"/>
          <w:b/>
          <w:bCs/>
          <w:sz w:val="22"/>
          <w:szCs w:val="22"/>
        </w:rPr>
        <w:t>F.5</w:t>
      </w:r>
      <w:r>
        <w:rPr>
          <w:rFonts w:ascii="Arial" w:eastAsia="Arial" w:hAnsi="Arial" w:cs="Arial"/>
          <w:b/>
          <w:bCs/>
          <w:sz w:val="22"/>
          <w:szCs w:val="22"/>
        </w:rPr>
        <w:tab/>
        <w:t>Other Deductions from Premium – Mandatory:</w:t>
      </w:r>
    </w:p>
    <w:p w14:paraId="5C5B5795" w14:textId="77777777" w:rsidR="00592C29" w:rsidRDefault="0048296D">
      <w:pPr>
        <w:spacing w:before="120"/>
        <w:ind w:left="720"/>
        <w:jc w:val="both"/>
        <w:rPr>
          <w:sz w:val="22"/>
          <w:szCs w:val="22"/>
        </w:rPr>
      </w:pPr>
      <w:r>
        <w:rPr>
          <w:rFonts w:ascii="Arial" w:eastAsia="Arial" w:hAnsi="Arial" w:cs="Arial"/>
          <w:sz w:val="22"/>
          <w:szCs w:val="22"/>
        </w:rPr>
        <w:t>This may not be the same across both Lloyd’s Brussels and non-Lloyd’s Brussels on the MRC. e.g. Engineering (Survey) fees may be location specific (e.g. if just a client’s manufacturing locations amongst a schedule of property to be surveyed) and there may therefore be separate deductions applied to the Lloyd’s Brussels and non-Lloyd’s Brussels sections of the MRC depending where the survey properties are situated.</w:t>
      </w:r>
    </w:p>
    <w:p w14:paraId="373BCD2A" w14:textId="77777777" w:rsidR="00592C29" w:rsidRDefault="00592C29">
      <w:pPr>
        <w:spacing w:before="120"/>
        <w:ind w:left="720"/>
        <w:jc w:val="both"/>
        <w:rPr>
          <w:sz w:val="22"/>
          <w:szCs w:val="22"/>
        </w:rPr>
      </w:pPr>
    </w:p>
    <w:p w14:paraId="0C3A9C87" w14:textId="77777777" w:rsidR="00592C29" w:rsidRDefault="0048296D">
      <w:pPr>
        <w:spacing w:before="120"/>
        <w:ind w:left="720"/>
        <w:jc w:val="both"/>
        <w:rPr>
          <w:sz w:val="22"/>
          <w:szCs w:val="22"/>
        </w:rPr>
      </w:pPr>
      <w:r>
        <w:rPr>
          <w:sz w:val="22"/>
          <w:szCs w:val="22"/>
        </w:rPr>
        <w:br w:type="page"/>
      </w:r>
    </w:p>
    <w:p w14:paraId="1C7373CD" w14:textId="77777777" w:rsidR="00592C29" w:rsidRDefault="0048296D">
      <w:pPr>
        <w:pStyle w:val="Heading1"/>
        <w:rPr>
          <w:sz w:val="40"/>
          <w:szCs w:val="40"/>
        </w:rPr>
      </w:pPr>
      <w:bookmarkStart w:id="65" w:name="_Toc21706658"/>
      <w:bookmarkStart w:id="66" w:name="_Toc31396093"/>
      <w:r>
        <w:rPr>
          <w:rFonts w:ascii="Arial" w:eastAsia="Arial" w:hAnsi="Arial" w:cs="Arial"/>
          <w:color w:val="0070C0"/>
          <w:sz w:val="40"/>
          <w:szCs w:val="40"/>
        </w:rPr>
        <w:lastRenderedPageBreak/>
        <w:t>Appendix 1 – Risk Details – Usage of Headings</w:t>
      </w:r>
      <w:bookmarkEnd w:id="65"/>
      <w:bookmarkEnd w:id="66"/>
    </w:p>
    <w:p w14:paraId="142E45D5" w14:textId="77777777" w:rsidR="00592C29" w:rsidRDefault="00592C29">
      <w:pPr>
        <w:rPr>
          <w:sz w:val="22"/>
          <w:szCs w:val="22"/>
        </w:rPr>
      </w:pPr>
    </w:p>
    <w:p w14:paraId="4E39C55C" w14:textId="77777777" w:rsidR="00592C29" w:rsidRDefault="0048296D">
      <w:pPr>
        <w:spacing w:before="120"/>
        <w:ind w:left="720"/>
        <w:jc w:val="both"/>
        <w:rPr>
          <w:sz w:val="22"/>
          <w:szCs w:val="22"/>
        </w:rPr>
      </w:pPr>
      <w:r>
        <w:rPr>
          <w:rFonts w:ascii="Arial" w:eastAsia="Arial" w:hAnsi="Arial" w:cs="Arial"/>
          <w:i/>
          <w:iCs/>
          <w:sz w:val="22"/>
          <w:szCs w:val="22"/>
        </w:rPr>
        <w:t>{intentionally left blank}</w:t>
      </w:r>
    </w:p>
    <w:p w14:paraId="1955311E" w14:textId="77777777" w:rsidR="00592C29" w:rsidRDefault="00592C29">
      <w:pPr>
        <w:spacing w:after="200" w:line="276" w:lineRule="auto"/>
        <w:rPr>
          <w:sz w:val="22"/>
          <w:szCs w:val="22"/>
        </w:rPr>
      </w:pPr>
    </w:p>
    <w:p w14:paraId="744A0571" w14:textId="77777777" w:rsidR="00592C29" w:rsidRDefault="00592C29">
      <w:pPr>
        <w:spacing w:after="200" w:line="276" w:lineRule="auto"/>
        <w:rPr>
          <w:sz w:val="22"/>
          <w:szCs w:val="22"/>
        </w:rPr>
      </w:pPr>
    </w:p>
    <w:p w14:paraId="56BFAD12" w14:textId="77777777" w:rsidR="00592C29" w:rsidRDefault="0048296D">
      <w:pPr>
        <w:spacing w:after="200" w:line="276" w:lineRule="auto"/>
        <w:rPr>
          <w:sz w:val="22"/>
          <w:szCs w:val="22"/>
        </w:rPr>
      </w:pPr>
      <w:r>
        <w:rPr>
          <w:sz w:val="22"/>
          <w:szCs w:val="22"/>
        </w:rPr>
        <w:br w:type="page"/>
      </w:r>
    </w:p>
    <w:p w14:paraId="726A78C4" w14:textId="77777777" w:rsidR="00592C29" w:rsidRDefault="0048296D">
      <w:pPr>
        <w:pStyle w:val="Heading1"/>
        <w:rPr>
          <w:sz w:val="40"/>
          <w:szCs w:val="40"/>
        </w:rPr>
      </w:pPr>
      <w:bookmarkStart w:id="67" w:name="_Toc21706659"/>
      <w:bookmarkStart w:id="68" w:name="_Toc31396094"/>
      <w:r>
        <w:rPr>
          <w:rFonts w:ascii="Arial" w:eastAsia="Arial" w:hAnsi="Arial" w:cs="Arial"/>
          <w:color w:val="0070C0"/>
          <w:sz w:val="40"/>
          <w:szCs w:val="40"/>
        </w:rPr>
        <w:lastRenderedPageBreak/>
        <w:t>Appendix 2 – MRC Examples</w:t>
      </w:r>
      <w:bookmarkEnd w:id="67"/>
      <w:bookmarkEnd w:id="68"/>
    </w:p>
    <w:p w14:paraId="3C4F5C94" w14:textId="77777777" w:rsidR="00592C29" w:rsidRDefault="00592C29">
      <w:pPr>
        <w:rPr>
          <w:sz w:val="22"/>
          <w:szCs w:val="22"/>
        </w:rPr>
      </w:pPr>
    </w:p>
    <w:p w14:paraId="228ED4FB" w14:textId="77777777" w:rsidR="00B92BB2" w:rsidRDefault="0048296D">
      <w:pPr>
        <w:spacing w:after="200" w:line="276" w:lineRule="auto"/>
        <w:jc w:val="both"/>
        <w:rPr>
          <w:rFonts w:ascii="Trebuchet MS" w:eastAsia="Trebuchet MS" w:hAnsi="Trebuchet MS" w:cs="Trebuchet MS"/>
          <w:sz w:val="22"/>
          <w:szCs w:val="22"/>
        </w:rPr>
      </w:pPr>
      <w:r>
        <w:rPr>
          <w:rFonts w:ascii="Trebuchet MS" w:eastAsia="Trebuchet MS" w:hAnsi="Trebuchet MS" w:cs="Trebuchet MS"/>
          <w:sz w:val="22"/>
          <w:szCs w:val="22"/>
        </w:rPr>
        <w:t xml:space="preserve">The following pages show </w:t>
      </w:r>
      <w:r>
        <w:rPr>
          <w:rFonts w:ascii="Trebuchet MS" w:eastAsia="Trebuchet MS" w:hAnsi="Trebuchet MS" w:cs="Trebuchet MS"/>
          <w:b/>
          <w:bCs/>
          <w:sz w:val="22"/>
          <w:szCs w:val="22"/>
        </w:rPr>
        <w:t>examples</w:t>
      </w:r>
      <w:r>
        <w:rPr>
          <w:rFonts w:ascii="Trebuchet MS" w:eastAsia="Trebuchet MS" w:hAnsi="Trebuchet MS" w:cs="Trebuchet MS"/>
          <w:sz w:val="22"/>
          <w:szCs w:val="22"/>
        </w:rPr>
        <w:t xml:space="preserve"> of the content of an MRC compliant placing document for a split Lloyd’s Brussels/ non-Lloyd’s Brussels placement. </w:t>
      </w:r>
    </w:p>
    <w:p w14:paraId="4B9F7C72" w14:textId="24B3D8BF" w:rsidR="00592C29" w:rsidRDefault="0048296D">
      <w:pPr>
        <w:spacing w:after="200" w:line="276" w:lineRule="auto"/>
        <w:jc w:val="both"/>
        <w:rPr>
          <w:sz w:val="22"/>
          <w:szCs w:val="22"/>
        </w:rPr>
      </w:pPr>
      <w:r>
        <w:rPr>
          <w:rFonts w:ascii="Trebuchet MS" w:eastAsia="Trebuchet MS" w:hAnsi="Trebuchet MS" w:cs="Trebuchet MS"/>
          <w:sz w:val="22"/>
          <w:szCs w:val="22"/>
        </w:rPr>
        <w:t xml:space="preserve">Key changes to </w:t>
      </w:r>
      <w:r w:rsidRPr="002457F7">
        <w:rPr>
          <w:rFonts w:ascii="Trebuchet MS" w:eastAsia="Trebuchet MS" w:hAnsi="Trebuchet MS" w:cs="Trebuchet MS"/>
          <w:sz w:val="22"/>
          <w:szCs w:val="22"/>
        </w:rPr>
        <w:t>the previous placing</w:t>
      </w:r>
      <w:r>
        <w:rPr>
          <w:rFonts w:ascii="Trebuchet MS" w:eastAsia="Trebuchet MS" w:hAnsi="Trebuchet MS" w:cs="Trebuchet MS"/>
          <w:sz w:val="22"/>
          <w:szCs w:val="22"/>
        </w:rPr>
        <w:t xml:space="preserve"> approach are highlighted:</w:t>
      </w:r>
    </w:p>
    <w:p w14:paraId="407603B8" w14:textId="77777777" w:rsidR="00592C29" w:rsidRPr="003771B5" w:rsidRDefault="0048296D">
      <w:pPr>
        <w:numPr>
          <w:ilvl w:val="0"/>
          <w:numId w:val="39"/>
        </w:numPr>
        <w:pBdr>
          <w:left w:val="none" w:sz="0" w:space="7" w:color="auto"/>
        </w:pBdr>
        <w:ind w:left="1080" w:hanging="430"/>
        <w:jc w:val="both"/>
        <w:rPr>
          <w:color w:val="0070C0"/>
          <w:sz w:val="22"/>
          <w:szCs w:val="22"/>
        </w:rPr>
      </w:pPr>
      <w:r>
        <w:rPr>
          <w:rFonts w:ascii="Trebuchet MS" w:eastAsia="Trebuchet MS" w:hAnsi="Trebuchet MS" w:cs="Trebuchet MS"/>
          <w:color w:val="000000"/>
          <w:sz w:val="22"/>
          <w:szCs w:val="22"/>
        </w:rPr>
        <w:t>Split Premium</w:t>
      </w:r>
    </w:p>
    <w:p w14:paraId="0A798FAD" w14:textId="77777777" w:rsidR="00592C29" w:rsidRPr="003771B5" w:rsidRDefault="0048296D">
      <w:pPr>
        <w:numPr>
          <w:ilvl w:val="0"/>
          <w:numId w:val="39"/>
        </w:numPr>
        <w:pBdr>
          <w:left w:val="none" w:sz="0" w:space="7" w:color="auto"/>
        </w:pBdr>
        <w:ind w:left="1080" w:hanging="430"/>
        <w:jc w:val="both"/>
        <w:rPr>
          <w:color w:val="0070C0"/>
          <w:sz w:val="22"/>
          <w:szCs w:val="22"/>
        </w:rPr>
      </w:pPr>
      <w:r>
        <w:rPr>
          <w:rFonts w:ascii="Trebuchet MS" w:eastAsia="Trebuchet MS" w:hAnsi="Trebuchet MS" w:cs="Trebuchet MS"/>
          <w:color w:val="000000"/>
          <w:sz w:val="22"/>
          <w:szCs w:val="22"/>
        </w:rPr>
        <w:t>Sections</w:t>
      </w:r>
    </w:p>
    <w:p w14:paraId="356E9EC9" w14:textId="77777777" w:rsidR="003771B5" w:rsidRDefault="003771B5">
      <w:pPr>
        <w:spacing w:after="200" w:line="276" w:lineRule="auto"/>
        <w:jc w:val="both"/>
        <w:rPr>
          <w:rFonts w:ascii="Trebuchet MS" w:eastAsia="Trebuchet MS" w:hAnsi="Trebuchet MS" w:cs="Trebuchet MS"/>
          <w:sz w:val="22"/>
          <w:szCs w:val="22"/>
        </w:rPr>
      </w:pPr>
    </w:p>
    <w:p w14:paraId="5C0852C8" w14:textId="57460D07" w:rsidR="00592C29" w:rsidRDefault="0048296D">
      <w:pPr>
        <w:spacing w:after="200" w:line="276" w:lineRule="auto"/>
        <w:jc w:val="both"/>
        <w:rPr>
          <w:sz w:val="22"/>
          <w:szCs w:val="22"/>
        </w:rPr>
      </w:pPr>
      <w:r>
        <w:rPr>
          <w:rFonts w:ascii="Trebuchet MS" w:eastAsia="Trebuchet MS" w:hAnsi="Trebuchet MS" w:cs="Trebuchet MS"/>
          <w:sz w:val="22"/>
          <w:szCs w:val="22"/>
        </w:rPr>
        <w:t>Separate MRCs are not shown but the territorial splits will still need to be identified and Interlocking language added to the two MRCs</w:t>
      </w:r>
    </w:p>
    <w:p w14:paraId="36BBD4A2" w14:textId="77777777" w:rsidR="00B92BB2" w:rsidRDefault="0048296D">
      <w:pPr>
        <w:spacing w:after="200" w:line="276" w:lineRule="auto"/>
        <w:jc w:val="both"/>
        <w:rPr>
          <w:rFonts w:ascii="Trebuchet MS" w:eastAsia="Trebuchet MS" w:hAnsi="Trebuchet MS" w:cs="Trebuchet MS"/>
          <w:sz w:val="22"/>
          <w:szCs w:val="22"/>
        </w:rPr>
      </w:pPr>
      <w:r>
        <w:rPr>
          <w:rFonts w:ascii="Trebuchet MS" w:eastAsia="Trebuchet MS" w:hAnsi="Trebuchet MS" w:cs="Trebuchet MS"/>
          <w:sz w:val="22"/>
          <w:szCs w:val="22"/>
        </w:rPr>
        <w:t xml:space="preserve">Whilst the examples are for direct property risks, the same principles would apply to reinsurance risks. </w:t>
      </w:r>
    </w:p>
    <w:p w14:paraId="6B6DB47A" w14:textId="5C8D607F" w:rsidR="00592C29" w:rsidRDefault="0048296D">
      <w:pPr>
        <w:spacing w:after="200" w:line="276" w:lineRule="auto"/>
        <w:jc w:val="both"/>
        <w:rPr>
          <w:sz w:val="22"/>
          <w:szCs w:val="22"/>
        </w:rPr>
      </w:pPr>
      <w:r>
        <w:rPr>
          <w:rFonts w:ascii="Trebuchet MS" w:eastAsia="Trebuchet MS" w:hAnsi="Trebuchet MS" w:cs="Trebuchet MS"/>
          <w:sz w:val="22"/>
          <w:szCs w:val="22"/>
        </w:rPr>
        <w:t>Reference should be made to the MRC Data Dictionary v.</w:t>
      </w:r>
      <w:r w:rsidR="003771B5">
        <w:rPr>
          <w:rFonts w:ascii="Trebuchet MS" w:eastAsia="Trebuchet MS" w:hAnsi="Trebuchet MS" w:cs="Trebuchet MS"/>
          <w:sz w:val="22"/>
          <w:szCs w:val="22"/>
        </w:rPr>
        <w:t>2.0</w:t>
      </w:r>
      <w:r>
        <w:rPr>
          <w:rFonts w:ascii="Trebuchet MS" w:eastAsia="Trebuchet MS" w:hAnsi="Trebuchet MS" w:cs="Trebuchet MS"/>
          <w:sz w:val="22"/>
          <w:szCs w:val="22"/>
        </w:rPr>
        <w:t xml:space="preserve"> (</w:t>
      </w:r>
      <w:r w:rsidR="003771B5">
        <w:rPr>
          <w:rFonts w:ascii="Trebuchet MS" w:eastAsia="Trebuchet MS" w:hAnsi="Trebuchet MS" w:cs="Trebuchet MS"/>
          <w:sz w:val="22"/>
          <w:szCs w:val="22"/>
        </w:rPr>
        <w:t>February 2020</w:t>
      </w:r>
      <w:r>
        <w:rPr>
          <w:rFonts w:ascii="Trebuchet MS" w:eastAsia="Trebuchet MS" w:hAnsi="Trebuchet MS" w:cs="Trebuchet MS"/>
          <w:sz w:val="22"/>
          <w:szCs w:val="22"/>
        </w:rPr>
        <w:t xml:space="preserve">) for permissible name variations for the MRC headings. </w:t>
      </w:r>
    </w:p>
    <w:p w14:paraId="047AC6B4" w14:textId="77777777" w:rsidR="00592C29" w:rsidRDefault="0048296D">
      <w:pPr>
        <w:spacing w:after="200" w:line="276" w:lineRule="auto"/>
        <w:jc w:val="both"/>
        <w:rPr>
          <w:sz w:val="22"/>
          <w:szCs w:val="22"/>
        </w:rPr>
      </w:pPr>
      <w:r>
        <w:rPr>
          <w:rFonts w:ascii="Trebuchet MS" w:eastAsia="Trebuchet MS" w:hAnsi="Trebuchet MS" w:cs="Trebuchet MS"/>
          <w:sz w:val="22"/>
          <w:szCs w:val="22"/>
        </w:rPr>
        <w:t>These examples are provided to illustrate the general usage of MRC headings. The clauses contained therein are not necessarily compliant with legislation in all locations and should not be used as a model for compliance with all overseas regulatory requirements.</w:t>
      </w:r>
    </w:p>
    <w:p w14:paraId="752589EE" w14:textId="77777777" w:rsidR="00592C29" w:rsidRDefault="00592C29">
      <w:pPr>
        <w:spacing w:after="200" w:line="276" w:lineRule="auto"/>
        <w:rPr>
          <w:sz w:val="22"/>
          <w:szCs w:val="22"/>
        </w:rPr>
      </w:pPr>
    </w:p>
    <w:p w14:paraId="3C29658C" w14:textId="77777777" w:rsidR="00592C29" w:rsidRDefault="0048296D">
      <w:pPr>
        <w:spacing w:after="200" w:line="276" w:lineRule="auto"/>
        <w:rPr>
          <w:sz w:val="22"/>
          <w:szCs w:val="22"/>
        </w:rPr>
      </w:pPr>
      <w:r>
        <w:rPr>
          <w:rFonts w:ascii="Trebuchet MS" w:eastAsia="Trebuchet MS" w:hAnsi="Trebuchet MS" w:cs="Trebuchet MS"/>
          <w:b/>
          <w:bCs/>
          <w:i/>
          <w:iCs/>
          <w:sz w:val="22"/>
          <w:szCs w:val="22"/>
        </w:rPr>
        <w:t>Items in italics are for information only and should not be shown in a real contract</w:t>
      </w:r>
    </w:p>
    <w:p w14:paraId="2481E41D" w14:textId="77777777" w:rsidR="00592C29" w:rsidRDefault="00592C29">
      <w:pPr>
        <w:spacing w:after="200" w:line="276" w:lineRule="auto"/>
        <w:rPr>
          <w:sz w:val="22"/>
          <w:szCs w:val="22"/>
        </w:rPr>
      </w:pPr>
    </w:p>
    <w:p w14:paraId="2618EE8D" w14:textId="77777777" w:rsidR="00592C29" w:rsidRDefault="0048296D">
      <w:pPr>
        <w:spacing w:after="200" w:line="276" w:lineRule="auto"/>
        <w:rPr>
          <w:sz w:val="72"/>
          <w:szCs w:val="72"/>
        </w:rPr>
      </w:pPr>
      <w:r>
        <w:rPr>
          <w:sz w:val="72"/>
          <w:szCs w:val="72"/>
        </w:rPr>
        <w:br w:type="page"/>
      </w:r>
    </w:p>
    <w:p w14:paraId="25844BAD" w14:textId="77777777" w:rsidR="00592C29" w:rsidRDefault="0048296D">
      <w:pPr>
        <w:spacing w:after="200" w:line="276" w:lineRule="auto"/>
        <w:rPr>
          <w:sz w:val="72"/>
          <w:szCs w:val="72"/>
        </w:rPr>
      </w:pPr>
      <w:r>
        <w:rPr>
          <w:rFonts w:ascii="Trebuchet MS" w:eastAsia="Trebuchet MS" w:hAnsi="Trebuchet MS" w:cs="Trebuchet MS"/>
          <w:b/>
          <w:bCs/>
          <w:sz w:val="72"/>
          <w:szCs w:val="72"/>
        </w:rPr>
        <w:lastRenderedPageBreak/>
        <w:t>Premium Split Approach</w:t>
      </w:r>
    </w:p>
    <w:p w14:paraId="49F9BAFF" w14:textId="77777777" w:rsidR="00592C29" w:rsidRDefault="00592C29">
      <w:pPr>
        <w:spacing w:after="200" w:line="276" w:lineRule="auto"/>
        <w:rPr>
          <w:sz w:val="22"/>
          <w:szCs w:val="22"/>
        </w:rPr>
      </w:pPr>
    </w:p>
    <w:tbl>
      <w:tblPr>
        <w:tblW w:w="9747" w:type="dxa"/>
        <w:tblInd w:w="113" w:type="dxa"/>
        <w:tblCellMar>
          <w:left w:w="0" w:type="dxa"/>
          <w:right w:w="0" w:type="dxa"/>
        </w:tblCellMar>
        <w:tblLook w:val="04A0" w:firstRow="1" w:lastRow="0" w:firstColumn="1" w:lastColumn="0" w:noHBand="0" w:noVBand="1"/>
      </w:tblPr>
      <w:tblGrid>
        <w:gridCol w:w="2376"/>
        <w:gridCol w:w="7371"/>
      </w:tblGrid>
      <w:tr w:rsidR="00592C29" w14:paraId="258BF681" w14:textId="77777777">
        <w:tc>
          <w:tcPr>
            <w:tcW w:w="9747" w:type="dxa"/>
            <w:gridSpan w:val="2"/>
            <w:tcMar>
              <w:top w:w="5" w:type="dxa"/>
              <w:left w:w="113" w:type="dxa"/>
              <w:bottom w:w="5" w:type="dxa"/>
              <w:right w:w="113" w:type="dxa"/>
            </w:tcMar>
            <w:hideMark/>
          </w:tcPr>
          <w:p w14:paraId="0C879BBC" w14:textId="77777777" w:rsidR="00592C29" w:rsidRDefault="0048296D">
            <w:pPr>
              <w:spacing w:after="200" w:line="276" w:lineRule="auto"/>
              <w:rPr>
                <w:color w:val="000000"/>
                <w:sz w:val="40"/>
                <w:szCs w:val="40"/>
              </w:rPr>
            </w:pPr>
            <w:r>
              <w:rPr>
                <w:rFonts w:ascii="Trebuchet MS" w:eastAsia="Trebuchet MS" w:hAnsi="Trebuchet MS" w:cs="Trebuchet MS"/>
                <w:b/>
                <w:bCs/>
                <w:color w:val="000000"/>
                <w:sz w:val="40"/>
                <w:szCs w:val="40"/>
              </w:rPr>
              <w:t>Risk Details:</w:t>
            </w:r>
          </w:p>
          <w:p w14:paraId="496E3FA2" w14:textId="65AB57F8" w:rsidR="00B92BB2" w:rsidRDefault="00B92BB2" w:rsidP="00B92BB2">
            <w:pPr>
              <w:spacing w:after="200" w:line="276" w:lineRule="auto"/>
              <w:rPr>
                <w:color w:val="000000"/>
                <w:sz w:val="22"/>
                <w:szCs w:val="22"/>
              </w:rPr>
            </w:pPr>
          </w:p>
        </w:tc>
      </w:tr>
      <w:tr w:rsidR="00592C29" w14:paraId="3A4EF734" w14:textId="77777777">
        <w:tc>
          <w:tcPr>
            <w:tcW w:w="2376" w:type="dxa"/>
            <w:tcMar>
              <w:top w:w="5" w:type="dxa"/>
              <w:left w:w="113" w:type="dxa"/>
              <w:bottom w:w="5" w:type="dxa"/>
              <w:right w:w="113" w:type="dxa"/>
            </w:tcMar>
            <w:hideMark/>
          </w:tcPr>
          <w:p w14:paraId="057C85BD" w14:textId="77777777" w:rsidR="00592C29" w:rsidRDefault="0048296D" w:rsidP="00B92BB2">
            <w:pPr>
              <w:spacing w:line="276" w:lineRule="auto"/>
              <w:ind w:left="1980" w:hanging="1980"/>
              <w:rPr>
                <w:color w:val="000000"/>
                <w:sz w:val="22"/>
                <w:szCs w:val="22"/>
              </w:rPr>
            </w:pPr>
            <w:r>
              <w:rPr>
                <w:rFonts w:ascii="Trebuchet MS" w:eastAsia="Trebuchet MS" w:hAnsi="Trebuchet MS" w:cs="Trebuchet MS"/>
                <w:b/>
                <w:bCs/>
                <w:color w:val="000000"/>
                <w:sz w:val="22"/>
                <w:szCs w:val="22"/>
              </w:rPr>
              <w:t>UNIQUE MARKET</w:t>
            </w:r>
          </w:p>
          <w:p w14:paraId="15235318" w14:textId="77777777" w:rsidR="00592C29" w:rsidRDefault="0048296D" w:rsidP="00B92BB2">
            <w:pPr>
              <w:spacing w:line="276" w:lineRule="auto"/>
              <w:rPr>
                <w:color w:val="000000"/>
                <w:sz w:val="22"/>
                <w:szCs w:val="22"/>
              </w:rPr>
            </w:pPr>
            <w:r>
              <w:rPr>
                <w:rFonts w:ascii="Trebuchet MS" w:eastAsia="Trebuchet MS" w:hAnsi="Trebuchet MS" w:cs="Trebuchet MS"/>
                <w:b/>
                <w:bCs/>
                <w:color w:val="000000"/>
                <w:sz w:val="22"/>
                <w:szCs w:val="22"/>
              </w:rPr>
              <w:t>REFERENCE :</w:t>
            </w:r>
          </w:p>
        </w:tc>
        <w:tc>
          <w:tcPr>
            <w:tcW w:w="7371" w:type="dxa"/>
            <w:tcMar>
              <w:top w:w="5" w:type="dxa"/>
              <w:left w:w="113" w:type="dxa"/>
              <w:bottom w:w="5" w:type="dxa"/>
              <w:right w:w="113" w:type="dxa"/>
            </w:tcMar>
            <w:hideMark/>
          </w:tcPr>
          <w:p w14:paraId="7DBB5890" w14:textId="77777777" w:rsidR="00B92BB2" w:rsidRDefault="00B92BB2" w:rsidP="00B92BB2">
            <w:pPr>
              <w:spacing w:line="276" w:lineRule="auto"/>
              <w:rPr>
                <w:rFonts w:ascii="Trebuchet MS" w:eastAsia="Trebuchet MS" w:hAnsi="Trebuchet MS" w:cs="Trebuchet MS"/>
                <w:color w:val="000000"/>
                <w:sz w:val="22"/>
                <w:szCs w:val="22"/>
              </w:rPr>
            </w:pPr>
          </w:p>
          <w:p w14:paraId="07377260" w14:textId="40E3C9A3" w:rsidR="00592C29" w:rsidRDefault="0048296D" w:rsidP="00B92BB2">
            <w:pPr>
              <w:spacing w:line="276" w:lineRule="auto"/>
              <w:rPr>
                <w:color w:val="000000"/>
                <w:sz w:val="22"/>
                <w:szCs w:val="22"/>
              </w:rPr>
            </w:pPr>
            <w:r>
              <w:rPr>
                <w:rFonts w:ascii="Trebuchet MS" w:eastAsia="Trebuchet MS" w:hAnsi="Trebuchet MS" w:cs="Trebuchet MS"/>
                <w:color w:val="000000"/>
                <w:sz w:val="22"/>
                <w:szCs w:val="22"/>
              </w:rPr>
              <w:t>B0999ABC123456789</w:t>
            </w:r>
          </w:p>
          <w:p w14:paraId="7230197E" w14:textId="77777777" w:rsidR="00592C29" w:rsidRDefault="00592C29">
            <w:pPr>
              <w:spacing w:after="200" w:line="276" w:lineRule="auto"/>
              <w:rPr>
                <w:color w:val="000000"/>
                <w:sz w:val="22"/>
                <w:szCs w:val="22"/>
              </w:rPr>
            </w:pPr>
          </w:p>
        </w:tc>
      </w:tr>
      <w:tr w:rsidR="00592C29" w14:paraId="17A92235" w14:textId="77777777">
        <w:tc>
          <w:tcPr>
            <w:tcW w:w="2376" w:type="dxa"/>
            <w:tcMar>
              <w:top w:w="5" w:type="dxa"/>
              <w:left w:w="113" w:type="dxa"/>
              <w:bottom w:w="5" w:type="dxa"/>
              <w:right w:w="113" w:type="dxa"/>
            </w:tcMar>
            <w:hideMark/>
          </w:tcPr>
          <w:p w14:paraId="026E4642" w14:textId="77777777" w:rsidR="00592C29" w:rsidRDefault="0048296D">
            <w:pPr>
              <w:spacing w:after="200" w:line="276" w:lineRule="auto"/>
              <w:rPr>
                <w:color w:val="000000"/>
                <w:sz w:val="22"/>
                <w:szCs w:val="22"/>
              </w:rPr>
            </w:pPr>
            <w:r>
              <w:rPr>
                <w:rFonts w:ascii="Trebuchet MS" w:eastAsia="Trebuchet MS" w:hAnsi="Trebuchet MS" w:cs="Trebuchet MS"/>
                <w:b/>
                <w:bCs/>
                <w:color w:val="000000"/>
                <w:sz w:val="22"/>
                <w:szCs w:val="22"/>
              </w:rPr>
              <w:t>TYPE:</w:t>
            </w:r>
          </w:p>
        </w:tc>
        <w:tc>
          <w:tcPr>
            <w:tcW w:w="7371" w:type="dxa"/>
            <w:tcMar>
              <w:top w:w="5" w:type="dxa"/>
              <w:left w:w="113" w:type="dxa"/>
              <w:bottom w:w="5" w:type="dxa"/>
              <w:right w:w="113" w:type="dxa"/>
            </w:tcMar>
            <w:hideMark/>
          </w:tcPr>
          <w:p w14:paraId="592B22E0" w14:textId="5C2899D9" w:rsidR="00592C29" w:rsidRDefault="0048296D" w:rsidP="00B92BB2">
            <w:pPr>
              <w:spacing w:after="120" w:line="276" w:lineRule="auto"/>
              <w:rPr>
                <w:color w:val="000000"/>
                <w:sz w:val="22"/>
                <w:szCs w:val="22"/>
              </w:rPr>
            </w:pPr>
            <w:r>
              <w:rPr>
                <w:rFonts w:ascii="Trebuchet MS" w:eastAsia="Trebuchet MS" w:hAnsi="Trebuchet MS" w:cs="Trebuchet MS"/>
                <w:color w:val="000000"/>
                <w:sz w:val="22"/>
                <w:szCs w:val="22"/>
              </w:rPr>
              <w:t>All Risks of Direct Physical Loss or Damage including Boiler Explosion and Machinery Breakdown insurance.</w:t>
            </w:r>
          </w:p>
          <w:p w14:paraId="66E5C450" w14:textId="77777777" w:rsidR="00592C29" w:rsidRDefault="00592C29" w:rsidP="00B92BB2">
            <w:pPr>
              <w:spacing w:after="120" w:line="276" w:lineRule="auto"/>
              <w:rPr>
                <w:color w:val="000000"/>
                <w:sz w:val="22"/>
                <w:szCs w:val="22"/>
              </w:rPr>
            </w:pPr>
          </w:p>
        </w:tc>
      </w:tr>
      <w:tr w:rsidR="00592C29" w14:paraId="6D19F8C3" w14:textId="77777777">
        <w:tc>
          <w:tcPr>
            <w:tcW w:w="2376" w:type="dxa"/>
            <w:tcMar>
              <w:top w:w="5" w:type="dxa"/>
              <w:left w:w="113" w:type="dxa"/>
              <w:bottom w:w="5" w:type="dxa"/>
              <w:right w:w="113" w:type="dxa"/>
            </w:tcMar>
            <w:hideMark/>
          </w:tcPr>
          <w:p w14:paraId="4E92095E" w14:textId="77777777" w:rsidR="00592C29" w:rsidRDefault="0048296D">
            <w:pPr>
              <w:spacing w:after="200" w:line="276" w:lineRule="auto"/>
              <w:rPr>
                <w:color w:val="000000"/>
                <w:sz w:val="22"/>
                <w:szCs w:val="22"/>
              </w:rPr>
            </w:pPr>
            <w:r>
              <w:rPr>
                <w:rFonts w:ascii="Trebuchet MS" w:eastAsia="Trebuchet MS" w:hAnsi="Trebuchet MS" w:cs="Trebuchet MS"/>
                <w:b/>
                <w:bCs/>
                <w:color w:val="000000"/>
                <w:sz w:val="22"/>
                <w:szCs w:val="22"/>
              </w:rPr>
              <w:t>INSURED:</w:t>
            </w:r>
          </w:p>
        </w:tc>
        <w:tc>
          <w:tcPr>
            <w:tcW w:w="7371" w:type="dxa"/>
            <w:tcMar>
              <w:top w:w="5" w:type="dxa"/>
              <w:left w:w="113" w:type="dxa"/>
              <w:bottom w:w="5" w:type="dxa"/>
              <w:right w:w="113" w:type="dxa"/>
            </w:tcMar>
            <w:hideMark/>
          </w:tcPr>
          <w:p w14:paraId="537E4B3E" w14:textId="77777777" w:rsidR="00592C29" w:rsidRDefault="0048296D" w:rsidP="00B92BB2">
            <w:pPr>
              <w:spacing w:after="120" w:line="276" w:lineRule="auto"/>
              <w:rPr>
                <w:color w:val="000000"/>
                <w:sz w:val="22"/>
                <w:szCs w:val="22"/>
              </w:rPr>
            </w:pPr>
            <w:r>
              <w:rPr>
                <w:rFonts w:ascii="Trebuchet MS" w:eastAsia="Trebuchet MS" w:hAnsi="Trebuchet MS" w:cs="Trebuchet MS"/>
                <w:color w:val="000000"/>
                <w:sz w:val="22"/>
                <w:szCs w:val="22"/>
              </w:rPr>
              <w:t>XXXX England Plc.</w:t>
            </w:r>
          </w:p>
          <w:p w14:paraId="7A7ECA0B" w14:textId="77777777" w:rsidR="00592C29" w:rsidRDefault="00592C29">
            <w:pPr>
              <w:spacing w:after="200" w:line="276" w:lineRule="auto"/>
              <w:rPr>
                <w:color w:val="000000"/>
                <w:sz w:val="22"/>
                <w:szCs w:val="22"/>
              </w:rPr>
            </w:pPr>
          </w:p>
        </w:tc>
      </w:tr>
      <w:tr w:rsidR="00592C29" w14:paraId="2FE6F16B" w14:textId="77777777">
        <w:tc>
          <w:tcPr>
            <w:tcW w:w="2376" w:type="dxa"/>
            <w:tcMar>
              <w:top w:w="5" w:type="dxa"/>
              <w:left w:w="113" w:type="dxa"/>
              <w:bottom w:w="5" w:type="dxa"/>
              <w:right w:w="113" w:type="dxa"/>
            </w:tcMar>
            <w:hideMark/>
          </w:tcPr>
          <w:p w14:paraId="186938EB" w14:textId="77777777" w:rsidR="00592C29" w:rsidRDefault="0048296D">
            <w:pPr>
              <w:spacing w:after="200" w:line="276" w:lineRule="auto"/>
              <w:rPr>
                <w:color w:val="000000"/>
                <w:sz w:val="22"/>
                <w:szCs w:val="22"/>
              </w:rPr>
            </w:pPr>
            <w:r>
              <w:rPr>
                <w:rFonts w:ascii="Trebuchet MS" w:eastAsia="Trebuchet MS" w:hAnsi="Trebuchet MS" w:cs="Trebuchet MS"/>
                <w:b/>
                <w:bCs/>
                <w:color w:val="000000"/>
                <w:sz w:val="22"/>
                <w:szCs w:val="22"/>
              </w:rPr>
              <w:t>ADDRESS:</w:t>
            </w:r>
          </w:p>
        </w:tc>
        <w:tc>
          <w:tcPr>
            <w:tcW w:w="7371" w:type="dxa"/>
            <w:tcMar>
              <w:top w:w="5" w:type="dxa"/>
              <w:left w:w="113" w:type="dxa"/>
              <w:bottom w:w="5" w:type="dxa"/>
              <w:right w:w="113" w:type="dxa"/>
            </w:tcMar>
            <w:hideMark/>
          </w:tcPr>
          <w:p w14:paraId="17B94E63" w14:textId="77777777" w:rsidR="00592C29" w:rsidRDefault="0048296D" w:rsidP="00B92BB2">
            <w:pPr>
              <w:widowControl w:val="0"/>
              <w:spacing w:after="120" w:line="276" w:lineRule="auto"/>
              <w:rPr>
                <w:color w:val="000000"/>
                <w:sz w:val="22"/>
                <w:szCs w:val="22"/>
              </w:rPr>
            </w:pPr>
            <w:r>
              <w:rPr>
                <w:rFonts w:ascii="Trebuchet MS" w:eastAsia="Trebuchet MS" w:hAnsi="Trebuchet MS" w:cs="Trebuchet MS"/>
                <w:color w:val="000000"/>
                <w:sz w:val="22"/>
                <w:szCs w:val="22"/>
              </w:rPr>
              <w:t>Number 1, Big Boulevard, Milton Keynes, UK</w:t>
            </w:r>
          </w:p>
          <w:p w14:paraId="3B00FC97" w14:textId="77777777" w:rsidR="00592C29" w:rsidRDefault="00592C29" w:rsidP="00B92BB2">
            <w:pPr>
              <w:widowControl w:val="0"/>
              <w:spacing w:after="120" w:line="276" w:lineRule="auto"/>
              <w:rPr>
                <w:color w:val="000000"/>
                <w:sz w:val="22"/>
                <w:szCs w:val="22"/>
              </w:rPr>
            </w:pPr>
          </w:p>
        </w:tc>
      </w:tr>
      <w:tr w:rsidR="00592C29" w14:paraId="564B03A2" w14:textId="77777777">
        <w:tc>
          <w:tcPr>
            <w:tcW w:w="2376" w:type="dxa"/>
            <w:tcMar>
              <w:top w:w="5" w:type="dxa"/>
              <w:left w:w="113" w:type="dxa"/>
              <w:bottom w:w="5" w:type="dxa"/>
              <w:right w:w="113" w:type="dxa"/>
            </w:tcMar>
            <w:hideMark/>
          </w:tcPr>
          <w:p w14:paraId="49C85110" w14:textId="77777777" w:rsidR="00592C29" w:rsidRDefault="0048296D">
            <w:pPr>
              <w:spacing w:after="200" w:line="276" w:lineRule="auto"/>
              <w:rPr>
                <w:color w:val="000000"/>
                <w:sz w:val="22"/>
                <w:szCs w:val="22"/>
              </w:rPr>
            </w:pPr>
            <w:r>
              <w:rPr>
                <w:rFonts w:ascii="Trebuchet MS" w:eastAsia="Trebuchet MS" w:hAnsi="Trebuchet MS" w:cs="Trebuchet MS"/>
                <w:b/>
                <w:bCs/>
                <w:color w:val="000000"/>
                <w:sz w:val="22"/>
                <w:szCs w:val="22"/>
              </w:rPr>
              <w:t>PERIOD:</w:t>
            </w:r>
          </w:p>
        </w:tc>
        <w:tc>
          <w:tcPr>
            <w:tcW w:w="7371" w:type="dxa"/>
            <w:tcMar>
              <w:top w:w="5" w:type="dxa"/>
              <w:left w:w="113" w:type="dxa"/>
              <w:bottom w:w="5" w:type="dxa"/>
              <w:right w:w="113" w:type="dxa"/>
            </w:tcMar>
            <w:hideMark/>
          </w:tcPr>
          <w:p w14:paraId="24DABFAF" w14:textId="77777777" w:rsidR="00592C29" w:rsidRDefault="0048296D" w:rsidP="00B92BB2">
            <w:pPr>
              <w:tabs>
                <w:tab w:val="left" w:pos="1980"/>
              </w:tabs>
              <w:spacing w:after="120" w:line="276" w:lineRule="auto"/>
              <w:ind w:left="3969" w:hanging="3969"/>
              <w:rPr>
                <w:color w:val="000000"/>
                <w:sz w:val="22"/>
                <w:szCs w:val="22"/>
              </w:rPr>
            </w:pPr>
            <w:r>
              <w:rPr>
                <w:rFonts w:ascii="Trebuchet MS" w:eastAsia="Trebuchet MS" w:hAnsi="Trebuchet MS" w:cs="Trebuchet MS"/>
                <w:color w:val="000000"/>
                <w:sz w:val="22"/>
                <w:szCs w:val="22"/>
              </w:rPr>
              <w:t xml:space="preserve">Effective from: </w:t>
            </w:r>
            <w:r>
              <w:rPr>
                <w:rFonts w:ascii="Trebuchet MS" w:eastAsia="Trebuchet MS" w:hAnsi="Trebuchet MS" w:cs="Trebuchet MS"/>
                <w:color w:val="000000"/>
                <w:sz w:val="22"/>
                <w:szCs w:val="22"/>
              </w:rPr>
              <w:tab/>
              <w:t xml:space="preserve">1 January YYYY at 12:01pm GMT </w:t>
            </w:r>
          </w:p>
          <w:p w14:paraId="34737739" w14:textId="33E0C864" w:rsidR="00592C29" w:rsidRDefault="0048296D" w:rsidP="00B92BB2">
            <w:pPr>
              <w:tabs>
                <w:tab w:val="left" w:pos="1980"/>
              </w:tabs>
              <w:spacing w:after="120" w:line="276" w:lineRule="auto"/>
              <w:ind w:left="3969" w:hanging="3969"/>
              <w:rPr>
                <w:color w:val="000000"/>
                <w:sz w:val="22"/>
                <w:szCs w:val="22"/>
              </w:rPr>
            </w:pPr>
            <w:r>
              <w:rPr>
                <w:rFonts w:ascii="Trebuchet MS" w:eastAsia="Trebuchet MS" w:hAnsi="Trebuchet MS" w:cs="Trebuchet MS"/>
                <w:color w:val="000000"/>
                <w:sz w:val="22"/>
                <w:szCs w:val="22"/>
              </w:rPr>
              <w:t xml:space="preserve">To: </w:t>
            </w:r>
            <w:r>
              <w:rPr>
                <w:rFonts w:ascii="Trebuchet MS" w:eastAsia="Trebuchet MS" w:hAnsi="Trebuchet MS" w:cs="Trebuchet MS"/>
                <w:color w:val="000000"/>
                <w:sz w:val="22"/>
                <w:szCs w:val="22"/>
              </w:rPr>
              <w:tab/>
              <w:t>1 January YYYY at 12:01pm GMT</w:t>
            </w:r>
          </w:p>
          <w:p w14:paraId="4CB1A670" w14:textId="77777777" w:rsidR="00592C29" w:rsidRDefault="00592C29">
            <w:pPr>
              <w:spacing w:after="200" w:line="276" w:lineRule="auto"/>
              <w:ind w:left="3969" w:hanging="3969"/>
              <w:rPr>
                <w:color w:val="000000"/>
                <w:sz w:val="22"/>
                <w:szCs w:val="22"/>
              </w:rPr>
            </w:pPr>
          </w:p>
        </w:tc>
      </w:tr>
      <w:tr w:rsidR="00592C29" w14:paraId="29B3F34E" w14:textId="77777777">
        <w:tc>
          <w:tcPr>
            <w:tcW w:w="2376" w:type="dxa"/>
            <w:tcMar>
              <w:top w:w="5" w:type="dxa"/>
              <w:left w:w="113" w:type="dxa"/>
              <w:bottom w:w="5" w:type="dxa"/>
              <w:right w:w="113" w:type="dxa"/>
            </w:tcMar>
            <w:hideMark/>
          </w:tcPr>
          <w:p w14:paraId="16D73BBD" w14:textId="77777777" w:rsidR="00592C29" w:rsidRDefault="0048296D">
            <w:pPr>
              <w:spacing w:after="200" w:line="276" w:lineRule="auto"/>
              <w:rPr>
                <w:color w:val="000000"/>
                <w:sz w:val="22"/>
                <w:szCs w:val="22"/>
              </w:rPr>
            </w:pPr>
            <w:r>
              <w:rPr>
                <w:rFonts w:ascii="Trebuchet MS" w:eastAsia="Trebuchet MS" w:hAnsi="Trebuchet MS" w:cs="Trebuchet MS"/>
                <w:b/>
                <w:bCs/>
                <w:color w:val="000000"/>
                <w:sz w:val="22"/>
                <w:szCs w:val="22"/>
              </w:rPr>
              <w:t>INTEREST:</w:t>
            </w:r>
          </w:p>
        </w:tc>
        <w:tc>
          <w:tcPr>
            <w:tcW w:w="7371" w:type="dxa"/>
            <w:tcMar>
              <w:top w:w="5" w:type="dxa"/>
              <w:left w:w="113" w:type="dxa"/>
              <w:bottom w:w="5" w:type="dxa"/>
              <w:right w:w="113" w:type="dxa"/>
            </w:tcMar>
            <w:hideMark/>
          </w:tcPr>
          <w:p w14:paraId="5A1B8BFD" w14:textId="77777777" w:rsidR="00592C29" w:rsidRDefault="0048296D" w:rsidP="00B92BB2">
            <w:pPr>
              <w:spacing w:after="120" w:line="276" w:lineRule="auto"/>
              <w:rPr>
                <w:color w:val="000000"/>
                <w:sz w:val="22"/>
                <w:szCs w:val="22"/>
              </w:rPr>
            </w:pPr>
            <w:r>
              <w:rPr>
                <w:rFonts w:ascii="Trebuchet MS" w:eastAsia="Trebuchet MS" w:hAnsi="Trebuchet MS" w:cs="Trebuchet MS"/>
                <w:color w:val="000000"/>
                <w:sz w:val="22"/>
                <w:szCs w:val="22"/>
              </w:rPr>
              <w:t>Real and Personal Property at the offices of the insured in the UK, Austria, New Zealand and Spain, including the additional coverages defined below:</w:t>
            </w:r>
          </w:p>
          <w:p w14:paraId="6DD649F1" w14:textId="77777777" w:rsidR="00592C29" w:rsidRDefault="00592C29" w:rsidP="00B92BB2">
            <w:pPr>
              <w:spacing w:line="276" w:lineRule="auto"/>
              <w:rPr>
                <w:color w:val="000000"/>
                <w:sz w:val="22"/>
                <w:szCs w:val="22"/>
              </w:rPr>
            </w:pPr>
          </w:p>
          <w:p w14:paraId="50DF8502" w14:textId="77777777" w:rsidR="00592C29" w:rsidRDefault="0048296D" w:rsidP="00B92BB2">
            <w:pPr>
              <w:spacing w:after="120" w:line="276" w:lineRule="auto"/>
              <w:rPr>
                <w:color w:val="000000"/>
                <w:sz w:val="22"/>
                <w:szCs w:val="22"/>
              </w:rPr>
            </w:pPr>
            <w:r>
              <w:rPr>
                <w:rFonts w:ascii="Trebuchet MS" w:eastAsia="Trebuchet MS" w:hAnsi="Trebuchet MS" w:cs="Trebuchet MS"/>
                <w:color w:val="000000"/>
                <w:sz w:val="22"/>
                <w:szCs w:val="22"/>
              </w:rPr>
              <w:t xml:space="preserve">Personal Property of the Insured's Officials and Employees while on the Premises of the Insured </w:t>
            </w:r>
          </w:p>
          <w:p w14:paraId="29FE6B47" w14:textId="77777777" w:rsidR="00592C29" w:rsidRDefault="0048296D" w:rsidP="00B92BB2">
            <w:pPr>
              <w:spacing w:after="120" w:line="276" w:lineRule="auto"/>
              <w:rPr>
                <w:color w:val="000000"/>
                <w:sz w:val="22"/>
                <w:szCs w:val="22"/>
              </w:rPr>
            </w:pPr>
            <w:r>
              <w:rPr>
                <w:rFonts w:ascii="Trebuchet MS" w:eastAsia="Trebuchet MS" w:hAnsi="Trebuchet MS" w:cs="Trebuchet MS"/>
                <w:color w:val="000000"/>
                <w:sz w:val="22"/>
                <w:szCs w:val="22"/>
              </w:rPr>
              <w:t>Improvements and Betterments</w:t>
            </w:r>
          </w:p>
          <w:p w14:paraId="20665C8F" w14:textId="77777777" w:rsidR="00592C29" w:rsidRDefault="0048296D" w:rsidP="00B92BB2">
            <w:pPr>
              <w:spacing w:after="120" w:line="276" w:lineRule="auto"/>
              <w:rPr>
                <w:color w:val="000000"/>
                <w:sz w:val="22"/>
                <w:szCs w:val="22"/>
              </w:rPr>
            </w:pPr>
            <w:r>
              <w:rPr>
                <w:rFonts w:ascii="Trebuchet MS" w:eastAsia="Trebuchet MS" w:hAnsi="Trebuchet MS" w:cs="Trebuchet MS"/>
                <w:color w:val="000000"/>
                <w:sz w:val="22"/>
                <w:szCs w:val="22"/>
              </w:rPr>
              <w:t>Business Interruption (Net Profits and / or Fixed Charges)</w:t>
            </w:r>
          </w:p>
          <w:p w14:paraId="11F9A4A8" w14:textId="77777777" w:rsidR="00592C29" w:rsidRDefault="0048296D" w:rsidP="00B92BB2">
            <w:pPr>
              <w:spacing w:after="120" w:line="276" w:lineRule="auto"/>
              <w:rPr>
                <w:color w:val="000000"/>
                <w:sz w:val="22"/>
                <w:szCs w:val="22"/>
              </w:rPr>
            </w:pPr>
            <w:r>
              <w:rPr>
                <w:rFonts w:ascii="Trebuchet MS" w:eastAsia="Trebuchet MS" w:hAnsi="Trebuchet MS" w:cs="Trebuchet MS"/>
                <w:color w:val="000000"/>
                <w:sz w:val="22"/>
                <w:szCs w:val="22"/>
              </w:rPr>
              <w:t>Ordinary Payroll</w:t>
            </w:r>
          </w:p>
          <w:p w14:paraId="312E782E" w14:textId="77777777" w:rsidR="00592C29" w:rsidRDefault="0048296D" w:rsidP="00B92BB2">
            <w:pPr>
              <w:spacing w:after="120" w:line="276" w:lineRule="auto"/>
              <w:rPr>
                <w:color w:val="000000"/>
                <w:sz w:val="22"/>
                <w:szCs w:val="22"/>
              </w:rPr>
            </w:pPr>
            <w:r>
              <w:rPr>
                <w:rFonts w:ascii="Trebuchet MS" w:eastAsia="Trebuchet MS" w:hAnsi="Trebuchet MS" w:cs="Trebuchet MS"/>
                <w:color w:val="000000"/>
                <w:sz w:val="22"/>
                <w:szCs w:val="22"/>
              </w:rPr>
              <w:t>Rental Value / Rental Income</w:t>
            </w:r>
          </w:p>
          <w:p w14:paraId="5EC54A8F" w14:textId="77777777" w:rsidR="00592C29" w:rsidRDefault="0048296D" w:rsidP="00B92BB2">
            <w:pPr>
              <w:spacing w:after="120" w:line="276" w:lineRule="auto"/>
              <w:rPr>
                <w:color w:val="000000"/>
                <w:sz w:val="22"/>
                <w:szCs w:val="22"/>
              </w:rPr>
            </w:pPr>
            <w:r>
              <w:rPr>
                <w:rFonts w:ascii="Trebuchet MS" w:eastAsia="Trebuchet MS" w:hAnsi="Trebuchet MS" w:cs="Trebuchet MS"/>
                <w:color w:val="000000"/>
                <w:sz w:val="22"/>
                <w:szCs w:val="22"/>
              </w:rPr>
              <w:t>Electronic Data Processing Equipment and Machinery</w:t>
            </w:r>
          </w:p>
          <w:p w14:paraId="51CA4596" w14:textId="77777777" w:rsidR="00592C29" w:rsidRDefault="00592C29" w:rsidP="00B92BB2">
            <w:pPr>
              <w:spacing w:line="276" w:lineRule="auto"/>
              <w:rPr>
                <w:color w:val="000000"/>
                <w:sz w:val="22"/>
                <w:szCs w:val="22"/>
              </w:rPr>
            </w:pPr>
          </w:p>
          <w:p w14:paraId="6688D082" w14:textId="79D8FDB9" w:rsidR="00211D58" w:rsidRPr="00211D58" w:rsidRDefault="0048296D" w:rsidP="00B92BB2">
            <w:pPr>
              <w:spacing w:after="120" w:line="276" w:lineRule="auto"/>
              <w:rPr>
                <w:rFonts w:ascii="Trebuchet MS" w:eastAsia="Trebuchet MS" w:hAnsi="Trebuchet MS" w:cs="Trebuchet MS"/>
                <w:sz w:val="22"/>
                <w:szCs w:val="22"/>
              </w:rPr>
            </w:pPr>
            <w:r>
              <w:rPr>
                <w:rFonts w:ascii="Trebuchet MS" w:eastAsia="Trebuchet MS" w:hAnsi="Trebuchet MS" w:cs="Trebuchet MS"/>
                <w:color w:val="000000"/>
                <w:sz w:val="22"/>
                <w:szCs w:val="22"/>
              </w:rPr>
              <w:t>and</w:t>
            </w:r>
            <w:r>
              <w:rPr>
                <w:rFonts w:ascii="Trebuchet MS" w:eastAsia="Trebuchet MS" w:hAnsi="Trebuchet MS" w:cs="Trebuchet MS"/>
                <w:color w:val="FF0000"/>
                <w:sz w:val="22"/>
                <w:szCs w:val="22"/>
              </w:rPr>
              <w:t xml:space="preserve"> </w:t>
            </w:r>
            <w:r>
              <w:rPr>
                <w:rFonts w:ascii="Trebuchet MS" w:eastAsia="Trebuchet MS" w:hAnsi="Trebuchet MS" w:cs="Trebuchet MS"/>
                <w:color w:val="000000"/>
                <w:sz w:val="22"/>
                <w:szCs w:val="22"/>
              </w:rPr>
              <w:t>as fully defined in the contract wording and clauses referenced herein.</w:t>
            </w:r>
            <w:r>
              <w:rPr>
                <w:rFonts w:ascii="Trebuchet MS" w:eastAsia="Trebuchet MS" w:hAnsi="Trebuchet MS" w:cs="Trebuchet MS"/>
                <w:color w:val="0000FF"/>
                <w:sz w:val="22"/>
                <w:szCs w:val="22"/>
              </w:rPr>
              <w:t xml:space="preserve"> </w:t>
            </w:r>
          </w:p>
        </w:tc>
      </w:tr>
    </w:tbl>
    <w:p w14:paraId="0CD59C47" w14:textId="77777777" w:rsidR="00211D58" w:rsidRDefault="00211D58">
      <w:r>
        <w:br w:type="page"/>
      </w:r>
    </w:p>
    <w:tbl>
      <w:tblPr>
        <w:tblW w:w="9747" w:type="dxa"/>
        <w:tblInd w:w="113" w:type="dxa"/>
        <w:tblCellMar>
          <w:left w:w="0" w:type="dxa"/>
          <w:right w:w="0" w:type="dxa"/>
        </w:tblCellMar>
        <w:tblLook w:val="04A0" w:firstRow="1" w:lastRow="0" w:firstColumn="1" w:lastColumn="0" w:noHBand="0" w:noVBand="1"/>
      </w:tblPr>
      <w:tblGrid>
        <w:gridCol w:w="2376"/>
        <w:gridCol w:w="7371"/>
      </w:tblGrid>
      <w:tr w:rsidR="00592C29" w14:paraId="5C7E9C52" w14:textId="77777777">
        <w:tc>
          <w:tcPr>
            <w:tcW w:w="2376" w:type="dxa"/>
            <w:tcMar>
              <w:top w:w="5" w:type="dxa"/>
              <w:left w:w="113" w:type="dxa"/>
              <w:bottom w:w="5" w:type="dxa"/>
              <w:right w:w="113" w:type="dxa"/>
            </w:tcMar>
            <w:hideMark/>
          </w:tcPr>
          <w:p w14:paraId="7789B646" w14:textId="6446D7E7" w:rsidR="00592C29" w:rsidRDefault="0048296D">
            <w:pPr>
              <w:spacing w:after="200" w:line="276" w:lineRule="auto"/>
              <w:rPr>
                <w:color w:val="000000"/>
                <w:sz w:val="22"/>
                <w:szCs w:val="22"/>
              </w:rPr>
            </w:pPr>
            <w:r>
              <w:rPr>
                <w:rFonts w:ascii="Trebuchet MS" w:eastAsia="Trebuchet MS" w:hAnsi="Trebuchet MS" w:cs="Trebuchet MS"/>
                <w:b/>
                <w:bCs/>
                <w:color w:val="000000"/>
                <w:sz w:val="22"/>
                <w:szCs w:val="22"/>
              </w:rPr>
              <w:lastRenderedPageBreak/>
              <w:t>LIMITS:</w:t>
            </w:r>
          </w:p>
        </w:tc>
        <w:tc>
          <w:tcPr>
            <w:tcW w:w="7371" w:type="dxa"/>
            <w:tcMar>
              <w:top w:w="5" w:type="dxa"/>
              <w:left w:w="113" w:type="dxa"/>
              <w:bottom w:w="5" w:type="dxa"/>
              <w:right w:w="113" w:type="dxa"/>
            </w:tcMar>
            <w:hideMark/>
          </w:tcPr>
          <w:p w14:paraId="79228B72" w14:textId="77777777" w:rsidR="00592C29" w:rsidRDefault="0048296D" w:rsidP="009B6101">
            <w:pPr>
              <w:spacing w:after="120" w:line="276" w:lineRule="auto"/>
              <w:rPr>
                <w:color w:val="000000"/>
                <w:sz w:val="22"/>
                <w:szCs w:val="22"/>
              </w:rPr>
            </w:pPr>
            <w:r>
              <w:rPr>
                <w:rFonts w:ascii="Trebuchet MS" w:eastAsia="Trebuchet MS" w:hAnsi="Trebuchet MS" w:cs="Trebuchet MS"/>
                <w:color w:val="000000"/>
                <w:sz w:val="22"/>
                <w:szCs w:val="22"/>
              </w:rPr>
              <w:t>GBP 10,000,000 any one occurrence and in the annual aggregate.</w:t>
            </w:r>
          </w:p>
          <w:p w14:paraId="7DA9049B" w14:textId="77777777" w:rsidR="009B6101" w:rsidRDefault="009B6101" w:rsidP="009B6101">
            <w:pPr>
              <w:spacing w:after="120" w:line="276" w:lineRule="auto"/>
              <w:ind w:left="3965" w:hanging="3965"/>
              <w:rPr>
                <w:rFonts w:ascii="Trebuchet MS" w:eastAsia="Trebuchet MS" w:hAnsi="Trebuchet MS" w:cs="Trebuchet MS"/>
                <w:color w:val="000000"/>
                <w:sz w:val="22"/>
                <w:szCs w:val="22"/>
              </w:rPr>
            </w:pPr>
          </w:p>
          <w:p w14:paraId="3B5EE0A2" w14:textId="20A539D9" w:rsidR="00592C29" w:rsidRDefault="0048296D" w:rsidP="009B6101">
            <w:pPr>
              <w:spacing w:after="120" w:line="276" w:lineRule="auto"/>
              <w:ind w:left="3965" w:hanging="3965"/>
              <w:rPr>
                <w:color w:val="000000"/>
                <w:sz w:val="22"/>
                <w:szCs w:val="22"/>
              </w:rPr>
            </w:pPr>
            <w:r>
              <w:rPr>
                <w:rFonts w:ascii="Trebuchet MS" w:eastAsia="Trebuchet MS" w:hAnsi="Trebuchet MS" w:cs="Trebuchet MS"/>
                <w:color w:val="000000"/>
                <w:sz w:val="22"/>
                <w:szCs w:val="22"/>
              </w:rPr>
              <w:t xml:space="preserve">Program </w:t>
            </w:r>
            <w:proofErr w:type="spellStart"/>
            <w:r>
              <w:rPr>
                <w:rFonts w:ascii="Trebuchet MS" w:eastAsia="Trebuchet MS" w:hAnsi="Trebuchet MS" w:cs="Trebuchet MS"/>
                <w:color w:val="000000"/>
                <w:sz w:val="22"/>
                <w:szCs w:val="22"/>
              </w:rPr>
              <w:t>Sublimits</w:t>
            </w:r>
            <w:proofErr w:type="spellEnd"/>
            <w:r>
              <w:rPr>
                <w:rFonts w:ascii="Trebuchet MS" w:eastAsia="Trebuchet MS" w:hAnsi="Trebuchet MS" w:cs="Trebuchet MS"/>
                <w:color w:val="000000"/>
                <w:sz w:val="22"/>
                <w:szCs w:val="22"/>
              </w:rPr>
              <w:t xml:space="preserve"> schedule:</w:t>
            </w:r>
          </w:p>
          <w:p w14:paraId="41508E59" w14:textId="77777777" w:rsidR="00592C29" w:rsidRDefault="0048296D" w:rsidP="009B6101">
            <w:pPr>
              <w:spacing w:after="120" w:line="276" w:lineRule="auto"/>
              <w:ind w:left="2160" w:hanging="2126"/>
              <w:rPr>
                <w:color w:val="000000"/>
                <w:sz w:val="22"/>
                <w:szCs w:val="22"/>
              </w:rPr>
            </w:pPr>
            <w:r>
              <w:rPr>
                <w:rFonts w:ascii="Trebuchet MS" w:eastAsia="Trebuchet MS" w:hAnsi="Trebuchet MS" w:cs="Trebuchet MS"/>
                <w:color w:val="000000"/>
                <w:sz w:val="22"/>
                <w:szCs w:val="22"/>
              </w:rPr>
              <w:t>Flood:</w:t>
            </w:r>
            <w:r>
              <w:rPr>
                <w:rFonts w:ascii="Trebuchet MS" w:eastAsia="Trebuchet MS" w:hAnsi="Trebuchet MS" w:cs="Trebuchet MS"/>
                <w:color w:val="000000"/>
                <w:sz w:val="22"/>
                <w:szCs w:val="22"/>
              </w:rPr>
              <w:tab/>
              <w:t>GBP 2,000,000 any one occurrence</w:t>
            </w:r>
          </w:p>
          <w:p w14:paraId="4A71B5C3" w14:textId="77777777" w:rsidR="00592C29" w:rsidRDefault="0048296D" w:rsidP="009B6101">
            <w:pPr>
              <w:spacing w:after="120" w:line="276" w:lineRule="auto"/>
              <w:ind w:left="2160" w:hanging="2126"/>
              <w:rPr>
                <w:color w:val="000000"/>
                <w:sz w:val="22"/>
                <w:szCs w:val="22"/>
              </w:rPr>
            </w:pPr>
            <w:r>
              <w:rPr>
                <w:rFonts w:ascii="Trebuchet MS" w:eastAsia="Trebuchet MS" w:hAnsi="Trebuchet MS" w:cs="Trebuchet MS"/>
                <w:color w:val="000000"/>
                <w:sz w:val="22"/>
                <w:szCs w:val="22"/>
              </w:rPr>
              <w:t>Boiler &amp; Machinery:</w:t>
            </w:r>
            <w:r>
              <w:rPr>
                <w:rFonts w:ascii="Trebuchet MS" w:eastAsia="Trebuchet MS" w:hAnsi="Trebuchet MS" w:cs="Trebuchet MS"/>
                <w:color w:val="000000"/>
                <w:sz w:val="22"/>
                <w:szCs w:val="22"/>
              </w:rPr>
              <w:tab/>
              <w:t>GBP 2,000,000 any one accident</w:t>
            </w:r>
          </w:p>
          <w:p w14:paraId="4725D6F9" w14:textId="77777777" w:rsidR="009B6101" w:rsidRDefault="009B6101" w:rsidP="009B6101">
            <w:pPr>
              <w:spacing w:after="120" w:line="276" w:lineRule="auto"/>
              <w:rPr>
                <w:rFonts w:ascii="Trebuchet MS" w:eastAsia="Trebuchet MS" w:hAnsi="Trebuchet MS" w:cs="Trebuchet MS"/>
                <w:color w:val="000000"/>
                <w:sz w:val="22"/>
                <w:szCs w:val="22"/>
              </w:rPr>
            </w:pPr>
          </w:p>
          <w:p w14:paraId="290F0B5E" w14:textId="5822B926" w:rsidR="00592C29" w:rsidRDefault="0048296D" w:rsidP="009B6101">
            <w:pPr>
              <w:spacing w:after="120" w:line="276" w:lineRule="auto"/>
              <w:rPr>
                <w:color w:val="000000"/>
                <w:sz w:val="22"/>
                <w:szCs w:val="22"/>
              </w:rPr>
            </w:pPr>
            <w:r>
              <w:rPr>
                <w:rFonts w:ascii="Trebuchet MS" w:eastAsia="Trebuchet MS" w:hAnsi="Trebuchet MS" w:cs="Trebuchet MS"/>
                <w:color w:val="000000"/>
                <w:sz w:val="22"/>
                <w:szCs w:val="22"/>
              </w:rPr>
              <w:t>Program Deductibles schedule:</w:t>
            </w:r>
          </w:p>
          <w:p w14:paraId="7DDA8ECE" w14:textId="77777777" w:rsidR="00592C29" w:rsidRDefault="0048296D" w:rsidP="009B6101">
            <w:pPr>
              <w:spacing w:after="120" w:line="276" w:lineRule="auto"/>
              <w:rPr>
                <w:color w:val="000000"/>
                <w:sz w:val="22"/>
                <w:szCs w:val="22"/>
              </w:rPr>
            </w:pPr>
            <w:r>
              <w:rPr>
                <w:rFonts w:ascii="Trebuchet MS" w:eastAsia="Trebuchet MS" w:hAnsi="Trebuchet MS" w:cs="Trebuchet MS"/>
                <w:color w:val="000000"/>
                <w:sz w:val="22"/>
                <w:szCs w:val="22"/>
              </w:rPr>
              <w:t>Each claim for loss or damage shall be subject to a combined Property Damage and Time Element deductible as follows:</w:t>
            </w:r>
          </w:p>
          <w:p w14:paraId="44A57F3B" w14:textId="77777777" w:rsidR="00592C29" w:rsidRDefault="0048296D" w:rsidP="009B6101">
            <w:pPr>
              <w:spacing w:after="120" w:line="276" w:lineRule="auto"/>
              <w:ind w:left="2160" w:hanging="2160"/>
              <w:rPr>
                <w:color w:val="000000"/>
                <w:sz w:val="22"/>
                <w:szCs w:val="22"/>
              </w:rPr>
            </w:pPr>
            <w:r>
              <w:rPr>
                <w:rFonts w:ascii="Trebuchet MS" w:eastAsia="Trebuchet MS" w:hAnsi="Trebuchet MS" w:cs="Trebuchet MS"/>
                <w:color w:val="000000"/>
                <w:sz w:val="22"/>
                <w:szCs w:val="22"/>
              </w:rPr>
              <w:t>Windstorm / Flood:</w:t>
            </w:r>
            <w:r>
              <w:rPr>
                <w:rFonts w:ascii="Trebuchet MS" w:eastAsia="Trebuchet MS" w:hAnsi="Trebuchet MS" w:cs="Trebuchet MS"/>
                <w:color w:val="000000"/>
                <w:sz w:val="22"/>
                <w:szCs w:val="22"/>
              </w:rPr>
              <w:tab/>
              <w:t>GBP   2,000,000</w:t>
            </w:r>
          </w:p>
          <w:p w14:paraId="0EE75A44" w14:textId="77777777" w:rsidR="00592C29" w:rsidRDefault="00592C29">
            <w:pPr>
              <w:spacing w:after="200" w:line="276" w:lineRule="auto"/>
              <w:rPr>
                <w:color w:val="000000"/>
                <w:sz w:val="22"/>
                <w:szCs w:val="22"/>
              </w:rPr>
            </w:pPr>
          </w:p>
        </w:tc>
      </w:tr>
      <w:tr w:rsidR="00592C29" w14:paraId="79EC3BCD" w14:textId="77777777">
        <w:tc>
          <w:tcPr>
            <w:tcW w:w="2376" w:type="dxa"/>
            <w:tcMar>
              <w:top w:w="5" w:type="dxa"/>
              <w:left w:w="113" w:type="dxa"/>
              <w:bottom w:w="5" w:type="dxa"/>
              <w:right w:w="113" w:type="dxa"/>
            </w:tcMar>
            <w:hideMark/>
          </w:tcPr>
          <w:p w14:paraId="003FE9C8" w14:textId="77777777" w:rsidR="00592C29" w:rsidRDefault="0048296D" w:rsidP="00307766">
            <w:pPr>
              <w:spacing w:line="276" w:lineRule="auto"/>
              <w:ind w:left="1980" w:hanging="1980"/>
              <w:rPr>
                <w:color w:val="000000"/>
                <w:sz w:val="22"/>
                <w:szCs w:val="22"/>
              </w:rPr>
            </w:pPr>
            <w:r>
              <w:rPr>
                <w:rFonts w:ascii="Trebuchet MS" w:eastAsia="Trebuchet MS" w:hAnsi="Trebuchet MS" w:cs="Trebuchet MS"/>
                <w:b/>
                <w:bCs/>
                <w:color w:val="000000"/>
                <w:sz w:val="22"/>
                <w:szCs w:val="22"/>
              </w:rPr>
              <w:t xml:space="preserve">INSURED’S </w:t>
            </w:r>
          </w:p>
          <w:p w14:paraId="2EF85807" w14:textId="77777777" w:rsidR="00592C29" w:rsidRDefault="0048296D" w:rsidP="00307766">
            <w:pPr>
              <w:spacing w:line="276" w:lineRule="auto"/>
              <w:rPr>
                <w:color w:val="000000"/>
                <w:sz w:val="22"/>
                <w:szCs w:val="22"/>
              </w:rPr>
            </w:pPr>
            <w:r>
              <w:rPr>
                <w:rFonts w:ascii="Trebuchet MS" w:eastAsia="Trebuchet MS" w:hAnsi="Trebuchet MS" w:cs="Trebuchet MS"/>
                <w:b/>
                <w:bCs/>
                <w:color w:val="000000"/>
                <w:sz w:val="22"/>
                <w:szCs w:val="22"/>
              </w:rPr>
              <w:t>RETENTION</w:t>
            </w:r>
            <w:r>
              <w:rPr>
                <w:rFonts w:ascii="Trebuchet MS" w:eastAsia="Trebuchet MS" w:hAnsi="Trebuchet MS" w:cs="Trebuchet MS"/>
                <w:color w:val="000000"/>
                <w:sz w:val="22"/>
                <w:szCs w:val="22"/>
              </w:rPr>
              <w:t>:</w:t>
            </w:r>
          </w:p>
        </w:tc>
        <w:tc>
          <w:tcPr>
            <w:tcW w:w="7371" w:type="dxa"/>
            <w:tcMar>
              <w:top w:w="5" w:type="dxa"/>
              <w:left w:w="113" w:type="dxa"/>
              <w:bottom w:w="5" w:type="dxa"/>
              <w:right w:w="113" w:type="dxa"/>
            </w:tcMar>
            <w:hideMark/>
          </w:tcPr>
          <w:p w14:paraId="0855CB21" w14:textId="77777777" w:rsidR="00592C29" w:rsidRDefault="0048296D" w:rsidP="009B6101">
            <w:pPr>
              <w:spacing w:after="120" w:line="276" w:lineRule="auto"/>
              <w:rPr>
                <w:color w:val="000000"/>
                <w:sz w:val="22"/>
                <w:szCs w:val="22"/>
              </w:rPr>
            </w:pPr>
            <w:r>
              <w:rPr>
                <w:rFonts w:ascii="Trebuchet MS" w:eastAsia="Trebuchet MS" w:hAnsi="Trebuchet MS" w:cs="Trebuchet MS"/>
                <w:color w:val="000000"/>
                <w:sz w:val="22"/>
                <w:szCs w:val="22"/>
              </w:rPr>
              <w:t>20% of 100%.</w:t>
            </w:r>
          </w:p>
          <w:p w14:paraId="5E5E76E5" w14:textId="77777777" w:rsidR="00592C29" w:rsidRDefault="00592C29" w:rsidP="009B6101">
            <w:pPr>
              <w:spacing w:after="120" w:line="276" w:lineRule="auto"/>
              <w:rPr>
                <w:color w:val="000000"/>
                <w:sz w:val="22"/>
                <w:szCs w:val="22"/>
              </w:rPr>
            </w:pPr>
          </w:p>
          <w:p w14:paraId="5D900A69" w14:textId="77777777" w:rsidR="00592C29" w:rsidRDefault="00592C29" w:rsidP="009B6101">
            <w:pPr>
              <w:spacing w:after="120" w:line="276" w:lineRule="auto"/>
              <w:rPr>
                <w:color w:val="000000"/>
                <w:sz w:val="22"/>
                <w:szCs w:val="22"/>
              </w:rPr>
            </w:pPr>
          </w:p>
        </w:tc>
      </w:tr>
      <w:tr w:rsidR="00592C29" w14:paraId="765CAF4D" w14:textId="77777777">
        <w:tc>
          <w:tcPr>
            <w:tcW w:w="2376" w:type="dxa"/>
            <w:tcMar>
              <w:top w:w="5" w:type="dxa"/>
              <w:left w:w="113" w:type="dxa"/>
              <w:bottom w:w="5" w:type="dxa"/>
              <w:right w:w="113" w:type="dxa"/>
            </w:tcMar>
            <w:hideMark/>
          </w:tcPr>
          <w:p w14:paraId="76BF299F" w14:textId="77777777" w:rsidR="00592C29" w:rsidRDefault="0048296D" w:rsidP="00307766">
            <w:pPr>
              <w:spacing w:line="276" w:lineRule="auto"/>
              <w:rPr>
                <w:color w:val="000000"/>
                <w:sz w:val="22"/>
                <w:szCs w:val="22"/>
              </w:rPr>
            </w:pPr>
            <w:r>
              <w:rPr>
                <w:rFonts w:ascii="Trebuchet MS" w:eastAsia="Trebuchet MS" w:hAnsi="Trebuchet MS" w:cs="Trebuchet MS"/>
                <w:b/>
                <w:bCs/>
                <w:color w:val="000000"/>
                <w:sz w:val="22"/>
                <w:szCs w:val="22"/>
              </w:rPr>
              <w:t>SITUATION:</w:t>
            </w:r>
          </w:p>
        </w:tc>
        <w:tc>
          <w:tcPr>
            <w:tcW w:w="7371" w:type="dxa"/>
            <w:tcMar>
              <w:top w:w="5" w:type="dxa"/>
              <w:left w:w="113" w:type="dxa"/>
              <w:bottom w:w="5" w:type="dxa"/>
              <w:right w:w="113" w:type="dxa"/>
            </w:tcMar>
            <w:hideMark/>
          </w:tcPr>
          <w:p w14:paraId="1EACA63C" w14:textId="77777777" w:rsidR="00592C29" w:rsidRDefault="0048296D" w:rsidP="009B6101">
            <w:pPr>
              <w:spacing w:after="120" w:line="276" w:lineRule="auto"/>
              <w:rPr>
                <w:color w:val="000000"/>
                <w:sz w:val="22"/>
                <w:szCs w:val="22"/>
              </w:rPr>
            </w:pPr>
            <w:r>
              <w:rPr>
                <w:rFonts w:ascii="Trebuchet MS" w:eastAsia="Trebuchet MS" w:hAnsi="Trebuchet MS" w:cs="Trebuchet MS"/>
                <w:color w:val="000000"/>
                <w:sz w:val="22"/>
                <w:szCs w:val="22"/>
              </w:rPr>
              <w:t>Offices of the insured in the UK, Spain, New Zealand and Austria.</w:t>
            </w:r>
          </w:p>
          <w:p w14:paraId="60720DCF" w14:textId="77777777" w:rsidR="00592C29" w:rsidRDefault="00592C29" w:rsidP="009B6101">
            <w:pPr>
              <w:spacing w:after="120" w:line="276" w:lineRule="auto"/>
              <w:rPr>
                <w:color w:val="000000"/>
                <w:sz w:val="22"/>
                <w:szCs w:val="22"/>
              </w:rPr>
            </w:pPr>
          </w:p>
          <w:p w14:paraId="1D62E7A0" w14:textId="77777777" w:rsidR="00592C29" w:rsidRDefault="00592C29" w:rsidP="009B6101">
            <w:pPr>
              <w:spacing w:after="120" w:line="276" w:lineRule="auto"/>
              <w:rPr>
                <w:color w:val="000000"/>
                <w:sz w:val="22"/>
                <w:szCs w:val="22"/>
              </w:rPr>
            </w:pPr>
          </w:p>
        </w:tc>
      </w:tr>
      <w:tr w:rsidR="00592C29" w14:paraId="35C66F39" w14:textId="77777777">
        <w:tc>
          <w:tcPr>
            <w:tcW w:w="2376" w:type="dxa"/>
            <w:tcMar>
              <w:top w:w="5" w:type="dxa"/>
              <w:left w:w="113" w:type="dxa"/>
              <w:bottom w:w="5" w:type="dxa"/>
              <w:right w:w="113" w:type="dxa"/>
            </w:tcMar>
            <w:hideMark/>
          </w:tcPr>
          <w:p w14:paraId="5CBE166E" w14:textId="77777777" w:rsidR="00592C29" w:rsidRDefault="0048296D" w:rsidP="00307766">
            <w:pPr>
              <w:spacing w:line="276" w:lineRule="auto"/>
              <w:rPr>
                <w:color w:val="000000"/>
                <w:sz w:val="22"/>
                <w:szCs w:val="22"/>
              </w:rPr>
            </w:pPr>
            <w:r>
              <w:rPr>
                <w:rFonts w:ascii="Trebuchet MS" w:eastAsia="Trebuchet MS" w:hAnsi="Trebuchet MS" w:cs="Trebuchet MS"/>
                <w:b/>
                <w:bCs/>
                <w:color w:val="000000"/>
                <w:sz w:val="22"/>
                <w:szCs w:val="22"/>
              </w:rPr>
              <w:t>CONDITIONS:</w:t>
            </w:r>
          </w:p>
        </w:tc>
        <w:tc>
          <w:tcPr>
            <w:tcW w:w="7371" w:type="dxa"/>
            <w:tcMar>
              <w:top w:w="5" w:type="dxa"/>
              <w:left w:w="113" w:type="dxa"/>
              <w:bottom w:w="5" w:type="dxa"/>
              <w:right w:w="113" w:type="dxa"/>
            </w:tcMar>
            <w:hideMark/>
          </w:tcPr>
          <w:p w14:paraId="036F64BD" w14:textId="77777777" w:rsidR="00592C29" w:rsidRDefault="0048296D" w:rsidP="00307766">
            <w:pPr>
              <w:spacing w:after="120" w:line="240" w:lineRule="atLeast"/>
              <w:rPr>
                <w:color w:val="000000"/>
              </w:rPr>
            </w:pPr>
            <w:r>
              <w:rPr>
                <w:rFonts w:ascii="Trebuchet MS" w:eastAsia="Trebuchet MS" w:hAnsi="Trebuchet MS" w:cs="Trebuchet MS"/>
                <w:color w:val="000000"/>
                <w:sz w:val="22"/>
                <w:szCs w:val="22"/>
              </w:rPr>
              <w:t>XYZ Insurer - Primary Property wording CPROP192 - dated January 2005</w:t>
            </w:r>
          </w:p>
          <w:p w14:paraId="3333D4B4" w14:textId="77777777" w:rsidR="00307766" w:rsidRDefault="00307766" w:rsidP="00307766">
            <w:pPr>
              <w:spacing w:after="120" w:line="240" w:lineRule="atLeast"/>
              <w:rPr>
                <w:rFonts w:ascii="Trebuchet MS" w:eastAsia="Trebuchet MS" w:hAnsi="Trebuchet MS" w:cs="Trebuchet MS"/>
                <w:color w:val="000000"/>
                <w:sz w:val="22"/>
                <w:szCs w:val="22"/>
              </w:rPr>
            </w:pPr>
          </w:p>
          <w:p w14:paraId="637853EA" w14:textId="1152DEA3" w:rsidR="00592C29" w:rsidRDefault="0048296D" w:rsidP="00307766">
            <w:pPr>
              <w:spacing w:after="120" w:line="240" w:lineRule="atLeast"/>
              <w:rPr>
                <w:color w:val="000000"/>
              </w:rPr>
            </w:pPr>
            <w:r>
              <w:rPr>
                <w:rFonts w:ascii="Trebuchet MS" w:eastAsia="Trebuchet MS" w:hAnsi="Trebuchet MS" w:cs="Trebuchet MS"/>
                <w:color w:val="000000"/>
                <w:sz w:val="22"/>
                <w:szCs w:val="22"/>
              </w:rPr>
              <w:t>NMA 2914 (Amended Perils) Electronic Data Endorsement A (Section two sub-limit USD 100,000,000)</w:t>
            </w:r>
          </w:p>
          <w:p w14:paraId="1A382D20" w14:textId="77777777" w:rsidR="00592C29" w:rsidRDefault="0048296D" w:rsidP="00307766">
            <w:pPr>
              <w:spacing w:after="120" w:line="240" w:lineRule="atLeast"/>
              <w:rPr>
                <w:color w:val="000000"/>
              </w:rPr>
            </w:pPr>
            <w:r>
              <w:rPr>
                <w:rFonts w:ascii="Trebuchet MS" w:eastAsia="Trebuchet MS" w:hAnsi="Trebuchet MS" w:cs="Trebuchet MS"/>
                <w:color w:val="000000"/>
                <w:sz w:val="22"/>
                <w:szCs w:val="22"/>
              </w:rPr>
              <w:t>LMA 5019 Asbestos Endorsement</w:t>
            </w:r>
          </w:p>
          <w:p w14:paraId="7827D46D" w14:textId="77777777" w:rsidR="00592C29" w:rsidRDefault="0048296D" w:rsidP="00307766">
            <w:pPr>
              <w:spacing w:after="120" w:line="240" w:lineRule="atLeast"/>
              <w:rPr>
                <w:color w:val="000000"/>
              </w:rPr>
            </w:pPr>
            <w:r>
              <w:rPr>
                <w:rFonts w:ascii="Trebuchet MS" w:eastAsia="Trebuchet MS" w:hAnsi="Trebuchet MS" w:cs="Trebuchet MS"/>
                <w:color w:val="000000"/>
                <w:sz w:val="22"/>
                <w:szCs w:val="22"/>
              </w:rPr>
              <w:t>NMA 2962 Biological or Chemical Materials Exclusion</w:t>
            </w:r>
          </w:p>
          <w:p w14:paraId="2B0D5575" w14:textId="77777777" w:rsidR="00592C29" w:rsidRDefault="0048296D" w:rsidP="00307766">
            <w:pPr>
              <w:spacing w:after="120" w:line="276" w:lineRule="auto"/>
              <w:rPr>
                <w:color w:val="000000"/>
                <w:sz w:val="22"/>
                <w:szCs w:val="22"/>
              </w:rPr>
            </w:pPr>
            <w:r>
              <w:rPr>
                <w:rFonts w:ascii="Trebuchet MS" w:eastAsia="Trebuchet MS" w:hAnsi="Trebuchet MS" w:cs="Trebuchet MS"/>
                <w:color w:val="000000"/>
                <w:sz w:val="22"/>
                <w:szCs w:val="22"/>
              </w:rPr>
              <w:t>LSW 3001 Premium Payment Clause</w:t>
            </w:r>
          </w:p>
          <w:p w14:paraId="399426B9" w14:textId="77777777" w:rsidR="00592C29" w:rsidRDefault="0048296D" w:rsidP="00307766">
            <w:pPr>
              <w:spacing w:after="120" w:line="240" w:lineRule="atLeast"/>
              <w:rPr>
                <w:color w:val="000000"/>
              </w:rPr>
            </w:pPr>
            <w:r>
              <w:rPr>
                <w:rFonts w:ascii="Trebuchet MS" w:eastAsia="Trebuchet MS" w:hAnsi="Trebuchet MS" w:cs="Trebuchet MS"/>
                <w:color w:val="000000"/>
                <w:sz w:val="22"/>
                <w:szCs w:val="22"/>
              </w:rPr>
              <w:t xml:space="preserve">Shared Limits Endorsement </w:t>
            </w:r>
            <w:proofErr w:type="spellStart"/>
            <w:r>
              <w:rPr>
                <w:rFonts w:ascii="Trebuchet MS" w:eastAsia="Trebuchet MS" w:hAnsi="Trebuchet MS" w:cs="Trebuchet MS"/>
                <w:color w:val="000000"/>
                <w:sz w:val="22"/>
                <w:szCs w:val="22"/>
              </w:rPr>
              <w:t>LMAxxxx</w:t>
            </w:r>
            <w:proofErr w:type="spellEnd"/>
            <w:r>
              <w:rPr>
                <w:rFonts w:ascii="Trebuchet MS" w:eastAsia="Trebuchet MS" w:hAnsi="Trebuchet MS" w:cs="Trebuchet MS"/>
                <w:color w:val="000000"/>
                <w:sz w:val="22"/>
                <w:szCs w:val="22"/>
              </w:rPr>
              <w:t xml:space="preserve"> </w:t>
            </w:r>
            <w:r>
              <w:rPr>
                <w:rFonts w:ascii="Trebuchet MS" w:eastAsia="Trebuchet MS" w:hAnsi="Trebuchet MS" w:cs="Trebuchet MS"/>
                <w:i/>
                <w:iCs/>
                <w:color w:val="000000"/>
                <w:sz w:val="22"/>
                <w:szCs w:val="22"/>
              </w:rPr>
              <w:t>(“Interlocking language”)</w:t>
            </w:r>
          </w:p>
          <w:p w14:paraId="039E4A0C" w14:textId="77777777" w:rsidR="00592C29" w:rsidRDefault="0048296D" w:rsidP="00307766">
            <w:pPr>
              <w:spacing w:after="120" w:line="240" w:lineRule="atLeast"/>
              <w:rPr>
                <w:color w:val="000000"/>
              </w:rPr>
            </w:pPr>
            <w:r>
              <w:rPr>
                <w:rFonts w:ascii="Trebuchet MS" w:eastAsia="Trebuchet MS" w:hAnsi="Trebuchet MS" w:cs="Trebuchet MS"/>
                <w:color w:val="000000"/>
                <w:sz w:val="22"/>
                <w:szCs w:val="22"/>
              </w:rPr>
              <w:t xml:space="preserve">Shared Aggregate Deductible Endorsement </w:t>
            </w:r>
            <w:proofErr w:type="spellStart"/>
            <w:r>
              <w:rPr>
                <w:rFonts w:ascii="Trebuchet MS" w:eastAsia="Trebuchet MS" w:hAnsi="Trebuchet MS" w:cs="Trebuchet MS"/>
                <w:color w:val="000000"/>
                <w:sz w:val="22"/>
                <w:szCs w:val="22"/>
              </w:rPr>
              <w:t>LMAxxxx</w:t>
            </w:r>
            <w:proofErr w:type="spellEnd"/>
            <w:r>
              <w:rPr>
                <w:rFonts w:ascii="Trebuchet MS" w:eastAsia="Trebuchet MS" w:hAnsi="Trebuchet MS" w:cs="Trebuchet MS"/>
                <w:color w:val="000000"/>
                <w:sz w:val="22"/>
                <w:szCs w:val="22"/>
              </w:rPr>
              <w:t xml:space="preserve"> </w:t>
            </w:r>
            <w:r>
              <w:rPr>
                <w:rFonts w:ascii="Trebuchet MS" w:eastAsia="Trebuchet MS" w:hAnsi="Trebuchet MS" w:cs="Trebuchet MS"/>
                <w:i/>
                <w:iCs/>
                <w:color w:val="000000"/>
                <w:sz w:val="22"/>
                <w:szCs w:val="22"/>
              </w:rPr>
              <w:t>(“Interlocking language”)</w:t>
            </w:r>
          </w:p>
          <w:p w14:paraId="6A8B62BB" w14:textId="530F6998" w:rsidR="00592C29" w:rsidRDefault="0048296D" w:rsidP="00307766">
            <w:pPr>
              <w:spacing w:after="120" w:line="240" w:lineRule="atLeast"/>
              <w:rPr>
                <w:color w:val="000000"/>
              </w:rPr>
            </w:pPr>
            <w:r>
              <w:rPr>
                <w:rFonts w:ascii="Trebuchet MS" w:eastAsia="Trebuchet MS" w:hAnsi="Trebuchet MS" w:cs="Trebuchet MS"/>
                <w:color w:val="000000"/>
                <w:sz w:val="22"/>
                <w:szCs w:val="22"/>
              </w:rPr>
              <w:t>Service of Suit and Jurisdiction Clause LBS0006</w:t>
            </w:r>
          </w:p>
          <w:p w14:paraId="03AA9468" w14:textId="77777777" w:rsidR="00592C29" w:rsidRDefault="00592C29">
            <w:pPr>
              <w:spacing w:after="200" w:line="276" w:lineRule="auto"/>
              <w:rPr>
                <w:color w:val="000000"/>
                <w:sz w:val="22"/>
                <w:szCs w:val="22"/>
              </w:rPr>
            </w:pPr>
          </w:p>
          <w:p w14:paraId="224B1737" w14:textId="6673CDC9" w:rsidR="00307766" w:rsidRDefault="00307766">
            <w:pPr>
              <w:spacing w:after="200" w:line="276" w:lineRule="auto"/>
              <w:rPr>
                <w:color w:val="000000"/>
                <w:sz w:val="22"/>
                <w:szCs w:val="22"/>
              </w:rPr>
            </w:pPr>
          </w:p>
        </w:tc>
      </w:tr>
      <w:tr w:rsidR="00592C29" w14:paraId="14B4D758" w14:textId="77777777">
        <w:tc>
          <w:tcPr>
            <w:tcW w:w="2376" w:type="dxa"/>
            <w:tcMar>
              <w:top w:w="5" w:type="dxa"/>
              <w:left w:w="113" w:type="dxa"/>
              <w:bottom w:w="5" w:type="dxa"/>
              <w:right w:w="113" w:type="dxa"/>
            </w:tcMar>
            <w:hideMark/>
          </w:tcPr>
          <w:p w14:paraId="18A5BA2C" w14:textId="77777777" w:rsidR="00592C29" w:rsidRDefault="0048296D" w:rsidP="00307766">
            <w:pPr>
              <w:spacing w:line="276" w:lineRule="auto"/>
              <w:rPr>
                <w:color w:val="000000"/>
                <w:sz w:val="22"/>
                <w:szCs w:val="22"/>
              </w:rPr>
            </w:pPr>
            <w:r>
              <w:rPr>
                <w:rFonts w:ascii="Trebuchet MS" w:eastAsia="Trebuchet MS" w:hAnsi="Trebuchet MS" w:cs="Trebuchet MS"/>
                <w:b/>
                <w:bCs/>
                <w:color w:val="000000"/>
                <w:sz w:val="22"/>
                <w:szCs w:val="22"/>
              </w:rPr>
              <w:t>LOSS PAYEE:</w:t>
            </w:r>
          </w:p>
        </w:tc>
        <w:tc>
          <w:tcPr>
            <w:tcW w:w="7371" w:type="dxa"/>
            <w:tcMar>
              <w:top w:w="5" w:type="dxa"/>
              <w:left w:w="113" w:type="dxa"/>
              <w:bottom w:w="5" w:type="dxa"/>
              <w:right w:w="113" w:type="dxa"/>
            </w:tcMar>
            <w:hideMark/>
          </w:tcPr>
          <w:p w14:paraId="28E3E302" w14:textId="77777777" w:rsidR="00592C29" w:rsidRDefault="0048296D" w:rsidP="00307766">
            <w:pPr>
              <w:spacing w:after="120" w:line="240" w:lineRule="atLeast"/>
              <w:rPr>
                <w:color w:val="000000"/>
              </w:rPr>
            </w:pPr>
            <w:r>
              <w:rPr>
                <w:rFonts w:ascii="Trebuchet MS" w:eastAsia="Trebuchet MS" w:hAnsi="Trebuchet MS" w:cs="Trebuchet MS"/>
                <w:color w:val="000000"/>
                <w:sz w:val="22"/>
                <w:szCs w:val="22"/>
              </w:rPr>
              <w:t>XXXX Inc. Number 2 Boulevard, Milton Keynes, UK</w:t>
            </w:r>
          </w:p>
          <w:p w14:paraId="2BF5EDE9" w14:textId="77777777" w:rsidR="00592C29" w:rsidRDefault="00592C29">
            <w:pPr>
              <w:spacing w:after="200" w:line="240" w:lineRule="atLeast"/>
              <w:rPr>
                <w:color w:val="000000"/>
              </w:rPr>
            </w:pPr>
          </w:p>
        </w:tc>
      </w:tr>
    </w:tbl>
    <w:p w14:paraId="78B5FA52" w14:textId="77777777" w:rsidR="00592C29" w:rsidRDefault="0048296D">
      <w:pPr>
        <w:spacing w:after="200" w:line="276" w:lineRule="auto"/>
        <w:rPr>
          <w:sz w:val="22"/>
          <w:szCs w:val="22"/>
        </w:rPr>
      </w:pPr>
      <w:r>
        <w:rPr>
          <w:sz w:val="22"/>
          <w:szCs w:val="22"/>
        </w:rPr>
        <w:br w:type="page"/>
      </w:r>
    </w:p>
    <w:tbl>
      <w:tblPr>
        <w:tblW w:w="9747" w:type="dxa"/>
        <w:tblInd w:w="113" w:type="dxa"/>
        <w:tblCellMar>
          <w:left w:w="0" w:type="dxa"/>
          <w:right w:w="0" w:type="dxa"/>
        </w:tblCellMar>
        <w:tblLook w:val="04A0" w:firstRow="1" w:lastRow="0" w:firstColumn="1" w:lastColumn="0" w:noHBand="0" w:noVBand="1"/>
      </w:tblPr>
      <w:tblGrid>
        <w:gridCol w:w="2376"/>
        <w:gridCol w:w="7371"/>
      </w:tblGrid>
      <w:tr w:rsidR="00592C29" w14:paraId="6663A123" w14:textId="77777777">
        <w:tc>
          <w:tcPr>
            <w:tcW w:w="2376" w:type="dxa"/>
            <w:tcMar>
              <w:top w:w="5" w:type="dxa"/>
              <w:left w:w="113" w:type="dxa"/>
              <w:bottom w:w="5" w:type="dxa"/>
              <w:right w:w="113" w:type="dxa"/>
            </w:tcMar>
            <w:hideMark/>
          </w:tcPr>
          <w:p w14:paraId="78511432" w14:textId="77777777" w:rsidR="00592C29" w:rsidRDefault="0048296D" w:rsidP="00307766">
            <w:pPr>
              <w:spacing w:line="276" w:lineRule="auto"/>
              <w:rPr>
                <w:color w:val="000000"/>
                <w:sz w:val="22"/>
                <w:szCs w:val="22"/>
              </w:rPr>
            </w:pPr>
            <w:r>
              <w:rPr>
                <w:rFonts w:ascii="Trebuchet MS" w:eastAsia="Trebuchet MS" w:hAnsi="Trebuchet MS" w:cs="Trebuchet MS"/>
                <w:b/>
                <w:bCs/>
                <w:color w:val="000000"/>
                <w:sz w:val="22"/>
                <w:szCs w:val="22"/>
              </w:rPr>
              <w:lastRenderedPageBreak/>
              <w:t>SUBJECTIVITIES:</w:t>
            </w:r>
          </w:p>
        </w:tc>
        <w:tc>
          <w:tcPr>
            <w:tcW w:w="7371" w:type="dxa"/>
            <w:tcMar>
              <w:top w:w="5" w:type="dxa"/>
              <w:left w:w="113" w:type="dxa"/>
              <w:bottom w:w="5" w:type="dxa"/>
              <w:right w:w="113" w:type="dxa"/>
            </w:tcMar>
            <w:hideMark/>
          </w:tcPr>
          <w:p w14:paraId="5980BE78" w14:textId="77777777" w:rsidR="00592C29" w:rsidRDefault="0048296D" w:rsidP="00307766">
            <w:pPr>
              <w:spacing w:after="120" w:line="264" w:lineRule="auto"/>
              <w:ind w:right="238"/>
              <w:rPr>
                <w:color w:val="000000"/>
                <w:sz w:val="22"/>
                <w:szCs w:val="22"/>
              </w:rPr>
            </w:pPr>
            <w:r>
              <w:rPr>
                <w:rFonts w:ascii="Trebuchet MS" w:eastAsia="Trebuchet MS" w:hAnsi="Trebuchet MS" w:cs="Trebuchet MS"/>
                <w:color w:val="000000"/>
                <w:sz w:val="22"/>
                <w:szCs w:val="22"/>
              </w:rPr>
              <w:t>The Insured shall provide to the Insurer a property survey report on the insured addresses such report to be prepared by MNO Surveyors (“the Survey”). The Survey shall be so provided by 12:01p.m.GMT on 31 January YYYY (“the Survey Deadline”).</w:t>
            </w:r>
          </w:p>
          <w:p w14:paraId="3B17E89F" w14:textId="77777777" w:rsidR="00592C29" w:rsidRDefault="0048296D" w:rsidP="00307766">
            <w:pPr>
              <w:spacing w:after="120" w:line="264" w:lineRule="auto"/>
              <w:ind w:right="238"/>
              <w:rPr>
                <w:color w:val="000000"/>
                <w:sz w:val="22"/>
                <w:szCs w:val="22"/>
              </w:rPr>
            </w:pPr>
            <w:r>
              <w:rPr>
                <w:rFonts w:ascii="Trebuchet MS" w:eastAsia="Trebuchet MS" w:hAnsi="Trebuchet MS" w:cs="Trebuchet MS"/>
                <w:color w:val="000000"/>
                <w:sz w:val="22"/>
                <w:szCs w:val="22"/>
              </w:rPr>
              <w:t>Between inception and the Survey Deadline, cover is provided by the Insurer on the terms and conditions specified in the contract to which this condition is attached (“the Contract Terms”).</w:t>
            </w:r>
          </w:p>
          <w:p w14:paraId="1F43EC3D" w14:textId="77777777" w:rsidR="00592C29" w:rsidRDefault="0048296D" w:rsidP="00307766">
            <w:pPr>
              <w:spacing w:after="120" w:line="264" w:lineRule="auto"/>
              <w:ind w:right="238"/>
              <w:rPr>
                <w:color w:val="000000"/>
                <w:sz w:val="22"/>
                <w:szCs w:val="22"/>
              </w:rPr>
            </w:pPr>
            <w:r>
              <w:rPr>
                <w:rFonts w:ascii="Trebuchet MS" w:eastAsia="Trebuchet MS" w:hAnsi="Trebuchet MS" w:cs="Trebuchet MS"/>
                <w:color w:val="000000"/>
                <w:sz w:val="22"/>
                <w:szCs w:val="22"/>
              </w:rPr>
              <w:t xml:space="preserve">Where the Survey is not submitted to the Insurer by the Survey Deadline, cover shall terminate at the Survey Deadline. </w:t>
            </w:r>
          </w:p>
          <w:p w14:paraId="0BCA96C9" w14:textId="77777777" w:rsidR="00592C29" w:rsidRDefault="0048296D" w:rsidP="00307766">
            <w:pPr>
              <w:spacing w:after="120" w:line="264" w:lineRule="auto"/>
              <w:ind w:right="238"/>
              <w:rPr>
                <w:color w:val="000000"/>
                <w:sz w:val="22"/>
                <w:szCs w:val="22"/>
              </w:rPr>
            </w:pPr>
            <w:r>
              <w:rPr>
                <w:rFonts w:ascii="Trebuchet MS" w:eastAsia="Trebuchet MS" w:hAnsi="Trebuchet MS" w:cs="Trebuchet MS"/>
                <w:color w:val="000000"/>
                <w:sz w:val="22"/>
                <w:szCs w:val="22"/>
              </w:rPr>
              <w:t xml:space="preserve">Where the Survey is submitted to the Insurer by the Survey Deadline, cover shall continue from the Survey Deadline on the Contract Terms until expiry of the period of the contract unless and until terminated in accordance with the following paragraph. </w:t>
            </w:r>
          </w:p>
          <w:p w14:paraId="76076074" w14:textId="77777777" w:rsidR="00592C29" w:rsidRDefault="0048296D" w:rsidP="00307766">
            <w:pPr>
              <w:spacing w:after="120" w:line="264" w:lineRule="auto"/>
              <w:ind w:right="238"/>
              <w:rPr>
                <w:color w:val="000000"/>
                <w:sz w:val="22"/>
                <w:szCs w:val="22"/>
              </w:rPr>
            </w:pPr>
            <w:r>
              <w:rPr>
                <w:rFonts w:ascii="Trebuchet MS" w:eastAsia="Trebuchet MS" w:hAnsi="Trebuchet MS" w:cs="Trebuchet MS"/>
                <w:color w:val="000000"/>
                <w:sz w:val="22"/>
                <w:szCs w:val="22"/>
              </w:rPr>
              <w:t xml:space="preserve">In the event that the Survey is unsatisfactory to the Insurer, the Insurer shall have the right, within 14 days of its receipt, to terminate the contract by serving not less than 14 </w:t>
            </w:r>
            <w:proofErr w:type="spellStart"/>
            <w:r>
              <w:rPr>
                <w:rFonts w:ascii="Trebuchet MS" w:eastAsia="Trebuchet MS" w:hAnsi="Trebuchet MS" w:cs="Trebuchet MS"/>
                <w:color w:val="000000"/>
                <w:sz w:val="22"/>
                <w:szCs w:val="22"/>
              </w:rPr>
              <w:t>days notice</w:t>
            </w:r>
            <w:proofErr w:type="spellEnd"/>
            <w:r>
              <w:rPr>
                <w:rFonts w:ascii="Trebuchet MS" w:eastAsia="Trebuchet MS" w:hAnsi="Trebuchet MS" w:cs="Trebuchet MS"/>
                <w:color w:val="000000"/>
                <w:sz w:val="22"/>
                <w:szCs w:val="22"/>
              </w:rPr>
              <w:t xml:space="preserve"> in writing to the Insured at its address shown in the contract, such notice expiring no earlier than the Survey Deadline.</w:t>
            </w:r>
          </w:p>
          <w:p w14:paraId="32579E60" w14:textId="77777777" w:rsidR="00592C29" w:rsidRDefault="00592C29" w:rsidP="00307766">
            <w:pPr>
              <w:spacing w:after="120" w:line="240" w:lineRule="atLeast"/>
              <w:rPr>
                <w:color w:val="000000"/>
              </w:rPr>
            </w:pPr>
          </w:p>
        </w:tc>
      </w:tr>
      <w:tr w:rsidR="00592C29" w14:paraId="2A76AA0D" w14:textId="77777777">
        <w:tc>
          <w:tcPr>
            <w:tcW w:w="2376" w:type="dxa"/>
            <w:tcMar>
              <w:top w:w="5" w:type="dxa"/>
              <w:left w:w="113" w:type="dxa"/>
              <w:bottom w:w="5" w:type="dxa"/>
              <w:right w:w="113" w:type="dxa"/>
            </w:tcMar>
            <w:hideMark/>
          </w:tcPr>
          <w:p w14:paraId="1729BADF" w14:textId="77777777" w:rsidR="00592C29" w:rsidRDefault="0048296D" w:rsidP="00307766">
            <w:pPr>
              <w:spacing w:line="276" w:lineRule="auto"/>
              <w:ind w:left="1985" w:hanging="1985"/>
              <w:rPr>
                <w:color w:val="000000"/>
                <w:sz w:val="22"/>
                <w:szCs w:val="22"/>
              </w:rPr>
            </w:pPr>
            <w:r>
              <w:rPr>
                <w:rFonts w:ascii="Trebuchet MS" w:eastAsia="Trebuchet MS" w:hAnsi="Trebuchet MS" w:cs="Trebuchet MS"/>
                <w:b/>
                <w:bCs/>
                <w:color w:val="000000"/>
                <w:sz w:val="22"/>
                <w:szCs w:val="22"/>
              </w:rPr>
              <w:t xml:space="preserve">CHOICE OF </w:t>
            </w:r>
          </w:p>
          <w:p w14:paraId="36F2B9DB" w14:textId="77777777" w:rsidR="00592C29" w:rsidRDefault="0048296D" w:rsidP="00307766">
            <w:pPr>
              <w:spacing w:line="276" w:lineRule="auto"/>
              <w:ind w:left="1985" w:hanging="1985"/>
              <w:rPr>
                <w:color w:val="000000"/>
                <w:sz w:val="22"/>
                <w:szCs w:val="22"/>
              </w:rPr>
            </w:pPr>
            <w:r>
              <w:rPr>
                <w:rFonts w:ascii="Trebuchet MS" w:eastAsia="Trebuchet MS" w:hAnsi="Trebuchet MS" w:cs="Trebuchet MS"/>
                <w:b/>
                <w:bCs/>
                <w:color w:val="000000"/>
                <w:sz w:val="22"/>
                <w:szCs w:val="22"/>
              </w:rPr>
              <w:t xml:space="preserve">LAW AND </w:t>
            </w:r>
          </w:p>
          <w:p w14:paraId="18D0CCEB" w14:textId="77777777" w:rsidR="00592C29" w:rsidRDefault="0048296D" w:rsidP="00307766">
            <w:pPr>
              <w:spacing w:line="276" w:lineRule="auto"/>
              <w:rPr>
                <w:color w:val="000000"/>
                <w:sz w:val="22"/>
                <w:szCs w:val="22"/>
              </w:rPr>
            </w:pPr>
            <w:r>
              <w:rPr>
                <w:rFonts w:ascii="Trebuchet MS" w:eastAsia="Trebuchet MS" w:hAnsi="Trebuchet MS" w:cs="Trebuchet MS"/>
                <w:b/>
                <w:bCs/>
                <w:color w:val="000000"/>
                <w:sz w:val="22"/>
                <w:szCs w:val="22"/>
              </w:rPr>
              <w:t>JURISDICTION:</w:t>
            </w:r>
          </w:p>
        </w:tc>
        <w:tc>
          <w:tcPr>
            <w:tcW w:w="7371" w:type="dxa"/>
            <w:tcMar>
              <w:top w:w="5" w:type="dxa"/>
              <w:left w:w="113" w:type="dxa"/>
              <w:bottom w:w="5" w:type="dxa"/>
              <w:right w:w="113" w:type="dxa"/>
            </w:tcMar>
            <w:hideMark/>
          </w:tcPr>
          <w:p w14:paraId="1D521C5B" w14:textId="77777777" w:rsidR="00592C29" w:rsidRDefault="0048296D" w:rsidP="00307766">
            <w:pPr>
              <w:spacing w:after="120" w:line="276" w:lineRule="auto"/>
              <w:rPr>
                <w:color w:val="000000"/>
                <w:sz w:val="22"/>
                <w:szCs w:val="22"/>
              </w:rPr>
            </w:pPr>
            <w:r>
              <w:rPr>
                <w:rFonts w:ascii="Trebuchet MS" w:eastAsia="Trebuchet MS" w:hAnsi="Trebuchet MS" w:cs="Trebuchet MS"/>
                <w:color w:val="000000"/>
                <w:sz w:val="22"/>
                <w:szCs w:val="22"/>
              </w:rPr>
              <w:t>This insurance shall be governed by and construed in accordance with the law of England and Wales. Each party agrees to submit to the exclusive jurisdiction of any competent court within England and Wales.</w:t>
            </w:r>
          </w:p>
          <w:p w14:paraId="6421D8DF" w14:textId="77777777" w:rsidR="00592C29" w:rsidRDefault="0048296D" w:rsidP="00307766">
            <w:pPr>
              <w:spacing w:after="120" w:line="276" w:lineRule="auto"/>
              <w:rPr>
                <w:color w:val="000000"/>
                <w:sz w:val="22"/>
                <w:szCs w:val="22"/>
              </w:rPr>
            </w:pPr>
            <w:r>
              <w:rPr>
                <w:rFonts w:ascii="Trebuchet MS" w:eastAsia="Trebuchet MS" w:hAnsi="Trebuchet MS" w:cs="Trebuchet MS"/>
                <w:i/>
                <w:iCs/>
                <w:color w:val="000000"/>
                <w:sz w:val="22"/>
                <w:szCs w:val="22"/>
              </w:rPr>
              <w:t xml:space="preserve">(Ensure the appropriate Service of Suit and Jurisdiction Clause is included, e.g. LBS0006 for risk underwritten by Lloyd’s Brussels.) </w:t>
            </w:r>
          </w:p>
          <w:p w14:paraId="1EFEA7C3" w14:textId="77777777" w:rsidR="00592C29" w:rsidRDefault="00592C29">
            <w:pPr>
              <w:spacing w:after="200" w:line="240" w:lineRule="atLeast"/>
              <w:rPr>
                <w:color w:val="000000"/>
              </w:rPr>
            </w:pPr>
          </w:p>
        </w:tc>
      </w:tr>
      <w:tr w:rsidR="00592C29" w14:paraId="563FA697" w14:textId="77777777">
        <w:tc>
          <w:tcPr>
            <w:tcW w:w="2376" w:type="dxa"/>
            <w:tcMar>
              <w:top w:w="5" w:type="dxa"/>
              <w:left w:w="113" w:type="dxa"/>
              <w:bottom w:w="5" w:type="dxa"/>
              <w:right w:w="113" w:type="dxa"/>
            </w:tcMar>
            <w:hideMark/>
          </w:tcPr>
          <w:p w14:paraId="25667B45" w14:textId="77777777" w:rsidR="00592C29" w:rsidRDefault="0048296D" w:rsidP="00307766">
            <w:pPr>
              <w:spacing w:line="276" w:lineRule="auto"/>
              <w:ind w:left="1985" w:hanging="1985"/>
              <w:rPr>
                <w:color w:val="000000"/>
                <w:sz w:val="22"/>
                <w:szCs w:val="22"/>
              </w:rPr>
            </w:pPr>
            <w:r>
              <w:rPr>
                <w:rFonts w:ascii="Trebuchet MS" w:eastAsia="Trebuchet MS" w:hAnsi="Trebuchet MS" w:cs="Trebuchet MS"/>
                <w:b/>
                <w:bCs/>
                <w:color w:val="000000"/>
                <w:sz w:val="22"/>
                <w:szCs w:val="22"/>
              </w:rPr>
              <w:t>PREMIUM:</w:t>
            </w:r>
          </w:p>
        </w:tc>
        <w:tc>
          <w:tcPr>
            <w:tcW w:w="7371" w:type="dxa"/>
            <w:tcMar>
              <w:top w:w="5" w:type="dxa"/>
              <w:left w:w="113" w:type="dxa"/>
              <w:bottom w:w="5" w:type="dxa"/>
              <w:right w:w="113" w:type="dxa"/>
            </w:tcMar>
            <w:hideMark/>
          </w:tcPr>
          <w:p w14:paraId="6793CD49" w14:textId="77777777" w:rsidR="00592C29" w:rsidRDefault="0048296D" w:rsidP="00307766">
            <w:pPr>
              <w:spacing w:after="120" w:line="276" w:lineRule="auto"/>
              <w:rPr>
                <w:color w:val="000000"/>
                <w:sz w:val="22"/>
                <w:szCs w:val="22"/>
              </w:rPr>
            </w:pPr>
            <w:r>
              <w:rPr>
                <w:rFonts w:ascii="Trebuchet MS" w:eastAsia="Trebuchet MS" w:hAnsi="Trebuchet MS" w:cs="Trebuchet MS"/>
                <w:color w:val="000000"/>
                <w:sz w:val="22"/>
                <w:szCs w:val="22"/>
              </w:rPr>
              <w:t xml:space="preserve">GBP 1,000,000 (100%) Annual </w:t>
            </w:r>
          </w:p>
          <w:p w14:paraId="5FFBD829" w14:textId="77777777" w:rsidR="00592C29" w:rsidRDefault="0048296D" w:rsidP="00307766">
            <w:pPr>
              <w:spacing w:after="120" w:line="276" w:lineRule="auto"/>
              <w:rPr>
                <w:color w:val="000000"/>
                <w:sz w:val="22"/>
                <w:szCs w:val="22"/>
              </w:rPr>
            </w:pPr>
            <w:r>
              <w:rPr>
                <w:rFonts w:ascii="Trebuchet MS" w:eastAsia="Trebuchet MS" w:hAnsi="Trebuchet MS" w:cs="Trebuchet MS"/>
                <w:color w:val="000000"/>
                <w:sz w:val="22"/>
                <w:szCs w:val="22"/>
              </w:rPr>
              <w:t xml:space="preserve">GBP 250,000 in respect of EEA / UK / </w:t>
            </w:r>
            <w:r>
              <w:rPr>
                <w:rFonts w:ascii="Trebuchet MS" w:eastAsia="Trebuchet MS" w:hAnsi="Trebuchet MS" w:cs="Trebuchet MS"/>
                <w:i/>
                <w:iCs/>
                <w:color w:val="000000"/>
                <w:sz w:val="22"/>
                <w:szCs w:val="22"/>
              </w:rPr>
              <w:t xml:space="preserve">(when </w:t>
            </w:r>
            <w:proofErr w:type="spellStart"/>
            <w:r>
              <w:rPr>
                <w:rFonts w:ascii="Trebuchet MS" w:eastAsia="Trebuchet MS" w:hAnsi="Trebuchet MS" w:cs="Trebuchet MS"/>
                <w:i/>
                <w:iCs/>
                <w:color w:val="000000"/>
                <w:sz w:val="22"/>
                <w:szCs w:val="22"/>
              </w:rPr>
              <w:t>authorised</w:t>
            </w:r>
            <w:proofErr w:type="spellEnd"/>
            <w:r>
              <w:rPr>
                <w:rFonts w:ascii="Trebuchet MS" w:eastAsia="Trebuchet MS" w:hAnsi="Trebuchet MS" w:cs="Trebuchet MS"/>
                <w:i/>
                <w:iCs/>
                <w:color w:val="000000"/>
                <w:sz w:val="22"/>
                <w:szCs w:val="22"/>
              </w:rPr>
              <w:t>)</w:t>
            </w:r>
            <w:r>
              <w:rPr>
                <w:rFonts w:ascii="Trebuchet MS" w:eastAsia="Trebuchet MS" w:hAnsi="Trebuchet MS" w:cs="Trebuchet MS"/>
                <w:color w:val="000000"/>
                <w:sz w:val="22"/>
                <w:szCs w:val="22"/>
              </w:rPr>
              <w:t xml:space="preserve"> Monaco</w:t>
            </w:r>
          </w:p>
          <w:p w14:paraId="39E02EF7" w14:textId="77777777" w:rsidR="00592C29" w:rsidRDefault="0048296D" w:rsidP="00307766">
            <w:pPr>
              <w:spacing w:after="120" w:line="276" w:lineRule="auto"/>
              <w:rPr>
                <w:color w:val="000000"/>
                <w:sz w:val="22"/>
                <w:szCs w:val="22"/>
              </w:rPr>
            </w:pPr>
            <w:r>
              <w:rPr>
                <w:rFonts w:ascii="Trebuchet MS" w:eastAsia="Trebuchet MS" w:hAnsi="Trebuchet MS" w:cs="Trebuchet MS"/>
                <w:color w:val="000000"/>
                <w:sz w:val="22"/>
                <w:szCs w:val="22"/>
              </w:rPr>
              <w:t xml:space="preserve">GBP 750,000 in respect of Rest of the World excluding EEA / UK / Monaco </w:t>
            </w:r>
            <w:r>
              <w:rPr>
                <w:rFonts w:ascii="Trebuchet MS" w:eastAsia="Trebuchet MS" w:hAnsi="Trebuchet MS" w:cs="Trebuchet MS"/>
                <w:i/>
                <w:iCs/>
                <w:color w:val="000000"/>
                <w:sz w:val="22"/>
                <w:szCs w:val="22"/>
              </w:rPr>
              <w:t xml:space="preserve">(should be included under Lloyd’s Brussels once </w:t>
            </w:r>
            <w:proofErr w:type="spellStart"/>
            <w:r>
              <w:rPr>
                <w:rFonts w:ascii="Trebuchet MS" w:eastAsia="Trebuchet MS" w:hAnsi="Trebuchet MS" w:cs="Trebuchet MS"/>
                <w:i/>
                <w:iCs/>
                <w:color w:val="000000"/>
                <w:sz w:val="22"/>
                <w:szCs w:val="22"/>
              </w:rPr>
              <w:t>licence</w:t>
            </w:r>
            <w:proofErr w:type="spellEnd"/>
            <w:r>
              <w:rPr>
                <w:rFonts w:ascii="Trebuchet MS" w:eastAsia="Trebuchet MS" w:hAnsi="Trebuchet MS" w:cs="Trebuchet MS"/>
                <w:i/>
                <w:iCs/>
                <w:color w:val="000000"/>
                <w:sz w:val="22"/>
                <w:szCs w:val="22"/>
              </w:rPr>
              <w:t xml:space="preserve"> </w:t>
            </w:r>
            <w:proofErr w:type="spellStart"/>
            <w:r>
              <w:rPr>
                <w:rFonts w:ascii="Trebuchet MS" w:eastAsia="Trebuchet MS" w:hAnsi="Trebuchet MS" w:cs="Trebuchet MS"/>
                <w:i/>
                <w:iCs/>
                <w:color w:val="000000"/>
                <w:sz w:val="22"/>
                <w:szCs w:val="22"/>
              </w:rPr>
              <w:t>authorised</w:t>
            </w:r>
            <w:proofErr w:type="spellEnd"/>
            <w:r>
              <w:rPr>
                <w:rFonts w:ascii="Trebuchet MS" w:eastAsia="Trebuchet MS" w:hAnsi="Trebuchet MS" w:cs="Trebuchet MS"/>
                <w:i/>
                <w:iCs/>
                <w:color w:val="000000"/>
                <w:sz w:val="22"/>
                <w:szCs w:val="22"/>
              </w:rPr>
              <w:t>)</w:t>
            </w:r>
          </w:p>
          <w:p w14:paraId="25C373D6" w14:textId="77777777" w:rsidR="00592C29" w:rsidRDefault="00592C29">
            <w:pPr>
              <w:spacing w:after="200" w:line="276" w:lineRule="auto"/>
              <w:rPr>
                <w:color w:val="000000"/>
                <w:sz w:val="22"/>
                <w:szCs w:val="22"/>
              </w:rPr>
            </w:pPr>
          </w:p>
        </w:tc>
      </w:tr>
      <w:tr w:rsidR="00592C29" w14:paraId="52F9BB02" w14:textId="77777777">
        <w:tc>
          <w:tcPr>
            <w:tcW w:w="2376" w:type="dxa"/>
            <w:tcMar>
              <w:top w:w="5" w:type="dxa"/>
              <w:left w:w="113" w:type="dxa"/>
              <w:bottom w:w="5" w:type="dxa"/>
              <w:right w:w="113" w:type="dxa"/>
            </w:tcMar>
            <w:hideMark/>
          </w:tcPr>
          <w:p w14:paraId="62E6E47E" w14:textId="77777777" w:rsidR="00592C29" w:rsidRDefault="0048296D" w:rsidP="00307766">
            <w:pPr>
              <w:spacing w:line="276" w:lineRule="auto"/>
              <w:ind w:left="1980" w:hanging="1980"/>
              <w:rPr>
                <w:color w:val="000000"/>
                <w:sz w:val="22"/>
                <w:szCs w:val="22"/>
              </w:rPr>
            </w:pPr>
            <w:r>
              <w:rPr>
                <w:rFonts w:ascii="Trebuchet MS" w:eastAsia="Trebuchet MS" w:hAnsi="Trebuchet MS" w:cs="Trebuchet MS"/>
                <w:b/>
                <w:bCs/>
                <w:color w:val="000000"/>
                <w:sz w:val="22"/>
                <w:szCs w:val="22"/>
              </w:rPr>
              <w:t>PREMIUM</w:t>
            </w:r>
          </w:p>
          <w:p w14:paraId="4ED8965B" w14:textId="77777777" w:rsidR="00592C29" w:rsidRDefault="0048296D" w:rsidP="00307766">
            <w:pPr>
              <w:spacing w:line="276" w:lineRule="auto"/>
              <w:ind w:left="1985" w:hanging="1985"/>
              <w:rPr>
                <w:color w:val="000000"/>
                <w:sz w:val="22"/>
                <w:szCs w:val="22"/>
              </w:rPr>
            </w:pPr>
            <w:r>
              <w:rPr>
                <w:rFonts w:ascii="Trebuchet MS" w:eastAsia="Trebuchet MS" w:hAnsi="Trebuchet MS" w:cs="Trebuchet MS"/>
                <w:b/>
                <w:bCs/>
                <w:color w:val="000000"/>
                <w:sz w:val="22"/>
                <w:szCs w:val="22"/>
              </w:rPr>
              <w:t>PAYMENT TERMS:</w:t>
            </w:r>
          </w:p>
        </w:tc>
        <w:tc>
          <w:tcPr>
            <w:tcW w:w="7371" w:type="dxa"/>
            <w:tcMar>
              <w:top w:w="5" w:type="dxa"/>
              <w:left w:w="113" w:type="dxa"/>
              <w:bottom w:w="5" w:type="dxa"/>
              <w:right w:w="113" w:type="dxa"/>
            </w:tcMar>
            <w:hideMark/>
          </w:tcPr>
          <w:p w14:paraId="660D0011" w14:textId="77777777" w:rsidR="00592C29" w:rsidRDefault="0048296D" w:rsidP="00307766">
            <w:pPr>
              <w:spacing w:after="120" w:line="276" w:lineRule="auto"/>
              <w:rPr>
                <w:color w:val="000000"/>
                <w:sz w:val="22"/>
                <w:szCs w:val="22"/>
              </w:rPr>
            </w:pPr>
            <w:r>
              <w:rPr>
                <w:rFonts w:ascii="Trebuchet MS" w:eastAsia="Trebuchet MS" w:hAnsi="Trebuchet MS" w:cs="Trebuchet MS"/>
                <w:color w:val="000000"/>
                <w:sz w:val="22"/>
                <w:szCs w:val="22"/>
              </w:rPr>
              <w:t>60 Day Payment condition – LSW 3001 Premium Payment Clause.</w:t>
            </w:r>
          </w:p>
          <w:p w14:paraId="73D5E3EA" w14:textId="77777777" w:rsidR="00592C29" w:rsidRDefault="00592C29" w:rsidP="00307766">
            <w:pPr>
              <w:spacing w:after="120" w:line="276" w:lineRule="auto"/>
              <w:rPr>
                <w:color w:val="000000"/>
                <w:sz w:val="22"/>
                <w:szCs w:val="22"/>
              </w:rPr>
            </w:pPr>
          </w:p>
          <w:p w14:paraId="6F957015" w14:textId="77777777" w:rsidR="00592C29" w:rsidRDefault="00592C29" w:rsidP="00307766">
            <w:pPr>
              <w:spacing w:after="120" w:line="276" w:lineRule="auto"/>
              <w:rPr>
                <w:color w:val="000000"/>
                <w:sz w:val="22"/>
                <w:szCs w:val="22"/>
              </w:rPr>
            </w:pPr>
          </w:p>
        </w:tc>
      </w:tr>
      <w:tr w:rsidR="00592C29" w14:paraId="0B9C087D" w14:textId="77777777">
        <w:tc>
          <w:tcPr>
            <w:tcW w:w="2376" w:type="dxa"/>
            <w:tcMar>
              <w:top w:w="5" w:type="dxa"/>
              <w:left w:w="113" w:type="dxa"/>
              <w:bottom w:w="5" w:type="dxa"/>
              <w:right w:w="113" w:type="dxa"/>
            </w:tcMar>
            <w:hideMark/>
          </w:tcPr>
          <w:p w14:paraId="51880C6C" w14:textId="77777777" w:rsidR="00592C29" w:rsidRDefault="0048296D" w:rsidP="00307766">
            <w:pPr>
              <w:spacing w:line="276" w:lineRule="auto"/>
              <w:rPr>
                <w:color w:val="000000"/>
                <w:sz w:val="22"/>
                <w:szCs w:val="22"/>
              </w:rPr>
            </w:pPr>
            <w:r>
              <w:rPr>
                <w:rFonts w:ascii="Trebuchet MS" w:eastAsia="Trebuchet MS" w:hAnsi="Trebuchet MS" w:cs="Trebuchet MS"/>
                <w:b/>
                <w:bCs/>
                <w:color w:val="000000"/>
                <w:sz w:val="22"/>
                <w:szCs w:val="22"/>
              </w:rPr>
              <w:t xml:space="preserve">TAXES PAYABLE </w:t>
            </w:r>
          </w:p>
          <w:p w14:paraId="6B517D20" w14:textId="77777777" w:rsidR="00592C29" w:rsidRDefault="0048296D" w:rsidP="00307766">
            <w:pPr>
              <w:spacing w:line="276" w:lineRule="auto"/>
              <w:ind w:left="1985" w:hanging="1985"/>
              <w:rPr>
                <w:color w:val="000000"/>
                <w:sz w:val="22"/>
                <w:szCs w:val="22"/>
              </w:rPr>
            </w:pPr>
            <w:r>
              <w:rPr>
                <w:rFonts w:ascii="Trebuchet MS" w:eastAsia="Trebuchet MS" w:hAnsi="Trebuchet MS" w:cs="Trebuchet MS"/>
                <w:b/>
                <w:bCs/>
                <w:color w:val="000000"/>
                <w:sz w:val="22"/>
                <w:szCs w:val="22"/>
              </w:rPr>
              <w:t>BY INSURED AND</w:t>
            </w:r>
          </w:p>
          <w:p w14:paraId="303A1210" w14:textId="77777777" w:rsidR="00592C29" w:rsidRDefault="0048296D" w:rsidP="00307766">
            <w:pPr>
              <w:spacing w:line="276" w:lineRule="auto"/>
              <w:ind w:left="1985" w:hanging="1985"/>
              <w:rPr>
                <w:color w:val="000000"/>
                <w:sz w:val="22"/>
                <w:szCs w:val="22"/>
              </w:rPr>
            </w:pPr>
            <w:r>
              <w:rPr>
                <w:rFonts w:ascii="Trebuchet MS" w:eastAsia="Trebuchet MS" w:hAnsi="Trebuchet MS" w:cs="Trebuchet MS"/>
                <w:b/>
                <w:bCs/>
                <w:color w:val="000000"/>
                <w:sz w:val="22"/>
                <w:szCs w:val="22"/>
              </w:rPr>
              <w:t xml:space="preserve">ADMINISTERED </w:t>
            </w:r>
          </w:p>
          <w:p w14:paraId="3ED3B6C5" w14:textId="77777777" w:rsidR="00592C29" w:rsidRDefault="0048296D" w:rsidP="00307766">
            <w:pPr>
              <w:spacing w:line="276" w:lineRule="auto"/>
              <w:ind w:left="1980" w:hanging="1980"/>
              <w:rPr>
                <w:color w:val="000000"/>
                <w:sz w:val="22"/>
                <w:szCs w:val="22"/>
              </w:rPr>
            </w:pPr>
            <w:r>
              <w:rPr>
                <w:rFonts w:ascii="Trebuchet MS" w:eastAsia="Trebuchet MS" w:hAnsi="Trebuchet MS" w:cs="Trebuchet MS"/>
                <w:b/>
                <w:bCs/>
                <w:color w:val="000000"/>
                <w:sz w:val="22"/>
                <w:szCs w:val="22"/>
              </w:rPr>
              <w:t>BY INSURER(S):</w:t>
            </w:r>
          </w:p>
        </w:tc>
        <w:tc>
          <w:tcPr>
            <w:tcW w:w="7371" w:type="dxa"/>
            <w:tcMar>
              <w:top w:w="5" w:type="dxa"/>
              <w:left w:w="113" w:type="dxa"/>
              <w:bottom w:w="5" w:type="dxa"/>
              <w:right w:w="113" w:type="dxa"/>
            </w:tcMar>
            <w:hideMark/>
          </w:tcPr>
          <w:p w14:paraId="5B177DEE" w14:textId="77777777" w:rsidR="00592C29" w:rsidRDefault="0048296D" w:rsidP="00307766">
            <w:pPr>
              <w:spacing w:after="120" w:line="276" w:lineRule="auto"/>
              <w:ind w:left="1026" w:hanging="1026"/>
              <w:rPr>
                <w:color w:val="000000"/>
                <w:sz w:val="22"/>
                <w:szCs w:val="22"/>
              </w:rPr>
            </w:pPr>
            <w:r>
              <w:rPr>
                <w:rFonts w:ascii="Trebuchet MS" w:eastAsia="Trebuchet MS" w:hAnsi="Trebuchet MS" w:cs="Trebuchet MS"/>
                <w:color w:val="000000"/>
                <w:sz w:val="22"/>
                <w:szCs w:val="22"/>
              </w:rPr>
              <w:t>UK</w:t>
            </w:r>
            <w:r>
              <w:rPr>
                <w:rFonts w:ascii="Trebuchet MS" w:eastAsia="Trebuchet MS" w:hAnsi="Trebuchet MS" w:cs="Trebuchet MS"/>
                <w:color w:val="000000"/>
                <w:sz w:val="22"/>
                <w:szCs w:val="22"/>
              </w:rPr>
              <w:tab/>
              <w:t>IPT at 12% on UK Gross Premium (GBP 550,000)</w:t>
            </w:r>
          </w:p>
          <w:p w14:paraId="2F46EF8D" w14:textId="77777777" w:rsidR="00592C29" w:rsidRDefault="0048296D" w:rsidP="00307766">
            <w:pPr>
              <w:spacing w:after="120" w:line="276" w:lineRule="auto"/>
              <w:ind w:left="1026" w:hanging="1026"/>
              <w:rPr>
                <w:color w:val="000000"/>
                <w:sz w:val="22"/>
                <w:szCs w:val="22"/>
              </w:rPr>
            </w:pPr>
            <w:r>
              <w:rPr>
                <w:rFonts w:ascii="Trebuchet MS" w:eastAsia="Trebuchet MS" w:hAnsi="Trebuchet MS" w:cs="Trebuchet MS"/>
                <w:color w:val="000000"/>
                <w:sz w:val="22"/>
                <w:szCs w:val="22"/>
              </w:rPr>
              <w:t>Spain</w:t>
            </w:r>
            <w:r>
              <w:rPr>
                <w:rFonts w:ascii="Trebuchet MS" w:eastAsia="Trebuchet MS" w:hAnsi="Trebuchet MS" w:cs="Trebuchet MS"/>
                <w:color w:val="000000"/>
                <w:sz w:val="22"/>
                <w:szCs w:val="22"/>
              </w:rPr>
              <w:tab/>
              <w:t xml:space="preserve">Premium tax at 6% (on GBP 200,000 Gross Premium), </w:t>
            </w:r>
            <w:proofErr w:type="spellStart"/>
            <w:r>
              <w:rPr>
                <w:rFonts w:ascii="Trebuchet MS" w:eastAsia="Trebuchet MS" w:hAnsi="Trebuchet MS" w:cs="Trebuchet MS"/>
                <w:color w:val="000000"/>
                <w:sz w:val="22"/>
                <w:szCs w:val="22"/>
              </w:rPr>
              <w:t>Consorcio</w:t>
            </w:r>
            <w:proofErr w:type="spellEnd"/>
            <w:r>
              <w:rPr>
                <w:rFonts w:ascii="Trebuchet MS" w:eastAsia="Trebuchet MS" w:hAnsi="Trebuchet MS" w:cs="Trebuchet MS"/>
                <w:color w:val="000000"/>
                <w:sz w:val="22"/>
                <w:szCs w:val="22"/>
              </w:rPr>
              <w:t xml:space="preserve"> (formerly CLEA) at 1.5% (on GBP 200,000 Gross Premium) </w:t>
            </w:r>
          </w:p>
          <w:p w14:paraId="4F60B0C4" w14:textId="77777777" w:rsidR="00592C29" w:rsidRDefault="0048296D" w:rsidP="00307766">
            <w:pPr>
              <w:spacing w:after="120" w:line="276" w:lineRule="auto"/>
              <w:ind w:left="1026"/>
              <w:rPr>
                <w:color w:val="000000"/>
                <w:sz w:val="22"/>
                <w:szCs w:val="22"/>
              </w:rPr>
            </w:pPr>
            <w:proofErr w:type="spellStart"/>
            <w:r>
              <w:rPr>
                <w:rFonts w:ascii="Trebuchet MS" w:eastAsia="Trebuchet MS" w:hAnsi="Trebuchet MS" w:cs="Trebuchet MS"/>
                <w:color w:val="000000"/>
                <w:sz w:val="22"/>
                <w:szCs w:val="22"/>
              </w:rPr>
              <w:t>Consorcio</w:t>
            </w:r>
            <w:proofErr w:type="spellEnd"/>
            <w:r>
              <w:rPr>
                <w:rFonts w:ascii="Trebuchet MS" w:eastAsia="Trebuchet MS" w:hAnsi="Trebuchet MS" w:cs="Trebuchet MS"/>
                <w:color w:val="000000"/>
                <w:sz w:val="22"/>
                <w:szCs w:val="22"/>
              </w:rPr>
              <w:t xml:space="preserve"> (extraordinary risks) at 0.021% of the Sum Insured (EUR 13,500,000)</w:t>
            </w:r>
          </w:p>
          <w:p w14:paraId="415C6C30" w14:textId="5E3E675D" w:rsidR="00592C29" w:rsidRDefault="0048296D" w:rsidP="00307766">
            <w:pPr>
              <w:spacing w:after="120" w:line="276" w:lineRule="auto"/>
              <w:ind w:left="1026" w:hanging="1026"/>
              <w:rPr>
                <w:color w:val="000000"/>
                <w:sz w:val="22"/>
                <w:szCs w:val="22"/>
              </w:rPr>
            </w:pPr>
            <w:r>
              <w:rPr>
                <w:rFonts w:ascii="Trebuchet MS" w:eastAsia="Trebuchet MS" w:hAnsi="Trebuchet MS" w:cs="Trebuchet MS"/>
                <w:color w:val="000000"/>
                <w:sz w:val="22"/>
                <w:szCs w:val="22"/>
              </w:rPr>
              <w:t>Austria</w:t>
            </w:r>
            <w:r>
              <w:rPr>
                <w:rFonts w:ascii="Trebuchet MS" w:eastAsia="Trebuchet MS" w:hAnsi="Trebuchet MS" w:cs="Trebuchet MS"/>
                <w:color w:val="000000"/>
                <w:sz w:val="22"/>
                <w:szCs w:val="22"/>
              </w:rPr>
              <w:tab/>
              <w:t xml:space="preserve">Premium Tax at 11% (on GBP 50,000 Gross Premium), Fire Brigade Charge at 4% of 20% of Gross Premium apportioned to fire only risks (GBP 10,000) </w:t>
            </w:r>
          </w:p>
          <w:p w14:paraId="11AF42A2" w14:textId="77777777" w:rsidR="00592C29" w:rsidRDefault="00592C29" w:rsidP="00307766">
            <w:pPr>
              <w:spacing w:after="120" w:line="276" w:lineRule="auto"/>
              <w:rPr>
                <w:color w:val="000000"/>
                <w:sz w:val="22"/>
                <w:szCs w:val="22"/>
              </w:rPr>
            </w:pPr>
          </w:p>
        </w:tc>
      </w:tr>
      <w:tr w:rsidR="00592C29" w14:paraId="7D627136" w14:textId="77777777">
        <w:tc>
          <w:tcPr>
            <w:tcW w:w="2376" w:type="dxa"/>
            <w:tcMar>
              <w:top w:w="5" w:type="dxa"/>
              <w:left w:w="113" w:type="dxa"/>
              <w:bottom w:w="5" w:type="dxa"/>
              <w:right w:w="113" w:type="dxa"/>
            </w:tcMar>
            <w:hideMark/>
          </w:tcPr>
          <w:p w14:paraId="7BFE4965" w14:textId="77777777" w:rsidR="00592C29" w:rsidRDefault="0048296D" w:rsidP="00307766">
            <w:pPr>
              <w:spacing w:line="276" w:lineRule="auto"/>
              <w:rPr>
                <w:color w:val="000000"/>
                <w:sz w:val="22"/>
                <w:szCs w:val="22"/>
              </w:rPr>
            </w:pPr>
            <w:r>
              <w:rPr>
                <w:rFonts w:ascii="Trebuchet MS" w:eastAsia="Trebuchet MS" w:hAnsi="Trebuchet MS" w:cs="Trebuchet MS"/>
                <w:b/>
                <w:bCs/>
                <w:color w:val="000000"/>
                <w:sz w:val="22"/>
                <w:szCs w:val="22"/>
              </w:rPr>
              <w:t xml:space="preserve">TAXES PAYABLE </w:t>
            </w:r>
          </w:p>
          <w:p w14:paraId="6552AB6A" w14:textId="77777777" w:rsidR="00592C29" w:rsidRDefault="0048296D" w:rsidP="00307766">
            <w:pPr>
              <w:spacing w:line="276" w:lineRule="auto"/>
              <w:ind w:left="1985" w:hanging="1985"/>
              <w:rPr>
                <w:color w:val="000000"/>
                <w:sz w:val="22"/>
                <w:szCs w:val="22"/>
              </w:rPr>
            </w:pPr>
            <w:r>
              <w:rPr>
                <w:rFonts w:ascii="Trebuchet MS" w:eastAsia="Trebuchet MS" w:hAnsi="Trebuchet MS" w:cs="Trebuchet MS"/>
                <w:b/>
                <w:bCs/>
                <w:color w:val="000000"/>
                <w:sz w:val="22"/>
                <w:szCs w:val="22"/>
              </w:rPr>
              <w:t>BY INSURERS AND</w:t>
            </w:r>
          </w:p>
          <w:p w14:paraId="2F86E7F0" w14:textId="77777777" w:rsidR="00592C29" w:rsidRDefault="0048296D" w:rsidP="00307766">
            <w:pPr>
              <w:spacing w:line="276" w:lineRule="auto"/>
              <w:ind w:left="1985" w:hanging="1985"/>
              <w:rPr>
                <w:color w:val="000000"/>
                <w:sz w:val="22"/>
                <w:szCs w:val="22"/>
              </w:rPr>
            </w:pPr>
            <w:r>
              <w:rPr>
                <w:rFonts w:ascii="Trebuchet MS" w:eastAsia="Trebuchet MS" w:hAnsi="Trebuchet MS" w:cs="Trebuchet MS"/>
                <w:b/>
                <w:bCs/>
                <w:color w:val="000000"/>
                <w:sz w:val="22"/>
                <w:szCs w:val="22"/>
              </w:rPr>
              <w:t xml:space="preserve">ADMINISTERED </w:t>
            </w:r>
          </w:p>
          <w:p w14:paraId="657CA146" w14:textId="77777777" w:rsidR="00592C29" w:rsidRDefault="0048296D" w:rsidP="00307766">
            <w:pPr>
              <w:spacing w:line="276" w:lineRule="auto"/>
              <w:ind w:left="1985" w:hanging="1985"/>
              <w:rPr>
                <w:color w:val="000000"/>
                <w:sz w:val="22"/>
                <w:szCs w:val="22"/>
              </w:rPr>
            </w:pPr>
            <w:r>
              <w:rPr>
                <w:rFonts w:ascii="Trebuchet MS" w:eastAsia="Trebuchet MS" w:hAnsi="Trebuchet MS" w:cs="Trebuchet MS"/>
                <w:b/>
                <w:bCs/>
                <w:color w:val="000000"/>
                <w:sz w:val="22"/>
                <w:szCs w:val="22"/>
              </w:rPr>
              <w:lastRenderedPageBreak/>
              <w:t xml:space="preserve">BY INSURED, </w:t>
            </w:r>
          </w:p>
          <w:p w14:paraId="7943F862" w14:textId="77777777" w:rsidR="00592C29" w:rsidRDefault="0048296D" w:rsidP="00307766">
            <w:pPr>
              <w:spacing w:line="276" w:lineRule="auto"/>
              <w:rPr>
                <w:color w:val="000000"/>
                <w:sz w:val="22"/>
                <w:szCs w:val="22"/>
              </w:rPr>
            </w:pPr>
            <w:r>
              <w:rPr>
                <w:rFonts w:ascii="Trebuchet MS" w:eastAsia="Trebuchet MS" w:hAnsi="Trebuchet MS" w:cs="Trebuchet MS"/>
                <w:b/>
                <w:bCs/>
                <w:color w:val="000000"/>
                <w:sz w:val="22"/>
                <w:szCs w:val="22"/>
              </w:rPr>
              <w:t>OR THEIR AGENT:</w:t>
            </w:r>
          </w:p>
        </w:tc>
        <w:tc>
          <w:tcPr>
            <w:tcW w:w="7371" w:type="dxa"/>
            <w:tcMar>
              <w:top w:w="5" w:type="dxa"/>
              <w:left w:w="113" w:type="dxa"/>
              <w:bottom w:w="5" w:type="dxa"/>
              <w:right w:w="113" w:type="dxa"/>
            </w:tcMar>
            <w:hideMark/>
          </w:tcPr>
          <w:p w14:paraId="3F9CAE67" w14:textId="77777777" w:rsidR="00592C29" w:rsidRDefault="0048296D">
            <w:pPr>
              <w:spacing w:after="200" w:line="276" w:lineRule="auto"/>
              <w:ind w:left="1985" w:hanging="1985"/>
              <w:rPr>
                <w:color w:val="000000"/>
                <w:sz w:val="22"/>
                <w:szCs w:val="22"/>
              </w:rPr>
            </w:pPr>
            <w:r>
              <w:rPr>
                <w:rFonts w:ascii="Trebuchet MS" w:eastAsia="Trebuchet MS" w:hAnsi="Trebuchet MS" w:cs="Trebuchet MS"/>
                <w:color w:val="000000"/>
                <w:sz w:val="22"/>
                <w:szCs w:val="22"/>
              </w:rPr>
              <w:lastRenderedPageBreak/>
              <w:t>New Zealand</w:t>
            </w:r>
            <w:r>
              <w:rPr>
                <w:rFonts w:ascii="Trebuchet MS" w:eastAsia="Trebuchet MS" w:hAnsi="Trebuchet MS" w:cs="Trebuchet MS"/>
                <w:color w:val="000000"/>
                <w:sz w:val="22"/>
                <w:szCs w:val="22"/>
              </w:rPr>
              <w:tab/>
              <w:t>Income Tax at 2.8% (on GBP 200,000 Gross Premium)</w:t>
            </w:r>
          </w:p>
          <w:p w14:paraId="552AB892" w14:textId="5214E485" w:rsidR="00307766" w:rsidRPr="00307766" w:rsidRDefault="0048296D" w:rsidP="00307766">
            <w:pPr>
              <w:spacing w:after="200" w:line="276" w:lineRule="auto"/>
              <w:ind w:left="1985"/>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lastRenderedPageBreak/>
              <w:t>Fire Services Commission Levy 0.076% on New Zealand Sum Insured (NZD 500,000)</w:t>
            </w:r>
          </w:p>
          <w:p w14:paraId="4FFEA9D7" w14:textId="77777777" w:rsidR="00592C29" w:rsidRDefault="00592C29">
            <w:pPr>
              <w:spacing w:after="200" w:line="276" w:lineRule="auto"/>
              <w:ind w:left="1026" w:hanging="1026"/>
              <w:rPr>
                <w:color w:val="000000"/>
                <w:sz w:val="22"/>
                <w:szCs w:val="22"/>
              </w:rPr>
            </w:pPr>
          </w:p>
          <w:p w14:paraId="0D7FDD88" w14:textId="068FA6CD" w:rsidR="00307766" w:rsidRDefault="00307766">
            <w:pPr>
              <w:spacing w:after="200" w:line="276" w:lineRule="auto"/>
              <w:ind w:left="1026" w:hanging="1026"/>
              <w:rPr>
                <w:color w:val="000000"/>
                <w:sz w:val="22"/>
                <w:szCs w:val="22"/>
              </w:rPr>
            </w:pPr>
          </w:p>
        </w:tc>
      </w:tr>
      <w:tr w:rsidR="00592C29" w14:paraId="3598C955" w14:textId="77777777">
        <w:tc>
          <w:tcPr>
            <w:tcW w:w="2376" w:type="dxa"/>
            <w:tcMar>
              <w:top w:w="5" w:type="dxa"/>
              <w:left w:w="113" w:type="dxa"/>
              <w:bottom w:w="5" w:type="dxa"/>
              <w:right w:w="113" w:type="dxa"/>
            </w:tcMar>
            <w:hideMark/>
          </w:tcPr>
          <w:p w14:paraId="449E1768" w14:textId="77777777" w:rsidR="00592C29" w:rsidRDefault="0048296D" w:rsidP="00307766">
            <w:pPr>
              <w:spacing w:line="276" w:lineRule="auto"/>
              <w:ind w:left="1985" w:hanging="1985"/>
              <w:rPr>
                <w:color w:val="000000"/>
                <w:sz w:val="22"/>
                <w:szCs w:val="22"/>
              </w:rPr>
            </w:pPr>
            <w:r>
              <w:rPr>
                <w:rFonts w:ascii="Trebuchet MS" w:eastAsia="Trebuchet MS" w:hAnsi="Trebuchet MS" w:cs="Trebuchet MS"/>
                <w:b/>
                <w:bCs/>
                <w:color w:val="000000"/>
                <w:sz w:val="22"/>
                <w:szCs w:val="22"/>
              </w:rPr>
              <w:lastRenderedPageBreak/>
              <w:t>RECORDING,</w:t>
            </w:r>
          </w:p>
          <w:p w14:paraId="7FF4D51B" w14:textId="77777777" w:rsidR="00592C29" w:rsidRDefault="0048296D" w:rsidP="00307766">
            <w:pPr>
              <w:spacing w:line="276" w:lineRule="auto"/>
              <w:ind w:left="1985" w:hanging="1985"/>
              <w:rPr>
                <w:color w:val="000000"/>
                <w:sz w:val="22"/>
                <w:szCs w:val="22"/>
              </w:rPr>
            </w:pPr>
            <w:r>
              <w:rPr>
                <w:rFonts w:ascii="Trebuchet MS" w:eastAsia="Trebuchet MS" w:hAnsi="Trebuchet MS" w:cs="Trebuchet MS"/>
                <w:b/>
                <w:bCs/>
                <w:color w:val="000000"/>
                <w:sz w:val="22"/>
                <w:szCs w:val="22"/>
              </w:rPr>
              <w:t>TRANSMITTING &amp;</w:t>
            </w:r>
          </w:p>
          <w:p w14:paraId="6EA07553" w14:textId="77777777" w:rsidR="00592C29" w:rsidRDefault="0048296D" w:rsidP="00307766">
            <w:pPr>
              <w:spacing w:line="276" w:lineRule="auto"/>
              <w:ind w:left="1985" w:hanging="1985"/>
              <w:rPr>
                <w:color w:val="000000"/>
                <w:sz w:val="22"/>
                <w:szCs w:val="22"/>
              </w:rPr>
            </w:pPr>
            <w:r>
              <w:rPr>
                <w:rFonts w:ascii="Trebuchet MS" w:eastAsia="Trebuchet MS" w:hAnsi="Trebuchet MS" w:cs="Trebuchet MS"/>
                <w:b/>
                <w:bCs/>
                <w:color w:val="000000"/>
                <w:sz w:val="22"/>
                <w:szCs w:val="22"/>
              </w:rPr>
              <w:t>STORING</w:t>
            </w:r>
          </w:p>
          <w:p w14:paraId="1CC1EF8F" w14:textId="77777777" w:rsidR="00592C29" w:rsidRDefault="0048296D" w:rsidP="00307766">
            <w:pPr>
              <w:spacing w:line="276" w:lineRule="auto"/>
              <w:rPr>
                <w:color w:val="000000"/>
                <w:sz w:val="22"/>
                <w:szCs w:val="22"/>
              </w:rPr>
            </w:pPr>
            <w:r>
              <w:rPr>
                <w:rFonts w:ascii="Trebuchet MS" w:eastAsia="Trebuchet MS" w:hAnsi="Trebuchet MS" w:cs="Trebuchet MS"/>
                <w:b/>
                <w:bCs/>
                <w:color w:val="000000"/>
                <w:sz w:val="22"/>
                <w:szCs w:val="22"/>
              </w:rPr>
              <w:t>INFORMATION:</w:t>
            </w:r>
          </w:p>
        </w:tc>
        <w:tc>
          <w:tcPr>
            <w:tcW w:w="7371" w:type="dxa"/>
            <w:tcMar>
              <w:top w:w="5" w:type="dxa"/>
              <w:left w:w="113" w:type="dxa"/>
              <w:bottom w:w="5" w:type="dxa"/>
              <w:right w:w="113" w:type="dxa"/>
            </w:tcMar>
            <w:hideMark/>
          </w:tcPr>
          <w:p w14:paraId="571004E8" w14:textId="77777777" w:rsidR="00592C29" w:rsidRDefault="0048296D" w:rsidP="00307766">
            <w:pPr>
              <w:spacing w:after="120" w:line="276" w:lineRule="auto"/>
              <w:rPr>
                <w:color w:val="000000"/>
                <w:sz w:val="22"/>
                <w:szCs w:val="22"/>
              </w:rPr>
            </w:pPr>
            <w:r>
              <w:rPr>
                <w:rFonts w:ascii="Trebuchet MS" w:eastAsia="Trebuchet MS" w:hAnsi="Trebuchet MS" w:cs="Trebuchet MS"/>
                <w:color w:val="000000"/>
                <w:sz w:val="22"/>
                <w:szCs w:val="22"/>
              </w:rPr>
              <w:t>Where Broker XYZ maintains risk and claim data/information/documents Broker XYZ may hold data/information/documents electronically.</w:t>
            </w:r>
          </w:p>
          <w:p w14:paraId="67DE1656" w14:textId="77777777" w:rsidR="00592C29" w:rsidRDefault="00592C29" w:rsidP="00307766">
            <w:pPr>
              <w:spacing w:after="120" w:line="276" w:lineRule="auto"/>
              <w:rPr>
                <w:color w:val="000000"/>
                <w:sz w:val="22"/>
                <w:szCs w:val="22"/>
              </w:rPr>
            </w:pPr>
          </w:p>
          <w:p w14:paraId="4E0BCBDD" w14:textId="77777777" w:rsidR="00592C29" w:rsidRDefault="00592C29" w:rsidP="00307766">
            <w:pPr>
              <w:spacing w:after="120" w:line="276" w:lineRule="auto"/>
              <w:ind w:left="1985" w:hanging="1985"/>
              <w:rPr>
                <w:color w:val="000000"/>
                <w:sz w:val="22"/>
                <w:szCs w:val="22"/>
              </w:rPr>
            </w:pPr>
          </w:p>
        </w:tc>
      </w:tr>
      <w:tr w:rsidR="00592C29" w14:paraId="6670B6B2" w14:textId="77777777">
        <w:tc>
          <w:tcPr>
            <w:tcW w:w="2376" w:type="dxa"/>
            <w:tcMar>
              <w:top w:w="5" w:type="dxa"/>
              <w:left w:w="113" w:type="dxa"/>
              <w:bottom w:w="5" w:type="dxa"/>
              <w:right w:w="113" w:type="dxa"/>
            </w:tcMar>
            <w:hideMark/>
          </w:tcPr>
          <w:p w14:paraId="417098DF" w14:textId="77777777" w:rsidR="00592C29" w:rsidRDefault="0048296D" w:rsidP="00307766">
            <w:pPr>
              <w:spacing w:line="276" w:lineRule="auto"/>
              <w:rPr>
                <w:color w:val="000000"/>
                <w:sz w:val="22"/>
                <w:szCs w:val="22"/>
              </w:rPr>
            </w:pPr>
            <w:r>
              <w:rPr>
                <w:rFonts w:ascii="Trebuchet MS" w:eastAsia="Trebuchet MS" w:hAnsi="Trebuchet MS" w:cs="Trebuchet MS"/>
                <w:b/>
                <w:bCs/>
                <w:color w:val="000000"/>
                <w:sz w:val="22"/>
                <w:szCs w:val="22"/>
              </w:rPr>
              <w:t xml:space="preserve">INSURER </w:t>
            </w:r>
          </w:p>
          <w:p w14:paraId="17A5786F" w14:textId="77777777" w:rsidR="00592C29" w:rsidRDefault="0048296D" w:rsidP="00307766">
            <w:pPr>
              <w:spacing w:line="276" w:lineRule="auto"/>
              <w:rPr>
                <w:color w:val="000000"/>
                <w:sz w:val="22"/>
                <w:szCs w:val="22"/>
              </w:rPr>
            </w:pPr>
            <w:r>
              <w:rPr>
                <w:rFonts w:ascii="Trebuchet MS" w:eastAsia="Trebuchet MS" w:hAnsi="Trebuchet MS" w:cs="Trebuchet MS"/>
                <w:b/>
                <w:bCs/>
                <w:color w:val="000000"/>
                <w:sz w:val="22"/>
                <w:szCs w:val="22"/>
              </w:rPr>
              <w:t>CONTRACT</w:t>
            </w:r>
          </w:p>
          <w:p w14:paraId="4209F07F" w14:textId="77777777" w:rsidR="00592C29" w:rsidRDefault="0048296D" w:rsidP="00307766">
            <w:pPr>
              <w:spacing w:line="276" w:lineRule="auto"/>
              <w:rPr>
                <w:color w:val="000000"/>
                <w:sz w:val="22"/>
                <w:szCs w:val="22"/>
              </w:rPr>
            </w:pPr>
            <w:r>
              <w:rPr>
                <w:rFonts w:ascii="Trebuchet MS" w:eastAsia="Trebuchet MS" w:hAnsi="Trebuchet MS" w:cs="Trebuchet MS"/>
                <w:b/>
                <w:bCs/>
                <w:color w:val="000000"/>
                <w:sz w:val="22"/>
                <w:szCs w:val="22"/>
              </w:rPr>
              <w:t>DOCUMENTATION:</w:t>
            </w:r>
          </w:p>
        </w:tc>
        <w:tc>
          <w:tcPr>
            <w:tcW w:w="7371" w:type="dxa"/>
            <w:tcMar>
              <w:top w:w="5" w:type="dxa"/>
              <w:left w:w="113" w:type="dxa"/>
              <w:bottom w:w="5" w:type="dxa"/>
              <w:right w:w="113" w:type="dxa"/>
            </w:tcMar>
            <w:hideMark/>
          </w:tcPr>
          <w:p w14:paraId="125C1E7E" w14:textId="72D687F6" w:rsidR="00592C29" w:rsidRDefault="0048296D" w:rsidP="00307766">
            <w:pPr>
              <w:spacing w:after="120" w:line="276" w:lineRule="auto"/>
              <w:jc w:val="both"/>
              <w:rPr>
                <w:color w:val="000000"/>
                <w:sz w:val="22"/>
                <w:szCs w:val="22"/>
              </w:rPr>
            </w:pPr>
            <w:r>
              <w:rPr>
                <w:rFonts w:ascii="Trebuchet MS" w:eastAsia="Trebuchet MS" w:hAnsi="Trebuchet MS" w:cs="Trebuchet MS"/>
                <w:color w:val="000000"/>
                <w:sz w:val="22"/>
                <w:szCs w:val="22"/>
              </w:rPr>
              <w:t>This document details the contract terms entered into by the insurer(s</w:t>
            </w:r>
            <w:r w:rsidR="00307766">
              <w:rPr>
                <w:rFonts w:ascii="Trebuchet MS" w:eastAsia="Trebuchet MS" w:hAnsi="Trebuchet MS" w:cs="Trebuchet MS"/>
                <w:color w:val="000000"/>
                <w:sz w:val="22"/>
                <w:szCs w:val="22"/>
              </w:rPr>
              <w:t>) and</w:t>
            </w:r>
            <w:r>
              <w:rPr>
                <w:rFonts w:ascii="Trebuchet MS" w:eastAsia="Trebuchet MS" w:hAnsi="Trebuchet MS" w:cs="Trebuchet MS"/>
                <w:color w:val="000000"/>
                <w:sz w:val="22"/>
                <w:szCs w:val="22"/>
              </w:rPr>
              <w:t xml:space="preserve"> constitutes the contract document. </w:t>
            </w:r>
          </w:p>
          <w:p w14:paraId="74D94FE7" w14:textId="77777777" w:rsidR="00592C29" w:rsidRDefault="0048296D" w:rsidP="00307766">
            <w:pPr>
              <w:spacing w:after="120" w:line="276" w:lineRule="auto"/>
              <w:rPr>
                <w:color w:val="000000"/>
                <w:sz w:val="22"/>
                <w:szCs w:val="22"/>
              </w:rPr>
            </w:pPr>
            <w:r>
              <w:rPr>
                <w:rFonts w:ascii="Trebuchet MS" w:eastAsia="Trebuchet MS" w:hAnsi="Trebuchet MS" w:cs="Trebuchet MS"/>
                <w:color w:val="000000"/>
                <w:sz w:val="22"/>
                <w:szCs w:val="22"/>
              </w:rPr>
              <w:t xml:space="preserve">Any further documentation changing this contract, agreed in accordance with the contract change provisions set out in this contract, shall form the evidence of such change </w:t>
            </w:r>
          </w:p>
          <w:p w14:paraId="4FDB3758" w14:textId="77777777" w:rsidR="00592C29" w:rsidRDefault="00592C29" w:rsidP="00307766">
            <w:pPr>
              <w:spacing w:after="120" w:line="276" w:lineRule="auto"/>
              <w:jc w:val="both"/>
              <w:rPr>
                <w:color w:val="000000"/>
                <w:sz w:val="22"/>
                <w:szCs w:val="22"/>
              </w:rPr>
            </w:pPr>
          </w:p>
          <w:p w14:paraId="27E71080" w14:textId="77777777" w:rsidR="00592C29" w:rsidRDefault="00592C29" w:rsidP="00307766">
            <w:pPr>
              <w:spacing w:after="120" w:line="276" w:lineRule="auto"/>
              <w:rPr>
                <w:color w:val="000000"/>
                <w:sz w:val="22"/>
                <w:szCs w:val="22"/>
              </w:rPr>
            </w:pPr>
          </w:p>
        </w:tc>
      </w:tr>
      <w:tr w:rsidR="00592C29" w14:paraId="75D85094" w14:textId="77777777">
        <w:tc>
          <w:tcPr>
            <w:tcW w:w="2376" w:type="dxa"/>
            <w:tcMar>
              <w:top w:w="5" w:type="dxa"/>
              <w:left w:w="113" w:type="dxa"/>
              <w:bottom w:w="5" w:type="dxa"/>
              <w:right w:w="113" w:type="dxa"/>
            </w:tcMar>
            <w:hideMark/>
          </w:tcPr>
          <w:p w14:paraId="0D1DAD59" w14:textId="77777777" w:rsidR="00592C29" w:rsidRDefault="0048296D" w:rsidP="00307766">
            <w:pPr>
              <w:spacing w:line="276" w:lineRule="auto"/>
              <w:rPr>
                <w:color w:val="000000"/>
                <w:sz w:val="22"/>
                <w:szCs w:val="22"/>
              </w:rPr>
            </w:pPr>
            <w:r>
              <w:rPr>
                <w:rFonts w:ascii="Trebuchet MS" w:eastAsia="Trebuchet MS" w:hAnsi="Trebuchet MS" w:cs="Trebuchet MS"/>
                <w:b/>
                <w:bCs/>
                <w:color w:val="000000"/>
                <w:sz w:val="22"/>
                <w:szCs w:val="22"/>
              </w:rPr>
              <w:t xml:space="preserve">NOTICE OF </w:t>
            </w:r>
          </w:p>
          <w:p w14:paraId="468FEB46" w14:textId="77777777" w:rsidR="00592C29" w:rsidRDefault="0048296D" w:rsidP="00307766">
            <w:pPr>
              <w:spacing w:line="276" w:lineRule="auto"/>
              <w:rPr>
                <w:color w:val="000000"/>
                <w:sz w:val="22"/>
                <w:szCs w:val="22"/>
              </w:rPr>
            </w:pPr>
            <w:r>
              <w:rPr>
                <w:rFonts w:ascii="Trebuchet MS" w:eastAsia="Trebuchet MS" w:hAnsi="Trebuchet MS" w:cs="Trebuchet MS"/>
                <w:b/>
                <w:bCs/>
                <w:color w:val="000000"/>
                <w:sz w:val="22"/>
                <w:szCs w:val="22"/>
              </w:rPr>
              <w:t>CANCELLATION</w:t>
            </w:r>
          </w:p>
          <w:p w14:paraId="1A41C243" w14:textId="77777777" w:rsidR="00592C29" w:rsidRDefault="0048296D" w:rsidP="00307766">
            <w:pPr>
              <w:spacing w:line="276" w:lineRule="auto"/>
              <w:rPr>
                <w:color w:val="000000"/>
                <w:sz w:val="22"/>
                <w:szCs w:val="22"/>
              </w:rPr>
            </w:pPr>
            <w:r>
              <w:rPr>
                <w:rFonts w:ascii="Trebuchet MS" w:eastAsia="Trebuchet MS" w:hAnsi="Trebuchet MS" w:cs="Trebuchet MS"/>
                <w:b/>
                <w:bCs/>
                <w:color w:val="000000"/>
                <w:sz w:val="22"/>
                <w:szCs w:val="22"/>
              </w:rPr>
              <w:t>PROVISIONS:</w:t>
            </w:r>
          </w:p>
          <w:p w14:paraId="67C6320B" w14:textId="77777777" w:rsidR="00592C29" w:rsidRDefault="00592C29" w:rsidP="00307766">
            <w:pPr>
              <w:spacing w:line="276" w:lineRule="auto"/>
              <w:rPr>
                <w:color w:val="000000"/>
                <w:sz w:val="22"/>
                <w:szCs w:val="22"/>
              </w:rPr>
            </w:pPr>
          </w:p>
        </w:tc>
        <w:tc>
          <w:tcPr>
            <w:tcW w:w="7371" w:type="dxa"/>
            <w:tcMar>
              <w:top w:w="5" w:type="dxa"/>
              <w:left w:w="113" w:type="dxa"/>
              <w:bottom w:w="5" w:type="dxa"/>
              <w:right w:w="113" w:type="dxa"/>
            </w:tcMar>
            <w:hideMark/>
          </w:tcPr>
          <w:p w14:paraId="397AC88E" w14:textId="77777777" w:rsidR="00592C29" w:rsidRDefault="0048296D" w:rsidP="00283DEC">
            <w:pPr>
              <w:spacing w:after="120" w:line="276" w:lineRule="auto"/>
              <w:jc w:val="both"/>
              <w:rPr>
                <w:color w:val="000000"/>
                <w:sz w:val="22"/>
                <w:szCs w:val="22"/>
              </w:rPr>
            </w:pPr>
            <w:r>
              <w:rPr>
                <w:rFonts w:ascii="Trebuchet MS" w:eastAsia="Trebuchet MS" w:hAnsi="Trebuchet MS" w:cs="Trebuchet MS"/>
                <w:color w:val="000000"/>
                <w:sz w:val="22"/>
                <w:szCs w:val="22"/>
              </w:rPr>
              <w:t xml:space="preserve">Where (re)insurers have the right to give notice of cancellation, in accordance with the provisions of the contract, then: </w:t>
            </w:r>
          </w:p>
          <w:p w14:paraId="07F67B13" w14:textId="77777777" w:rsidR="00592C29" w:rsidRDefault="0048296D" w:rsidP="00283DEC">
            <w:pPr>
              <w:spacing w:after="120" w:line="276" w:lineRule="auto"/>
              <w:jc w:val="both"/>
              <w:rPr>
                <w:color w:val="000000"/>
                <w:sz w:val="22"/>
                <w:szCs w:val="22"/>
              </w:rPr>
            </w:pPr>
            <w:r>
              <w:rPr>
                <w:rFonts w:ascii="Trebuchet MS" w:eastAsia="Trebuchet MS" w:hAnsi="Trebuchet MS" w:cs="Trebuchet MS"/>
                <w:color w:val="000000"/>
                <w:sz w:val="22"/>
                <w:szCs w:val="22"/>
              </w:rPr>
              <w:t xml:space="preserve">To the extent provided by the contract, the Slip Leader is </w:t>
            </w:r>
            <w:proofErr w:type="spellStart"/>
            <w:r>
              <w:rPr>
                <w:rFonts w:ascii="Trebuchet MS" w:eastAsia="Trebuchet MS" w:hAnsi="Trebuchet MS" w:cs="Trebuchet MS"/>
                <w:color w:val="000000"/>
                <w:sz w:val="22"/>
                <w:szCs w:val="22"/>
              </w:rPr>
              <w:t>authorised</w:t>
            </w:r>
            <w:proofErr w:type="spellEnd"/>
            <w:r>
              <w:rPr>
                <w:rFonts w:ascii="Trebuchet MS" w:eastAsia="Trebuchet MS" w:hAnsi="Trebuchet MS" w:cs="Trebuchet MS"/>
                <w:color w:val="000000"/>
                <w:sz w:val="22"/>
                <w:szCs w:val="22"/>
              </w:rPr>
              <w:t xml:space="preserve"> to issue such notice on behalf of all participating (re)insurers; and (optionally)</w:t>
            </w:r>
          </w:p>
          <w:p w14:paraId="3B26FDB3" w14:textId="77777777" w:rsidR="00592C29" w:rsidRDefault="0048296D" w:rsidP="00283DEC">
            <w:pPr>
              <w:spacing w:after="120" w:line="276" w:lineRule="auto"/>
              <w:jc w:val="both"/>
              <w:rPr>
                <w:color w:val="000000"/>
                <w:sz w:val="22"/>
                <w:szCs w:val="22"/>
              </w:rPr>
            </w:pPr>
            <w:r>
              <w:rPr>
                <w:rFonts w:ascii="Trebuchet MS" w:eastAsia="Trebuchet MS" w:hAnsi="Trebuchet MS" w:cs="Trebuchet MS"/>
                <w:color w:val="000000"/>
                <w:sz w:val="22"/>
                <w:szCs w:val="22"/>
              </w:rPr>
              <w:t xml:space="preserve">Any (re)insurer may issue such notice in respect of its own participation.  </w:t>
            </w:r>
          </w:p>
          <w:p w14:paraId="56353D78" w14:textId="77777777" w:rsidR="00592C29" w:rsidRDefault="0048296D" w:rsidP="00283DEC">
            <w:pPr>
              <w:spacing w:after="120" w:line="276" w:lineRule="auto"/>
              <w:jc w:val="both"/>
              <w:rPr>
                <w:color w:val="000000"/>
                <w:sz w:val="22"/>
                <w:szCs w:val="22"/>
              </w:rPr>
            </w:pPr>
            <w:r>
              <w:rPr>
                <w:rFonts w:ascii="Trebuchet MS" w:eastAsia="Trebuchet MS" w:hAnsi="Trebuchet MS" w:cs="Trebuchet MS"/>
                <w:color w:val="000000"/>
                <w:sz w:val="22"/>
                <w:szCs w:val="22"/>
              </w:rPr>
              <w:t xml:space="preserve">The content and format of any such notice should be in accordance with the ‘Notice of Cancellation’ standard, as published by the London Market Group (LMG), or their successor body, on behalf of London Market Associations and participants. However failure to comply with this standard will not affect the validity of the notice given. </w:t>
            </w:r>
          </w:p>
          <w:p w14:paraId="0DAA2D20" w14:textId="77777777" w:rsidR="00592C29" w:rsidRDefault="0048296D" w:rsidP="00283DEC">
            <w:pPr>
              <w:spacing w:after="120" w:line="276" w:lineRule="auto"/>
              <w:jc w:val="both"/>
              <w:rPr>
                <w:color w:val="000000"/>
                <w:sz w:val="22"/>
                <w:szCs w:val="22"/>
              </w:rPr>
            </w:pPr>
            <w:r>
              <w:rPr>
                <w:rFonts w:ascii="Trebuchet MS" w:eastAsia="Trebuchet MS" w:hAnsi="Trebuchet MS" w:cs="Trebuchet MS"/>
                <w:color w:val="000000"/>
                <w:sz w:val="22"/>
                <w:szCs w:val="22"/>
              </w:rPr>
              <w:t xml:space="preserve">The notice shall be provided to the broker by the following means: </w:t>
            </w:r>
          </w:p>
          <w:p w14:paraId="7875A220" w14:textId="77777777" w:rsidR="00592C29" w:rsidRDefault="0048296D" w:rsidP="00283DEC">
            <w:pPr>
              <w:spacing w:after="120" w:line="276" w:lineRule="auto"/>
              <w:jc w:val="both"/>
              <w:rPr>
                <w:color w:val="000000"/>
                <w:sz w:val="22"/>
                <w:szCs w:val="22"/>
              </w:rPr>
            </w:pPr>
            <w:r>
              <w:rPr>
                <w:rFonts w:ascii="Trebuchet MS" w:eastAsia="Trebuchet MS" w:hAnsi="Trebuchet MS" w:cs="Trebuchet MS"/>
                <w:color w:val="000000"/>
                <w:sz w:val="22"/>
                <w:szCs w:val="22"/>
              </w:rPr>
              <w:t>By an electronic message, to the ACORD standard agreed by market bodies, delivered to the XYZ system, (as defined by the relevant broker); or</w:t>
            </w:r>
          </w:p>
          <w:p w14:paraId="53D99D5C" w14:textId="77777777" w:rsidR="00592C29" w:rsidRDefault="0048296D" w:rsidP="00283DEC">
            <w:pPr>
              <w:spacing w:after="120" w:line="276" w:lineRule="auto"/>
              <w:rPr>
                <w:color w:val="000000"/>
                <w:sz w:val="22"/>
                <w:szCs w:val="22"/>
              </w:rPr>
            </w:pPr>
            <w:r>
              <w:rPr>
                <w:rFonts w:ascii="Trebuchet MS" w:eastAsia="Trebuchet MS" w:hAnsi="Trebuchet MS" w:cs="Trebuchet MS"/>
                <w:color w:val="000000"/>
                <w:sz w:val="22"/>
                <w:szCs w:val="22"/>
              </w:rPr>
              <w:t xml:space="preserve">By an email to </w:t>
            </w:r>
            <w:hyperlink r:id="rId34" w:history="1">
              <w:r>
                <w:rPr>
                  <w:rFonts w:ascii="Trebuchet MS" w:eastAsia="Trebuchet MS" w:hAnsi="Trebuchet MS" w:cs="Trebuchet MS"/>
                  <w:color w:val="000000"/>
                  <w:sz w:val="22"/>
                  <w:szCs w:val="22"/>
                </w:rPr>
                <w:t>Broker.Contact@xyzbroker.co.uk</w:t>
              </w:r>
            </w:hyperlink>
            <w:r>
              <w:rPr>
                <w:rFonts w:ascii="Trebuchet MS" w:eastAsia="Trebuchet MS" w:hAnsi="Trebuchet MS" w:cs="Trebuchet MS"/>
                <w:color w:val="000000"/>
                <w:sz w:val="22"/>
                <w:szCs w:val="22"/>
              </w:rPr>
              <w:t xml:space="preserve">  and </w:t>
            </w:r>
            <w:hyperlink r:id="rId35" w:history="1">
              <w:r>
                <w:rPr>
                  <w:rFonts w:ascii="Trebuchet MS" w:eastAsia="Trebuchet MS" w:hAnsi="Trebuchet MS" w:cs="Trebuchet MS"/>
                  <w:color w:val="000000"/>
                  <w:sz w:val="22"/>
                  <w:szCs w:val="22"/>
                </w:rPr>
                <w:t>Compliance.Contact@xyzbroker.co.uk</w:t>
              </w:r>
            </w:hyperlink>
            <w:r>
              <w:rPr>
                <w:rFonts w:ascii="Trebuchet MS" w:eastAsia="Trebuchet MS" w:hAnsi="Trebuchet MS" w:cs="Trebuchet MS"/>
                <w:color w:val="000000"/>
                <w:sz w:val="22"/>
                <w:szCs w:val="22"/>
              </w:rPr>
              <w:t xml:space="preserve"> ; or</w:t>
            </w:r>
          </w:p>
          <w:p w14:paraId="5E76B673" w14:textId="77777777" w:rsidR="00592C29" w:rsidRDefault="0048296D" w:rsidP="00283DEC">
            <w:pPr>
              <w:spacing w:after="120" w:line="276" w:lineRule="auto"/>
              <w:rPr>
                <w:color w:val="000000"/>
                <w:sz w:val="22"/>
                <w:szCs w:val="22"/>
              </w:rPr>
            </w:pPr>
            <w:r>
              <w:rPr>
                <w:rFonts w:ascii="Trebuchet MS" w:eastAsia="Trebuchet MS" w:hAnsi="Trebuchet MS" w:cs="Trebuchet MS"/>
                <w:color w:val="000000"/>
                <w:sz w:val="22"/>
                <w:szCs w:val="22"/>
              </w:rPr>
              <w:t xml:space="preserve">By an email to </w:t>
            </w:r>
            <w:hyperlink r:id="rId36" w:history="1">
              <w:r>
                <w:rPr>
                  <w:rFonts w:ascii="Trebuchet MS" w:eastAsia="Trebuchet MS" w:hAnsi="Trebuchet MS" w:cs="Trebuchet MS"/>
                  <w:color w:val="000000"/>
                  <w:sz w:val="22"/>
                  <w:szCs w:val="22"/>
                </w:rPr>
                <w:t>aviationnoc@xyzbrokers.co.uk</w:t>
              </w:r>
            </w:hyperlink>
            <w:r>
              <w:rPr>
                <w:rFonts w:ascii="Trebuchet MS" w:eastAsia="Trebuchet MS" w:hAnsi="Trebuchet MS" w:cs="Trebuchet MS"/>
                <w:color w:val="000000"/>
                <w:sz w:val="22"/>
                <w:szCs w:val="22"/>
              </w:rPr>
              <w:t xml:space="preserve"> .</w:t>
            </w:r>
          </w:p>
          <w:p w14:paraId="0B42466D" w14:textId="77777777" w:rsidR="00592C29" w:rsidRDefault="00592C29" w:rsidP="00283DEC">
            <w:pPr>
              <w:spacing w:after="120" w:line="276" w:lineRule="auto"/>
              <w:jc w:val="both"/>
              <w:rPr>
                <w:color w:val="000000"/>
                <w:sz w:val="22"/>
                <w:szCs w:val="22"/>
              </w:rPr>
            </w:pPr>
          </w:p>
          <w:p w14:paraId="0894859D" w14:textId="77777777" w:rsidR="00592C29" w:rsidRDefault="0048296D" w:rsidP="00283DEC">
            <w:pPr>
              <w:spacing w:after="120" w:line="276" w:lineRule="auto"/>
              <w:jc w:val="both"/>
              <w:rPr>
                <w:color w:val="000000"/>
                <w:sz w:val="22"/>
                <w:szCs w:val="22"/>
              </w:rPr>
            </w:pPr>
            <w:r>
              <w:rPr>
                <w:rFonts w:ascii="Trebuchet MS" w:eastAsia="Trebuchet MS" w:hAnsi="Trebuchet MS" w:cs="Trebuchet MS"/>
                <w:color w:val="000000"/>
                <w:sz w:val="22"/>
                <w:szCs w:val="22"/>
              </w:rPr>
              <w:t xml:space="preserve">Failure to comply with this delivery requirement will make the notice null and void. Satisfactory delivery of the notice will cause it to be effective irrespective of whether the broker has acknowledged receipt. </w:t>
            </w:r>
          </w:p>
          <w:p w14:paraId="44D68C7C" w14:textId="77777777" w:rsidR="00592C29" w:rsidRDefault="00592C29" w:rsidP="00283DEC">
            <w:pPr>
              <w:spacing w:after="120" w:line="276" w:lineRule="auto"/>
              <w:jc w:val="both"/>
              <w:rPr>
                <w:color w:val="000000"/>
                <w:sz w:val="22"/>
                <w:szCs w:val="22"/>
              </w:rPr>
            </w:pPr>
          </w:p>
        </w:tc>
      </w:tr>
    </w:tbl>
    <w:p w14:paraId="06982E50" w14:textId="77777777" w:rsidR="00592C29" w:rsidRDefault="00592C29">
      <w:pPr>
        <w:spacing w:after="200" w:line="276" w:lineRule="auto"/>
        <w:ind w:left="1985" w:hanging="1985"/>
        <w:rPr>
          <w:sz w:val="22"/>
          <w:szCs w:val="22"/>
        </w:rPr>
      </w:pPr>
      <w:bookmarkStart w:id="69" w:name="OLE_LINK2"/>
    </w:p>
    <w:p w14:paraId="17355FF3" w14:textId="77777777" w:rsidR="00592C29" w:rsidRDefault="0048296D">
      <w:pPr>
        <w:spacing w:after="200" w:line="276" w:lineRule="auto"/>
        <w:ind w:left="1985" w:hanging="1985"/>
        <w:rPr>
          <w:sz w:val="22"/>
          <w:szCs w:val="22"/>
        </w:rPr>
      </w:pPr>
      <w:r>
        <w:rPr>
          <w:sz w:val="22"/>
          <w:szCs w:val="22"/>
        </w:rPr>
        <w:br w:type="page"/>
      </w:r>
    </w:p>
    <w:tbl>
      <w:tblPr>
        <w:tblW w:w="9781" w:type="dxa"/>
        <w:tblInd w:w="113" w:type="dxa"/>
        <w:tblCellMar>
          <w:left w:w="0" w:type="dxa"/>
          <w:right w:w="0" w:type="dxa"/>
        </w:tblCellMar>
        <w:tblLook w:val="04A0" w:firstRow="1" w:lastRow="0" w:firstColumn="1" w:lastColumn="0" w:noHBand="0" w:noVBand="1"/>
      </w:tblPr>
      <w:tblGrid>
        <w:gridCol w:w="9781"/>
      </w:tblGrid>
      <w:tr w:rsidR="00592C29" w14:paraId="5BD67A87" w14:textId="77777777">
        <w:tc>
          <w:tcPr>
            <w:tcW w:w="9781" w:type="dxa"/>
            <w:tcMar>
              <w:top w:w="5" w:type="dxa"/>
              <w:left w:w="113" w:type="dxa"/>
              <w:bottom w:w="5" w:type="dxa"/>
              <w:right w:w="113" w:type="dxa"/>
            </w:tcMar>
            <w:hideMark/>
          </w:tcPr>
          <w:p w14:paraId="75AE992F" w14:textId="692F6455" w:rsidR="00592C29" w:rsidRDefault="0048296D">
            <w:pPr>
              <w:spacing w:after="200" w:line="276" w:lineRule="auto"/>
              <w:rPr>
                <w:color w:val="000000"/>
                <w:sz w:val="40"/>
                <w:szCs w:val="40"/>
              </w:rPr>
            </w:pPr>
            <w:r>
              <w:rPr>
                <w:rFonts w:ascii="Trebuchet MS" w:eastAsia="Trebuchet MS" w:hAnsi="Trebuchet MS" w:cs="Trebuchet MS"/>
                <w:b/>
                <w:bCs/>
                <w:color w:val="000000"/>
                <w:sz w:val="40"/>
                <w:szCs w:val="40"/>
              </w:rPr>
              <w:lastRenderedPageBreak/>
              <w:t xml:space="preserve">Information </w:t>
            </w:r>
          </w:p>
          <w:p w14:paraId="46378AD9" w14:textId="77777777" w:rsidR="00592C29" w:rsidRDefault="00592C29">
            <w:pPr>
              <w:spacing w:after="200" w:line="276" w:lineRule="auto"/>
              <w:rPr>
                <w:color w:val="000000"/>
                <w:sz w:val="22"/>
                <w:szCs w:val="22"/>
              </w:rPr>
            </w:pPr>
          </w:p>
        </w:tc>
      </w:tr>
      <w:tr w:rsidR="00592C29" w14:paraId="77E62DF4" w14:textId="77777777">
        <w:tc>
          <w:tcPr>
            <w:tcW w:w="9781" w:type="dxa"/>
            <w:tcMar>
              <w:top w:w="5" w:type="dxa"/>
              <w:left w:w="113" w:type="dxa"/>
              <w:bottom w:w="5" w:type="dxa"/>
              <w:right w:w="113" w:type="dxa"/>
            </w:tcMar>
            <w:hideMark/>
          </w:tcPr>
          <w:p w14:paraId="4E2762C3" w14:textId="77777777" w:rsidR="00592C29" w:rsidRDefault="0048296D" w:rsidP="00283DEC">
            <w:pPr>
              <w:spacing w:after="120" w:line="276" w:lineRule="auto"/>
              <w:rPr>
                <w:color w:val="000000"/>
                <w:sz w:val="22"/>
                <w:szCs w:val="22"/>
              </w:rPr>
            </w:pPr>
            <w:r>
              <w:rPr>
                <w:rFonts w:ascii="Trebuchet MS" w:eastAsia="Trebuchet MS" w:hAnsi="Trebuchet MS" w:cs="Trebuchet MS"/>
                <w:color w:val="000000"/>
                <w:sz w:val="22"/>
                <w:szCs w:val="22"/>
              </w:rPr>
              <w:t>The following information was provided to insurer(s) to support the assessment of the risk at the time of underwriting.</w:t>
            </w:r>
          </w:p>
          <w:p w14:paraId="5804A4E3" w14:textId="77777777" w:rsidR="00592C29" w:rsidRDefault="00592C29" w:rsidP="00283DEC">
            <w:pPr>
              <w:spacing w:after="120" w:line="276" w:lineRule="auto"/>
              <w:rPr>
                <w:color w:val="000000"/>
                <w:sz w:val="22"/>
                <w:szCs w:val="22"/>
              </w:rPr>
            </w:pPr>
          </w:p>
          <w:p w14:paraId="45366E55" w14:textId="77777777" w:rsidR="00592C29" w:rsidRDefault="0048296D" w:rsidP="00283DEC">
            <w:pPr>
              <w:spacing w:after="120" w:line="276" w:lineRule="auto"/>
              <w:rPr>
                <w:color w:val="000000"/>
                <w:sz w:val="22"/>
                <w:szCs w:val="22"/>
              </w:rPr>
            </w:pPr>
            <w:r>
              <w:rPr>
                <w:rFonts w:ascii="Trebuchet MS" w:eastAsia="Trebuchet MS" w:hAnsi="Trebuchet MS" w:cs="Trebuchet MS"/>
                <w:color w:val="000000"/>
                <w:sz w:val="22"/>
                <w:szCs w:val="22"/>
              </w:rPr>
              <w:t>Client submission dated November YYYY prepared by Producer Inc and seen by all participants hereon and held on file by Broker XYZ Ltd</w:t>
            </w:r>
          </w:p>
          <w:p w14:paraId="543392DC" w14:textId="77777777" w:rsidR="00592C29" w:rsidRDefault="00592C29" w:rsidP="00283DEC">
            <w:pPr>
              <w:spacing w:after="120" w:line="276" w:lineRule="auto"/>
              <w:rPr>
                <w:color w:val="000000"/>
                <w:sz w:val="22"/>
                <w:szCs w:val="22"/>
              </w:rPr>
            </w:pPr>
          </w:p>
          <w:p w14:paraId="5995F5E9" w14:textId="77777777" w:rsidR="00592C29" w:rsidRDefault="0048296D" w:rsidP="00283DEC">
            <w:pPr>
              <w:spacing w:after="120" w:line="276" w:lineRule="auto"/>
              <w:rPr>
                <w:color w:val="000000"/>
                <w:sz w:val="22"/>
                <w:szCs w:val="22"/>
              </w:rPr>
            </w:pPr>
            <w:r>
              <w:rPr>
                <w:rFonts w:ascii="Trebuchet MS" w:eastAsia="Trebuchet MS" w:hAnsi="Trebuchet MS" w:cs="Trebuchet MS"/>
                <w:color w:val="000000"/>
                <w:sz w:val="22"/>
                <w:szCs w:val="22"/>
              </w:rPr>
              <w:t>No losses past five years</w:t>
            </w:r>
          </w:p>
          <w:p w14:paraId="6907CC60" w14:textId="77777777" w:rsidR="00592C29" w:rsidRDefault="00592C29" w:rsidP="00283DEC">
            <w:pPr>
              <w:spacing w:after="120" w:line="276" w:lineRule="auto"/>
              <w:rPr>
                <w:color w:val="000000"/>
                <w:sz w:val="22"/>
                <w:szCs w:val="22"/>
              </w:rPr>
            </w:pPr>
          </w:p>
          <w:p w14:paraId="6B386BD2" w14:textId="77777777" w:rsidR="00592C29" w:rsidRDefault="0048296D" w:rsidP="00283DEC">
            <w:pPr>
              <w:spacing w:after="120" w:line="276" w:lineRule="auto"/>
              <w:rPr>
                <w:color w:val="000000"/>
                <w:sz w:val="22"/>
                <w:szCs w:val="22"/>
              </w:rPr>
            </w:pPr>
            <w:r>
              <w:rPr>
                <w:rFonts w:ascii="Trebuchet MS" w:eastAsia="Trebuchet MS" w:hAnsi="Trebuchet MS" w:cs="Trebuchet MS"/>
                <w:color w:val="000000"/>
                <w:sz w:val="22"/>
                <w:szCs w:val="22"/>
              </w:rPr>
              <w:t>EFG Burglar alarm system installed at all locations</w:t>
            </w:r>
          </w:p>
          <w:p w14:paraId="6E8D352C" w14:textId="77777777" w:rsidR="00592C29" w:rsidRDefault="00592C29" w:rsidP="00283DEC">
            <w:pPr>
              <w:spacing w:after="120" w:line="276" w:lineRule="auto"/>
              <w:rPr>
                <w:color w:val="000000"/>
                <w:sz w:val="22"/>
                <w:szCs w:val="22"/>
              </w:rPr>
            </w:pPr>
          </w:p>
          <w:p w14:paraId="3A3DC9C1" w14:textId="77777777" w:rsidR="00592C29" w:rsidRDefault="0048296D" w:rsidP="00283DEC">
            <w:pPr>
              <w:spacing w:after="120" w:line="276" w:lineRule="auto"/>
              <w:rPr>
                <w:color w:val="000000"/>
                <w:sz w:val="22"/>
                <w:szCs w:val="22"/>
              </w:rPr>
            </w:pPr>
            <w:r>
              <w:rPr>
                <w:rFonts w:ascii="Trebuchet MS" w:eastAsia="Trebuchet MS" w:hAnsi="Trebuchet MS" w:cs="Trebuchet MS"/>
                <w:color w:val="000000"/>
                <w:sz w:val="22"/>
                <w:szCs w:val="22"/>
              </w:rPr>
              <w:t>ABC Sprinkler system installed at Milton Keynes location</w:t>
            </w:r>
          </w:p>
          <w:p w14:paraId="6F71B2D3" w14:textId="77777777" w:rsidR="00592C29" w:rsidRDefault="00592C29">
            <w:pPr>
              <w:spacing w:after="200" w:line="276" w:lineRule="auto"/>
              <w:rPr>
                <w:color w:val="000000"/>
                <w:sz w:val="22"/>
                <w:szCs w:val="22"/>
              </w:rPr>
            </w:pPr>
          </w:p>
        </w:tc>
      </w:tr>
      <w:bookmarkEnd w:id="69"/>
    </w:tbl>
    <w:p w14:paraId="547DD9A8" w14:textId="77777777" w:rsidR="00592C29" w:rsidRDefault="0048296D">
      <w:pPr>
        <w:spacing w:after="200" w:line="276" w:lineRule="auto"/>
        <w:rPr>
          <w:sz w:val="40"/>
          <w:szCs w:val="40"/>
        </w:rPr>
      </w:pPr>
      <w:r>
        <w:rPr>
          <w:sz w:val="40"/>
          <w:szCs w:val="40"/>
        </w:rPr>
        <w:br w:type="page"/>
      </w:r>
    </w:p>
    <w:tbl>
      <w:tblPr>
        <w:tblW w:w="9747" w:type="dxa"/>
        <w:tblInd w:w="113" w:type="dxa"/>
        <w:tblCellMar>
          <w:left w:w="0" w:type="dxa"/>
          <w:right w:w="0" w:type="dxa"/>
        </w:tblCellMar>
        <w:tblLook w:val="04A0" w:firstRow="1" w:lastRow="0" w:firstColumn="1" w:lastColumn="0" w:noHBand="0" w:noVBand="1"/>
      </w:tblPr>
      <w:tblGrid>
        <w:gridCol w:w="2376"/>
        <w:gridCol w:w="7371"/>
      </w:tblGrid>
      <w:tr w:rsidR="00592C29" w14:paraId="16D27849" w14:textId="77777777">
        <w:tc>
          <w:tcPr>
            <w:tcW w:w="9747" w:type="dxa"/>
            <w:gridSpan w:val="2"/>
            <w:tcMar>
              <w:top w:w="5" w:type="dxa"/>
              <w:left w:w="113" w:type="dxa"/>
              <w:bottom w:w="5" w:type="dxa"/>
              <w:right w:w="113" w:type="dxa"/>
            </w:tcMar>
            <w:hideMark/>
          </w:tcPr>
          <w:p w14:paraId="7B13F126" w14:textId="77777777" w:rsidR="00592C29" w:rsidRDefault="0048296D">
            <w:pPr>
              <w:spacing w:after="200" w:line="276" w:lineRule="auto"/>
              <w:rPr>
                <w:color w:val="000000"/>
                <w:sz w:val="40"/>
                <w:szCs w:val="40"/>
              </w:rPr>
            </w:pPr>
            <w:r>
              <w:rPr>
                <w:rFonts w:ascii="Trebuchet MS" w:eastAsia="Trebuchet MS" w:hAnsi="Trebuchet MS" w:cs="Trebuchet MS"/>
                <w:b/>
                <w:bCs/>
                <w:color w:val="000000"/>
                <w:sz w:val="40"/>
                <w:szCs w:val="40"/>
              </w:rPr>
              <w:lastRenderedPageBreak/>
              <w:t>Security Details</w:t>
            </w:r>
          </w:p>
          <w:p w14:paraId="5E3E4B0F" w14:textId="77777777" w:rsidR="00592C29" w:rsidRDefault="00592C29">
            <w:pPr>
              <w:spacing w:after="200" w:line="276" w:lineRule="auto"/>
              <w:jc w:val="both"/>
              <w:rPr>
                <w:color w:val="000000"/>
                <w:sz w:val="22"/>
                <w:szCs w:val="22"/>
              </w:rPr>
            </w:pPr>
          </w:p>
        </w:tc>
      </w:tr>
      <w:tr w:rsidR="00592C29" w14:paraId="0F462673" w14:textId="77777777">
        <w:tc>
          <w:tcPr>
            <w:tcW w:w="2376" w:type="dxa"/>
            <w:tcMar>
              <w:top w:w="5" w:type="dxa"/>
              <w:left w:w="113" w:type="dxa"/>
              <w:bottom w:w="5" w:type="dxa"/>
              <w:right w:w="113" w:type="dxa"/>
            </w:tcMar>
            <w:hideMark/>
          </w:tcPr>
          <w:p w14:paraId="235D4956" w14:textId="77777777" w:rsidR="00592C29" w:rsidRDefault="0048296D" w:rsidP="00701B2E">
            <w:pPr>
              <w:spacing w:line="288" w:lineRule="auto"/>
              <w:rPr>
                <w:color w:val="000000"/>
                <w:sz w:val="22"/>
                <w:szCs w:val="22"/>
              </w:rPr>
            </w:pPr>
            <w:r>
              <w:rPr>
                <w:rFonts w:ascii="Trebuchet MS" w:eastAsia="Trebuchet MS" w:hAnsi="Trebuchet MS" w:cs="Trebuchet MS"/>
                <w:b/>
                <w:bCs/>
                <w:color w:val="000000"/>
                <w:sz w:val="22"/>
                <w:szCs w:val="22"/>
              </w:rPr>
              <w:t xml:space="preserve">INSURER’S </w:t>
            </w:r>
          </w:p>
          <w:p w14:paraId="4CD3204A" w14:textId="77777777" w:rsidR="00592C29" w:rsidRDefault="0048296D" w:rsidP="00701B2E">
            <w:pPr>
              <w:spacing w:line="276" w:lineRule="auto"/>
              <w:rPr>
                <w:color w:val="000000"/>
                <w:sz w:val="22"/>
                <w:szCs w:val="22"/>
              </w:rPr>
            </w:pPr>
            <w:r>
              <w:rPr>
                <w:rFonts w:ascii="Trebuchet MS" w:eastAsia="Trebuchet MS" w:hAnsi="Trebuchet MS" w:cs="Trebuchet MS"/>
                <w:b/>
                <w:bCs/>
                <w:color w:val="000000"/>
                <w:sz w:val="22"/>
                <w:szCs w:val="22"/>
              </w:rPr>
              <w:t>LIABILITY:</w:t>
            </w:r>
          </w:p>
        </w:tc>
        <w:tc>
          <w:tcPr>
            <w:tcW w:w="7371" w:type="dxa"/>
            <w:tcMar>
              <w:top w:w="5" w:type="dxa"/>
              <w:left w:w="113" w:type="dxa"/>
              <w:bottom w:w="5" w:type="dxa"/>
              <w:right w:w="113" w:type="dxa"/>
            </w:tcMar>
            <w:hideMark/>
          </w:tcPr>
          <w:p w14:paraId="5A8A8BA0" w14:textId="77777777" w:rsidR="00592C29" w:rsidRDefault="0048296D" w:rsidP="00701B2E">
            <w:pPr>
              <w:spacing w:line="288" w:lineRule="auto"/>
              <w:rPr>
                <w:color w:val="000000"/>
                <w:sz w:val="22"/>
                <w:szCs w:val="22"/>
              </w:rPr>
            </w:pPr>
            <w:r>
              <w:rPr>
                <w:rFonts w:ascii="Trebuchet MS" w:eastAsia="Trebuchet MS" w:hAnsi="Trebuchet MS" w:cs="Trebuchet MS"/>
                <w:b/>
                <w:bCs/>
                <w:color w:val="000000"/>
                <w:sz w:val="22"/>
                <w:szCs w:val="22"/>
              </w:rPr>
              <w:t xml:space="preserve">LSW1001 in respect of risks underwritten by Lloyd’s Brussels, </w:t>
            </w:r>
            <w:r>
              <w:rPr>
                <w:rFonts w:ascii="Trebuchet MS" w:eastAsia="Trebuchet MS" w:hAnsi="Trebuchet MS" w:cs="Trebuchet MS"/>
                <w:i/>
                <w:iCs/>
                <w:color w:val="000000"/>
                <w:sz w:val="22"/>
                <w:szCs w:val="22"/>
              </w:rPr>
              <w:t>(where they are not the only subscribing insurer)</w:t>
            </w:r>
            <w:r>
              <w:rPr>
                <w:rFonts w:ascii="Trebuchet MS" w:eastAsia="Trebuchet MS" w:hAnsi="Trebuchet MS" w:cs="Trebuchet MS"/>
                <w:b/>
                <w:bCs/>
                <w:color w:val="000000"/>
                <w:sz w:val="22"/>
                <w:szCs w:val="22"/>
              </w:rPr>
              <w:t>;</w:t>
            </w:r>
          </w:p>
          <w:p w14:paraId="101B63AD" w14:textId="77777777" w:rsidR="00592C29" w:rsidRDefault="00592C29" w:rsidP="00701B2E">
            <w:pPr>
              <w:spacing w:line="288" w:lineRule="auto"/>
              <w:rPr>
                <w:color w:val="000000"/>
                <w:sz w:val="22"/>
                <w:szCs w:val="22"/>
              </w:rPr>
            </w:pPr>
          </w:p>
          <w:p w14:paraId="05CBA291" w14:textId="20CD9C91" w:rsidR="00592C29" w:rsidRDefault="0048296D" w:rsidP="00701B2E">
            <w:pPr>
              <w:spacing w:line="288" w:lineRule="auto"/>
              <w:rPr>
                <w:color w:val="000000"/>
                <w:sz w:val="22"/>
                <w:szCs w:val="22"/>
              </w:rPr>
            </w:pPr>
            <w:r>
              <w:rPr>
                <w:rFonts w:ascii="Trebuchet MS" w:eastAsia="Trebuchet MS" w:hAnsi="Trebuchet MS" w:cs="Trebuchet MS"/>
                <w:color w:val="000000"/>
                <w:sz w:val="22"/>
                <w:szCs w:val="22"/>
              </w:rPr>
              <w:t>or</w:t>
            </w:r>
          </w:p>
          <w:p w14:paraId="7028496C" w14:textId="77777777" w:rsidR="00592C29" w:rsidRDefault="00592C29" w:rsidP="00701B2E">
            <w:pPr>
              <w:spacing w:line="288" w:lineRule="auto"/>
              <w:rPr>
                <w:color w:val="000000"/>
                <w:sz w:val="22"/>
                <w:szCs w:val="22"/>
              </w:rPr>
            </w:pPr>
          </w:p>
          <w:p w14:paraId="5495AFA4" w14:textId="77777777" w:rsidR="00592C29" w:rsidRDefault="0048296D" w:rsidP="00701B2E">
            <w:pPr>
              <w:spacing w:line="288" w:lineRule="auto"/>
              <w:rPr>
                <w:color w:val="000000"/>
                <w:sz w:val="22"/>
                <w:szCs w:val="22"/>
              </w:rPr>
            </w:pPr>
            <w:r>
              <w:rPr>
                <w:rFonts w:ascii="Trebuchet MS" w:eastAsia="Trebuchet MS" w:hAnsi="Trebuchet MS" w:cs="Trebuchet MS"/>
                <w:b/>
                <w:bCs/>
                <w:color w:val="000000"/>
                <w:sz w:val="22"/>
                <w:szCs w:val="22"/>
                <w:u w:val="single" w:color="000000"/>
              </w:rPr>
              <w:t>LMA3333</w:t>
            </w:r>
            <w:r>
              <w:rPr>
                <w:rFonts w:ascii="Trebuchet MS" w:eastAsia="Trebuchet MS" w:hAnsi="Trebuchet MS" w:cs="Trebuchet MS"/>
                <w:b/>
                <w:bCs/>
                <w:color w:val="000000"/>
                <w:sz w:val="22"/>
                <w:szCs w:val="22"/>
              </w:rPr>
              <w:t xml:space="preserve"> in respect of </w:t>
            </w:r>
            <w:proofErr w:type="spellStart"/>
            <w:r>
              <w:rPr>
                <w:rFonts w:ascii="Trebuchet MS" w:eastAsia="Trebuchet MS" w:hAnsi="Trebuchet MS" w:cs="Trebuchet MS"/>
                <w:b/>
                <w:bCs/>
                <w:color w:val="000000"/>
                <w:sz w:val="22"/>
                <w:szCs w:val="22"/>
              </w:rPr>
              <w:t>non Lloyd’s</w:t>
            </w:r>
            <w:proofErr w:type="spellEnd"/>
            <w:r>
              <w:rPr>
                <w:rFonts w:ascii="Trebuchet MS" w:eastAsia="Trebuchet MS" w:hAnsi="Trebuchet MS" w:cs="Trebuchet MS"/>
                <w:b/>
                <w:bCs/>
                <w:color w:val="000000"/>
                <w:sz w:val="22"/>
                <w:szCs w:val="22"/>
              </w:rPr>
              <w:t xml:space="preserve"> Brussels section of the risk </w:t>
            </w:r>
          </w:p>
          <w:p w14:paraId="0D8006B7" w14:textId="77777777" w:rsidR="00592C29" w:rsidRDefault="0048296D" w:rsidP="00701B2E">
            <w:pPr>
              <w:spacing w:line="288" w:lineRule="auto"/>
              <w:rPr>
                <w:color w:val="000000"/>
                <w:sz w:val="22"/>
                <w:szCs w:val="22"/>
              </w:rPr>
            </w:pPr>
            <w:r>
              <w:rPr>
                <w:rFonts w:ascii="Trebuchet MS" w:eastAsia="Trebuchet MS" w:hAnsi="Trebuchet MS" w:cs="Trebuchet MS"/>
                <w:i/>
                <w:iCs/>
                <w:color w:val="000000"/>
                <w:sz w:val="22"/>
                <w:szCs w:val="22"/>
              </w:rPr>
              <w:t>(This clause LMA3333 should be provided in full and not simply referenced.)</w:t>
            </w:r>
          </w:p>
          <w:p w14:paraId="038E4FAF" w14:textId="77777777" w:rsidR="00592C29" w:rsidRDefault="00592C29" w:rsidP="00701B2E">
            <w:pPr>
              <w:spacing w:line="288" w:lineRule="auto"/>
              <w:jc w:val="both"/>
              <w:rPr>
                <w:color w:val="000000"/>
                <w:sz w:val="22"/>
                <w:szCs w:val="22"/>
              </w:rPr>
            </w:pPr>
          </w:p>
          <w:p w14:paraId="05939EB5" w14:textId="77777777" w:rsidR="00592C29" w:rsidRDefault="0048296D" w:rsidP="00701B2E">
            <w:pPr>
              <w:spacing w:line="288" w:lineRule="auto"/>
              <w:jc w:val="both"/>
              <w:rPr>
                <w:color w:val="000000"/>
                <w:sz w:val="22"/>
                <w:szCs w:val="22"/>
              </w:rPr>
            </w:pPr>
            <w:r>
              <w:rPr>
                <w:rFonts w:ascii="Trebuchet MS" w:eastAsia="Trebuchet MS" w:hAnsi="Trebuchet MS" w:cs="Trebuchet MS"/>
                <w:b/>
                <w:bCs/>
                <w:color w:val="000000"/>
                <w:sz w:val="22"/>
                <w:szCs w:val="22"/>
              </w:rPr>
              <w:t xml:space="preserve">(Re)insurer’s liability several not joint </w:t>
            </w:r>
          </w:p>
          <w:p w14:paraId="0B3C26BA" w14:textId="77777777" w:rsidR="00592C29" w:rsidRDefault="0048296D" w:rsidP="00701B2E">
            <w:pPr>
              <w:spacing w:line="288" w:lineRule="auto"/>
              <w:jc w:val="both"/>
              <w:rPr>
                <w:color w:val="000000"/>
                <w:sz w:val="22"/>
                <w:szCs w:val="22"/>
              </w:rPr>
            </w:pPr>
            <w:r>
              <w:rPr>
                <w:rFonts w:ascii="Trebuchet MS" w:eastAsia="Trebuchet MS" w:hAnsi="Trebuchet MS" w:cs="Trebuchet MS"/>
                <w:color w:val="000000"/>
                <w:sz w:val="22"/>
                <w:szCs w:val="22"/>
              </w:rPr>
              <w:t>The liability of a (re)insurer under this contract is several and not joint with other (re)insurers party to this contract. A (re)insurer is liable only for the proportion of liability it has underwritten. A (re)insurer is not jointly liable for the proportion of liability underwritten by any other (re)insurer. Nor is a (re)insurer otherwise responsible for any liability of any other (re)insurer that may underwrite this contract.</w:t>
            </w:r>
          </w:p>
          <w:p w14:paraId="1DA65E0D" w14:textId="77777777" w:rsidR="00592C29" w:rsidRDefault="00592C29" w:rsidP="00701B2E">
            <w:pPr>
              <w:spacing w:line="288" w:lineRule="auto"/>
              <w:jc w:val="both"/>
              <w:rPr>
                <w:color w:val="000000"/>
                <w:sz w:val="22"/>
                <w:szCs w:val="22"/>
              </w:rPr>
            </w:pPr>
          </w:p>
          <w:p w14:paraId="1272E035" w14:textId="77777777" w:rsidR="00592C29" w:rsidRDefault="0048296D" w:rsidP="00701B2E">
            <w:pPr>
              <w:spacing w:line="288" w:lineRule="auto"/>
              <w:jc w:val="both"/>
              <w:rPr>
                <w:color w:val="000000"/>
                <w:sz w:val="22"/>
                <w:szCs w:val="22"/>
              </w:rPr>
            </w:pPr>
            <w:r>
              <w:rPr>
                <w:rFonts w:ascii="Trebuchet MS" w:eastAsia="Trebuchet MS" w:hAnsi="Trebuchet MS" w:cs="Trebuchet MS"/>
                <w:color w:val="000000"/>
                <w:sz w:val="22"/>
                <w:szCs w:val="22"/>
              </w:rPr>
              <w:t>The proportion of liability under this contract underwritten by a (re)insurer (or, in the case of a Lloyd’s syndicate, the total of the proportions underwritten by all the members of the syndicate taken together) is shown next to its stamp. This is subject always to the provision concerning “signing” below.</w:t>
            </w:r>
          </w:p>
          <w:p w14:paraId="5C100FAB" w14:textId="77777777" w:rsidR="00592C29" w:rsidRDefault="00592C29" w:rsidP="00701B2E">
            <w:pPr>
              <w:spacing w:line="288" w:lineRule="auto"/>
              <w:jc w:val="both"/>
              <w:rPr>
                <w:color w:val="000000"/>
                <w:sz w:val="22"/>
                <w:szCs w:val="22"/>
              </w:rPr>
            </w:pPr>
          </w:p>
          <w:p w14:paraId="6F35F8B9" w14:textId="77777777" w:rsidR="00592C29" w:rsidRDefault="0048296D" w:rsidP="00701B2E">
            <w:pPr>
              <w:spacing w:line="288" w:lineRule="auto"/>
              <w:jc w:val="both"/>
              <w:rPr>
                <w:color w:val="000000"/>
                <w:sz w:val="22"/>
                <w:szCs w:val="22"/>
              </w:rPr>
            </w:pPr>
            <w:r>
              <w:rPr>
                <w:rFonts w:ascii="Trebuchet MS" w:eastAsia="Trebuchet MS" w:hAnsi="Trebuchet MS" w:cs="Trebuchet MS"/>
                <w:color w:val="000000"/>
                <w:sz w:val="22"/>
                <w:szCs w:val="22"/>
              </w:rPr>
              <w:t>In the case of a Lloyd’s syndicate, each member of the syndicate (rather than the syndicate itself) is a (re)insurer. Each member has underwritten a proportion of the total shown for the syndicate (that total itself being the total of the proportions underwritten by all the members of the syndicate taken together). The liability of each member of the syndicate is several and not joint with other members. A member is liable only for that member’s proportion. A member is not jointly liable for any other member’s proportion. Nor is any member otherwise responsible for any liability of any other (re)insurer that may underwrite this contract. The business address of each member is Lloyd’s, One Lime Street, London EC3M 7HA. The identity of each member of a Lloyd’s syndicate and their respective proportion may be obtained by writing to Market Services, Lloyd’s, at the above address.</w:t>
            </w:r>
          </w:p>
          <w:p w14:paraId="0493B6BD" w14:textId="77777777" w:rsidR="00592C29" w:rsidRDefault="00592C29" w:rsidP="00701B2E">
            <w:pPr>
              <w:spacing w:line="288" w:lineRule="auto"/>
              <w:jc w:val="both"/>
              <w:rPr>
                <w:color w:val="000000"/>
                <w:sz w:val="22"/>
                <w:szCs w:val="22"/>
              </w:rPr>
            </w:pPr>
          </w:p>
          <w:p w14:paraId="31D628EF" w14:textId="77777777" w:rsidR="00592C29" w:rsidRDefault="0048296D" w:rsidP="00701B2E">
            <w:pPr>
              <w:spacing w:line="288" w:lineRule="auto"/>
              <w:jc w:val="both"/>
              <w:rPr>
                <w:color w:val="000000"/>
                <w:sz w:val="22"/>
                <w:szCs w:val="22"/>
              </w:rPr>
            </w:pPr>
            <w:r>
              <w:rPr>
                <w:rFonts w:ascii="Trebuchet MS" w:eastAsia="Trebuchet MS" w:hAnsi="Trebuchet MS" w:cs="Trebuchet MS"/>
                <w:b/>
                <w:bCs/>
                <w:color w:val="000000"/>
                <w:sz w:val="22"/>
                <w:szCs w:val="22"/>
              </w:rPr>
              <w:t>Proportion of liability</w:t>
            </w:r>
          </w:p>
          <w:p w14:paraId="7FED1C1B" w14:textId="77777777" w:rsidR="00592C29" w:rsidRDefault="0048296D" w:rsidP="00701B2E">
            <w:pPr>
              <w:spacing w:line="288" w:lineRule="auto"/>
              <w:jc w:val="both"/>
              <w:rPr>
                <w:color w:val="000000"/>
                <w:sz w:val="22"/>
                <w:szCs w:val="22"/>
              </w:rPr>
            </w:pPr>
            <w:r>
              <w:rPr>
                <w:rFonts w:ascii="Trebuchet MS" w:eastAsia="Trebuchet MS" w:hAnsi="Trebuchet MS" w:cs="Trebuchet MS"/>
                <w:color w:val="000000"/>
                <w:sz w:val="22"/>
                <w:szCs w:val="22"/>
              </w:rPr>
              <w:t xml:space="preserve">Unless there is “signing” (see below), the proportion of liability under this contract underwritten by each (re)insurer (or, in the case of a Lloyd’s syndicate, the total of the proportions underwritten by all the members of the syndicate taken together) is shown next to its stamp and is referred to as its “written line”.      </w:t>
            </w:r>
          </w:p>
          <w:p w14:paraId="465C3C5B" w14:textId="77777777" w:rsidR="00592C29" w:rsidRDefault="00592C29" w:rsidP="00701B2E">
            <w:pPr>
              <w:spacing w:line="288" w:lineRule="auto"/>
              <w:jc w:val="both"/>
              <w:rPr>
                <w:color w:val="000000"/>
                <w:sz w:val="22"/>
                <w:szCs w:val="22"/>
              </w:rPr>
            </w:pPr>
          </w:p>
          <w:p w14:paraId="5B845556" w14:textId="77777777" w:rsidR="00592C29" w:rsidRDefault="0048296D" w:rsidP="00701B2E">
            <w:pPr>
              <w:spacing w:line="288" w:lineRule="auto"/>
              <w:jc w:val="both"/>
              <w:rPr>
                <w:color w:val="000000"/>
                <w:sz w:val="22"/>
                <w:szCs w:val="22"/>
              </w:rPr>
            </w:pPr>
            <w:r>
              <w:rPr>
                <w:rFonts w:ascii="Trebuchet MS" w:eastAsia="Trebuchet MS" w:hAnsi="Trebuchet MS" w:cs="Trebuchet MS"/>
                <w:color w:val="000000"/>
                <w:sz w:val="22"/>
                <w:szCs w:val="22"/>
              </w:rPr>
              <w:lastRenderedPageBreak/>
              <w:t xml:space="preserve">Where this contract permits, written lines, or certain written lines, may be adjusted (“signed”). In that case a schedule is to be appended to this contract to show the definitive proportion of liability under this contract underwritten by each (re)insurer (or, in the case of a Lloyd’s syndicate, the total of the proportions underwritten by all the members of the syndicate taken together). A definitive proportion (or, in the case of a Lloyd’s syndicate, the total of the proportions underwritten by all the members of a Lloyd’s syndicate taken together) is referred to as a “signed line”. The signed lines shown in the schedule will prevail over the written lines unless a proven error in calculation has occurred. </w:t>
            </w:r>
          </w:p>
          <w:p w14:paraId="7ECA9BC1" w14:textId="77777777" w:rsidR="00592C29" w:rsidRDefault="00592C29" w:rsidP="00701B2E">
            <w:pPr>
              <w:spacing w:line="288" w:lineRule="auto"/>
              <w:jc w:val="both"/>
              <w:rPr>
                <w:color w:val="000000"/>
                <w:sz w:val="22"/>
                <w:szCs w:val="22"/>
              </w:rPr>
            </w:pPr>
          </w:p>
          <w:p w14:paraId="3DC6414F" w14:textId="77777777" w:rsidR="00592C29" w:rsidRDefault="0048296D" w:rsidP="00701B2E">
            <w:pPr>
              <w:spacing w:line="288" w:lineRule="auto"/>
              <w:jc w:val="both"/>
              <w:rPr>
                <w:color w:val="000000"/>
                <w:sz w:val="22"/>
                <w:szCs w:val="22"/>
              </w:rPr>
            </w:pPr>
            <w:r>
              <w:rPr>
                <w:rFonts w:ascii="Trebuchet MS" w:eastAsia="Trebuchet MS" w:hAnsi="Trebuchet MS" w:cs="Trebuchet MS"/>
                <w:color w:val="000000"/>
                <w:sz w:val="22"/>
                <w:szCs w:val="22"/>
              </w:rPr>
              <w:t>Although reference is made at various points in this clause to “this contract” in the singular, where the circumstances so require this should be read as a reference to contracts in the plural.</w:t>
            </w:r>
          </w:p>
          <w:p w14:paraId="79C459D3" w14:textId="77777777" w:rsidR="00592C29" w:rsidRDefault="00592C29" w:rsidP="00701B2E">
            <w:pPr>
              <w:spacing w:line="276" w:lineRule="auto"/>
              <w:jc w:val="both"/>
              <w:rPr>
                <w:color w:val="000000"/>
                <w:sz w:val="22"/>
                <w:szCs w:val="22"/>
              </w:rPr>
            </w:pPr>
          </w:p>
          <w:p w14:paraId="7CB6E398" w14:textId="77777777" w:rsidR="00592C29" w:rsidRDefault="00592C29" w:rsidP="00701B2E">
            <w:pPr>
              <w:spacing w:line="276" w:lineRule="auto"/>
              <w:jc w:val="both"/>
              <w:rPr>
                <w:color w:val="000000"/>
                <w:sz w:val="22"/>
                <w:szCs w:val="22"/>
              </w:rPr>
            </w:pPr>
          </w:p>
        </w:tc>
      </w:tr>
      <w:tr w:rsidR="00592C29" w14:paraId="7770444B" w14:textId="77777777">
        <w:tc>
          <w:tcPr>
            <w:tcW w:w="2376" w:type="dxa"/>
            <w:tcMar>
              <w:top w:w="5" w:type="dxa"/>
              <w:left w:w="113" w:type="dxa"/>
              <w:bottom w:w="5" w:type="dxa"/>
              <w:right w:w="113" w:type="dxa"/>
            </w:tcMar>
            <w:hideMark/>
          </w:tcPr>
          <w:p w14:paraId="113DB05E" w14:textId="77777777" w:rsidR="00592C29" w:rsidRDefault="0048296D" w:rsidP="00701B2E">
            <w:pPr>
              <w:spacing w:line="288" w:lineRule="auto"/>
              <w:rPr>
                <w:color w:val="000000"/>
                <w:sz w:val="22"/>
                <w:szCs w:val="22"/>
              </w:rPr>
            </w:pPr>
            <w:r>
              <w:rPr>
                <w:rFonts w:ascii="Trebuchet MS" w:eastAsia="Trebuchet MS" w:hAnsi="Trebuchet MS" w:cs="Trebuchet MS"/>
                <w:b/>
                <w:bCs/>
                <w:color w:val="000000"/>
                <w:sz w:val="22"/>
                <w:szCs w:val="22"/>
              </w:rPr>
              <w:lastRenderedPageBreak/>
              <w:t>ORDER HEREON:</w:t>
            </w:r>
          </w:p>
        </w:tc>
        <w:tc>
          <w:tcPr>
            <w:tcW w:w="7371" w:type="dxa"/>
            <w:tcMar>
              <w:top w:w="5" w:type="dxa"/>
              <w:left w:w="113" w:type="dxa"/>
              <w:bottom w:w="5" w:type="dxa"/>
              <w:right w:w="113" w:type="dxa"/>
            </w:tcMar>
            <w:hideMark/>
          </w:tcPr>
          <w:p w14:paraId="06A3CE88" w14:textId="77777777" w:rsidR="00592C29" w:rsidRDefault="0048296D" w:rsidP="00701B2E">
            <w:pPr>
              <w:spacing w:after="120" w:line="276" w:lineRule="auto"/>
              <w:rPr>
                <w:color w:val="000000"/>
                <w:sz w:val="22"/>
                <w:szCs w:val="22"/>
              </w:rPr>
            </w:pPr>
            <w:r>
              <w:rPr>
                <w:rFonts w:ascii="Trebuchet MS" w:eastAsia="Trebuchet MS" w:hAnsi="Trebuchet MS" w:cs="Trebuchet MS"/>
                <w:color w:val="000000"/>
                <w:sz w:val="22"/>
                <w:szCs w:val="22"/>
              </w:rPr>
              <w:t xml:space="preserve">80% of 100% </w:t>
            </w:r>
          </w:p>
          <w:p w14:paraId="5536FCB7" w14:textId="77777777" w:rsidR="00592C29" w:rsidRDefault="00592C29" w:rsidP="00701B2E">
            <w:pPr>
              <w:widowControl w:val="0"/>
              <w:spacing w:after="120" w:line="276" w:lineRule="auto"/>
              <w:rPr>
                <w:color w:val="000000"/>
                <w:sz w:val="22"/>
                <w:szCs w:val="22"/>
              </w:rPr>
            </w:pPr>
          </w:p>
          <w:p w14:paraId="3989D2FF" w14:textId="77777777" w:rsidR="00592C29" w:rsidRDefault="00592C29" w:rsidP="00701B2E">
            <w:pPr>
              <w:spacing w:after="120" w:line="288" w:lineRule="auto"/>
              <w:rPr>
                <w:color w:val="000000"/>
                <w:sz w:val="22"/>
                <w:szCs w:val="22"/>
              </w:rPr>
            </w:pPr>
          </w:p>
        </w:tc>
      </w:tr>
      <w:tr w:rsidR="00592C29" w14:paraId="728432D4" w14:textId="77777777">
        <w:tc>
          <w:tcPr>
            <w:tcW w:w="2376" w:type="dxa"/>
            <w:tcMar>
              <w:top w:w="5" w:type="dxa"/>
              <w:left w:w="113" w:type="dxa"/>
              <w:bottom w:w="5" w:type="dxa"/>
              <w:right w:w="113" w:type="dxa"/>
            </w:tcMar>
            <w:hideMark/>
          </w:tcPr>
          <w:p w14:paraId="28F8F246" w14:textId="77777777" w:rsidR="00592C29" w:rsidRDefault="0048296D" w:rsidP="00701B2E">
            <w:pPr>
              <w:widowControl w:val="0"/>
              <w:spacing w:line="276" w:lineRule="auto"/>
              <w:rPr>
                <w:color w:val="000000"/>
                <w:sz w:val="22"/>
                <w:szCs w:val="22"/>
              </w:rPr>
            </w:pPr>
            <w:r>
              <w:rPr>
                <w:rFonts w:ascii="Trebuchet MS" w:eastAsia="Trebuchet MS" w:hAnsi="Trebuchet MS" w:cs="Trebuchet MS"/>
                <w:b/>
                <w:bCs/>
                <w:color w:val="000000"/>
                <w:sz w:val="22"/>
                <w:szCs w:val="22"/>
              </w:rPr>
              <w:t xml:space="preserve">BASIS OF </w:t>
            </w:r>
          </w:p>
          <w:p w14:paraId="7173392C" w14:textId="77777777" w:rsidR="00592C29" w:rsidRDefault="0048296D" w:rsidP="00701B2E">
            <w:pPr>
              <w:spacing w:line="288" w:lineRule="auto"/>
              <w:rPr>
                <w:color w:val="000000"/>
                <w:sz w:val="22"/>
                <w:szCs w:val="22"/>
              </w:rPr>
            </w:pPr>
            <w:r>
              <w:rPr>
                <w:rFonts w:ascii="Trebuchet MS" w:eastAsia="Trebuchet MS" w:hAnsi="Trebuchet MS" w:cs="Trebuchet MS"/>
                <w:b/>
                <w:bCs/>
                <w:color w:val="000000"/>
                <w:sz w:val="22"/>
                <w:szCs w:val="22"/>
              </w:rPr>
              <w:t>WRITTEN LINES:</w:t>
            </w:r>
          </w:p>
        </w:tc>
        <w:tc>
          <w:tcPr>
            <w:tcW w:w="7371" w:type="dxa"/>
            <w:tcMar>
              <w:top w:w="5" w:type="dxa"/>
              <w:left w:w="113" w:type="dxa"/>
              <w:bottom w:w="5" w:type="dxa"/>
              <w:right w:w="113" w:type="dxa"/>
            </w:tcMar>
            <w:hideMark/>
          </w:tcPr>
          <w:p w14:paraId="6C6553B4" w14:textId="77777777" w:rsidR="00592C29" w:rsidRDefault="0048296D" w:rsidP="00701B2E">
            <w:pPr>
              <w:spacing w:after="120" w:line="288" w:lineRule="auto"/>
              <w:rPr>
                <w:color w:val="000000"/>
                <w:sz w:val="22"/>
                <w:szCs w:val="22"/>
              </w:rPr>
            </w:pPr>
            <w:r>
              <w:rPr>
                <w:rFonts w:ascii="Trebuchet MS" w:eastAsia="Trebuchet MS" w:hAnsi="Trebuchet MS" w:cs="Trebuchet MS"/>
                <w:color w:val="000000"/>
                <w:sz w:val="22"/>
                <w:szCs w:val="22"/>
              </w:rPr>
              <w:t>Percentage of whole.</w:t>
            </w:r>
          </w:p>
          <w:p w14:paraId="06491103" w14:textId="77777777" w:rsidR="00592C29" w:rsidRDefault="00592C29" w:rsidP="00701B2E">
            <w:pPr>
              <w:spacing w:after="120" w:line="288" w:lineRule="auto"/>
              <w:rPr>
                <w:color w:val="000000"/>
                <w:sz w:val="22"/>
                <w:szCs w:val="22"/>
              </w:rPr>
            </w:pPr>
          </w:p>
          <w:p w14:paraId="3C1E53DE" w14:textId="77777777" w:rsidR="00592C29" w:rsidRDefault="00592C29" w:rsidP="00701B2E">
            <w:pPr>
              <w:spacing w:after="120" w:line="288" w:lineRule="auto"/>
              <w:rPr>
                <w:color w:val="000000"/>
                <w:sz w:val="22"/>
                <w:szCs w:val="22"/>
              </w:rPr>
            </w:pPr>
          </w:p>
        </w:tc>
      </w:tr>
      <w:tr w:rsidR="00592C29" w14:paraId="19794FB6" w14:textId="77777777">
        <w:tc>
          <w:tcPr>
            <w:tcW w:w="2376" w:type="dxa"/>
            <w:tcMar>
              <w:top w:w="5" w:type="dxa"/>
              <w:left w:w="113" w:type="dxa"/>
              <w:bottom w:w="5" w:type="dxa"/>
              <w:right w:w="113" w:type="dxa"/>
            </w:tcMar>
            <w:hideMark/>
          </w:tcPr>
          <w:p w14:paraId="549EDE49" w14:textId="77777777" w:rsidR="00592C29" w:rsidRDefault="0048296D" w:rsidP="00701B2E">
            <w:pPr>
              <w:spacing w:line="276" w:lineRule="auto"/>
              <w:rPr>
                <w:color w:val="000000"/>
                <w:sz w:val="22"/>
                <w:szCs w:val="22"/>
              </w:rPr>
            </w:pPr>
            <w:r>
              <w:rPr>
                <w:rFonts w:ascii="Trebuchet MS" w:eastAsia="Trebuchet MS" w:hAnsi="Trebuchet MS" w:cs="Trebuchet MS"/>
                <w:b/>
                <w:bCs/>
                <w:color w:val="000000"/>
                <w:sz w:val="22"/>
                <w:szCs w:val="22"/>
              </w:rPr>
              <w:t xml:space="preserve">SIGNING </w:t>
            </w:r>
          </w:p>
          <w:p w14:paraId="6DC26651" w14:textId="77777777" w:rsidR="00592C29" w:rsidRDefault="0048296D" w:rsidP="00701B2E">
            <w:pPr>
              <w:spacing w:line="288" w:lineRule="auto"/>
              <w:rPr>
                <w:color w:val="000000"/>
                <w:sz w:val="22"/>
                <w:szCs w:val="22"/>
              </w:rPr>
            </w:pPr>
            <w:r>
              <w:rPr>
                <w:rFonts w:ascii="Trebuchet MS" w:eastAsia="Trebuchet MS" w:hAnsi="Trebuchet MS" w:cs="Trebuchet MS"/>
                <w:b/>
                <w:bCs/>
                <w:color w:val="000000"/>
                <w:sz w:val="22"/>
                <w:szCs w:val="22"/>
              </w:rPr>
              <w:t>PROVISIONS:</w:t>
            </w:r>
          </w:p>
        </w:tc>
        <w:tc>
          <w:tcPr>
            <w:tcW w:w="7371" w:type="dxa"/>
            <w:tcMar>
              <w:top w:w="5" w:type="dxa"/>
              <w:left w:w="113" w:type="dxa"/>
              <w:bottom w:w="5" w:type="dxa"/>
              <w:right w:w="113" w:type="dxa"/>
            </w:tcMar>
            <w:hideMark/>
          </w:tcPr>
          <w:p w14:paraId="55DC1C6C" w14:textId="77777777" w:rsidR="00592C29" w:rsidRDefault="0048296D" w:rsidP="00701B2E">
            <w:pPr>
              <w:spacing w:after="120" w:line="276" w:lineRule="auto"/>
              <w:rPr>
                <w:color w:val="000000"/>
                <w:sz w:val="22"/>
                <w:szCs w:val="22"/>
              </w:rPr>
            </w:pPr>
            <w:r>
              <w:rPr>
                <w:rFonts w:ascii="Trebuchet MS" w:eastAsia="Trebuchet MS" w:hAnsi="Trebuchet MS" w:cs="Trebuchet MS"/>
                <w:color w:val="000000"/>
                <w:sz w:val="22"/>
                <w:szCs w:val="22"/>
              </w:rPr>
              <w:t>In the event that the written lines hereon exceed 100% of the order, any lines written “to stand” will be allocated in full and all other lines will be signed down in equal proportions so that the aggregate signed lines are equal to 100% of the order without further agreement of any of the insurers.</w:t>
            </w:r>
          </w:p>
          <w:p w14:paraId="14A3523B" w14:textId="77777777" w:rsidR="00592C29" w:rsidRDefault="0048296D" w:rsidP="00701B2E">
            <w:pPr>
              <w:spacing w:after="120" w:line="276" w:lineRule="auto"/>
              <w:rPr>
                <w:color w:val="000000"/>
                <w:sz w:val="22"/>
                <w:szCs w:val="22"/>
              </w:rPr>
            </w:pPr>
            <w:r>
              <w:rPr>
                <w:rFonts w:ascii="Trebuchet MS" w:eastAsia="Trebuchet MS" w:hAnsi="Trebuchet MS" w:cs="Trebuchet MS"/>
                <w:color w:val="000000"/>
                <w:sz w:val="22"/>
                <w:szCs w:val="22"/>
              </w:rPr>
              <w:t>However:</w:t>
            </w:r>
          </w:p>
          <w:p w14:paraId="19E84475" w14:textId="77777777" w:rsidR="00592C29" w:rsidRDefault="0048296D" w:rsidP="00701B2E">
            <w:pPr>
              <w:spacing w:after="120" w:line="276" w:lineRule="auto"/>
              <w:rPr>
                <w:color w:val="000000"/>
                <w:sz w:val="22"/>
                <w:szCs w:val="22"/>
              </w:rPr>
            </w:pPr>
            <w:r>
              <w:rPr>
                <w:rFonts w:ascii="Trebuchet MS" w:eastAsia="Trebuchet MS" w:hAnsi="Trebuchet MS" w:cs="Trebuchet MS"/>
                <w:color w:val="000000"/>
                <w:sz w:val="22"/>
                <w:szCs w:val="22"/>
              </w:rPr>
              <w:t>a)</w:t>
            </w:r>
            <w:r>
              <w:rPr>
                <w:rFonts w:ascii="Trebuchet MS" w:eastAsia="Trebuchet MS" w:hAnsi="Trebuchet MS" w:cs="Trebuchet MS"/>
                <w:color w:val="000000"/>
                <w:sz w:val="22"/>
                <w:szCs w:val="22"/>
              </w:rPr>
              <w:tab/>
              <w:t>in the event that the placement of the order is not completed by the commencement date of the period of insurance then all lines written by that date will be signed in full;</w:t>
            </w:r>
          </w:p>
          <w:p w14:paraId="01F3E5AB" w14:textId="77777777" w:rsidR="00592C29" w:rsidRDefault="0048296D" w:rsidP="00701B2E">
            <w:pPr>
              <w:spacing w:after="120" w:line="276" w:lineRule="auto"/>
              <w:rPr>
                <w:color w:val="000000"/>
                <w:sz w:val="22"/>
                <w:szCs w:val="22"/>
              </w:rPr>
            </w:pPr>
            <w:r>
              <w:rPr>
                <w:rFonts w:ascii="Trebuchet MS" w:eastAsia="Trebuchet MS" w:hAnsi="Trebuchet MS" w:cs="Trebuchet MS"/>
                <w:color w:val="000000"/>
                <w:sz w:val="22"/>
                <w:szCs w:val="22"/>
              </w:rPr>
              <w:t>b)</w:t>
            </w:r>
            <w:r>
              <w:rPr>
                <w:rFonts w:ascii="Trebuchet MS" w:eastAsia="Trebuchet MS" w:hAnsi="Trebuchet MS" w:cs="Trebuchet MS"/>
                <w:color w:val="000000"/>
                <w:sz w:val="22"/>
                <w:szCs w:val="22"/>
              </w:rPr>
              <w:tab/>
              <w:t>the signed lines resulting from the application of the above provisions can be varied, before or after the commencement date of the period of insurance, by the documented agreement of the insured and all insurers whose lines are to be varied. The variation to the contracts will take effect only when all such insurers have agreed, with the resulting variation in signed lines commencing from the date set out in that agreement.</w:t>
            </w:r>
          </w:p>
          <w:p w14:paraId="04BE741E" w14:textId="77777777" w:rsidR="00592C29" w:rsidRDefault="00592C29" w:rsidP="00701B2E">
            <w:pPr>
              <w:spacing w:after="120" w:line="288" w:lineRule="auto"/>
              <w:rPr>
                <w:color w:val="000000"/>
                <w:sz w:val="22"/>
                <w:szCs w:val="22"/>
              </w:rPr>
            </w:pPr>
          </w:p>
        </w:tc>
      </w:tr>
    </w:tbl>
    <w:p w14:paraId="5D479492" w14:textId="77777777" w:rsidR="00592C29" w:rsidRDefault="0048296D">
      <w:pPr>
        <w:spacing w:after="200" w:line="276" w:lineRule="auto"/>
        <w:rPr>
          <w:sz w:val="22"/>
          <w:szCs w:val="22"/>
        </w:rPr>
      </w:pPr>
      <w:r>
        <w:rPr>
          <w:sz w:val="22"/>
          <w:szCs w:val="22"/>
        </w:rPr>
        <w:br w:type="page"/>
      </w:r>
    </w:p>
    <w:p w14:paraId="1E1B94C2" w14:textId="05B77C5E" w:rsidR="00592C29" w:rsidRDefault="0048296D" w:rsidP="004A1875">
      <w:pPr>
        <w:spacing w:line="276" w:lineRule="auto"/>
        <w:ind w:left="2160" w:hanging="2160"/>
        <w:rPr>
          <w:sz w:val="28"/>
          <w:szCs w:val="28"/>
        </w:rPr>
      </w:pPr>
      <w:r>
        <w:rPr>
          <w:rFonts w:ascii="Trebuchet MS" w:eastAsia="Trebuchet MS" w:hAnsi="Trebuchet MS" w:cs="Trebuchet MS"/>
          <w:b/>
          <w:bCs/>
          <w:sz w:val="28"/>
          <w:szCs w:val="28"/>
        </w:rPr>
        <w:lastRenderedPageBreak/>
        <w:t xml:space="preserve">In respect </w:t>
      </w:r>
      <w:r w:rsidR="004A1875">
        <w:rPr>
          <w:rFonts w:ascii="Trebuchet MS" w:eastAsia="Trebuchet MS" w:hAnsi="Trebuchet MS" w:cs="Trebuchet MS"/>
          <w:b/>
          <w:bCs/>
          <w:sz w:val="28"/>
          <w:szCs w:val="28"/>
        </w:rPr>
        <w:t>of EEA</w:t>
      </w:r>
      <w:r>
        <w:rPr>
          <w:rFonts w:ascii="Trebuchet MS" w:eastAsia="Trebuchet MS" w:hAnsi="Trebuchet MS" w:cs="Trebuchet MS"/>
          <w:b/>
          <w:bCs/>
          <w:sz w:val="28"/>
          <w:szCs w:val="28"/>
        </w:rPr>
        <w:t xml:space="preserve"> / UK / Monaco </w:t>
      </w:r>
    </w:p>
    <w:p w14:paraId="2326A9A6" w14:textId="77777777" w:rsidR="00592C29" w:rsidRDefault="00592C29" w:rsidP="004A1875">
      <w:pPr>
        <w:spacing w:line="276" w:lineRule="auto"/>
        <w:ind w:left="2160" w:hanging="2160"/>
        <w:rPr>
          <w:sz w:val="22"/>
          <w:szCs w:val="22"/>
        </w:rPr>
      </w:pPr>
    </w:p>
    <w:p w14:paraId="1D47109C" w14:textId="77777777" w:rsidR="00592C29" w:rsidRDefault="0048296D" w:rsidP="004A1875">
      <w:pPr>
        <w:spacing w:line="276" w:lineRule="auto"/>
        <w:ind w:left="2160" w:hanging="2160"/>
        <w:rPr>
          <w:sz w:val="22"/>
          <w:szCs w:val="22"/>
        </w:rPr>
      </w:pPr>
      <w:r>
        <w:rPr>
          <w:rFonts w:ascii="Trebuchet MS" w:eastAsia="Trebuchet MS" w:hAnsi="Trebuchet MS" w:cs="Trebuchet MS"/>
          <w:b/>
          <w:bCs/>
          <w:sz w:val="22"/>
          <w:szCs w:val="22"/>
        </w:rPr>
        <w:t xml:space="preserve">WRITTEN </w:t>
      </w:r>
    </w:p>
    <w:p w14:paraId="4A54F934" w14:textId="77777777" w:rsidR="00592C29" w:rsidRDefault="0048296D" w:rsidP="004A1875">
      <w:pPr>
        <w:spacing w:line="276" w:lineRule="auto"/>
        <w:ind w:left="2160" w:hanging="2160"/>
        <w:rPr>
          <w:sz w:val="22"/>
          <w:szCs w:val="22"/>
        </w:rPr>
      </w:pPr>
      <w:r>
        <w:rPr>
          <w:rFonts w:ascii="Trebuchet MS" w:eastAsia="Trebuchet MS" w:hAnsi="Trebuchet MS" w:cs="Trebuchet MS"/>
          <w:b/>
          <w:bCs/>
          <w:sz w:val="22"/>
          <w:szCs w:val="22"/>
        </w:rPr>
        <w:t>LINES:</w:t>
      </w:r>
    </w:p>
    <w:p w14:paraId="38E91323" w14:textId="01106E9A" w:rsidR="00592C29" w:rsidRDefault="00592C29" w:rsidP="004A1875">
      <w:pPr>
        <w:spacing w:line="276" w:lineRule="auto"/>
        <w:ind w:left="2160" w:hanging="2160"/>
        <w:rPr>
          <w:sz w:val="22"/>
          <w:szCs w:val="22"/>
        </w:rPr>
      </w:pPr>
    </w:p>
    <w:tbl>
      <w:tblPr>
        <w:tblW w:w="0" w:type="auto"/>
        <w:tblInd w:w="113" w:type="dxa"/>
        <w:tblCellMar>
          <w:left w:w="0" w:type="dxa"/>
          <w:right w:w="0" w:type="dxa"/>
        </w:tblCellMar>
        <w:tblLook w:val="04A0" w:firstRow="1" w:lastRow="0" w:firstColumn="1" w:lastColumn="0" w:noHBand="0" w:noVBand="1"/>
      </w:tblPr>
      <w:tblGrid>
        <w:gridCol w:w="847"/>
        <w:gridCol w:w="429"/>
        <w:gridCol w:w="290"/>
        <w:gridCol w:w="339"/>
        <w:gridCol w:w="335"/>
        <w:gridCol w:w="335"/>
        <w:gridCol w:w="335"/>
        <w:gridCol w:w="490"/>
        <w:gridCol w:w="441"/>
        <w:gridCol w:w="441"/>
        <w:gridCol w:w="442"/>
        <w:gridCol w:w="441"/>
        <w:gridCol w:w="441"/>
        <w:gridCol w:w="1110"/>
      </w:tblGrid>
      <w:tr w:rsidR="00592C29" w14:paraId="15F1A33A" w14:textId="77777777">
        <w:trPr>
          <w:trHeight w:val="1608"/>
        </w:trPr>
        <w:tc>
          <w:tcPr>
            <w:tcW w:w="847" w:type="dxa"/>
            <w:vMerge w:val="restart"/>
            <w:tcBorders>
              <w:right w:val="single" w:sz="6" w:space="0" w:color="000000"/>
            </w:tcBorders>
            <w:tcMar>
              <w:top w:w="5" w:type="dxa"/>
              <w:left w:w="113" w:type="dxa"/>
              <w:bottom w:w="5" w:type="dxa"/>
              <w:right w:w="108" w:type="dxa"/>
            </w:tcMar>
            <w:vAlign w:val="center"/>
            <w:hideMark/>
          </w:tcPr>
          <w:p w14:paraId="608FF7FC" w14:textId="77777777" w:rsidR="00592C29" w:rsidRDefault="0048296D" w:rsidP="004A1875">
            <w:pPr>
              <w:spacing w:line="276" w:lineRule="auto"/>
              <w:rPr>
                <w:color w:val="000000"/>
                <w:sz w:val="22"/>
                <w:szCs w:val="22"/>
              </w:rPr>
            </w:pPr>
            <w:r>
              <w:rPr>
                <w:color w:val="000000"/>
                <w:sz w:val="22"/>
                <w:szCs w:val="22"/>
              </w:rPr>
              <w:t>18.5%</w:t>
            </w:r>
          </w:p>
        </w:tc>
        <w:tc>
          <w:tcPr>
            <w:tcW w:w="4706" w:type="dxa"/>
            <w:gridSpan w:val="1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65BA4268" w14:textId="77777777" w:rsidR="00592C29" w:rsidRDefault="0048296D" w:rsidP="004A1875">
            <w:pPr>
              <w:spacing w:line="276" w:lineRule="auto"/>
              <w:rPr>
                <w:color w:val="000000"/>
                <w:sz w:val="22"/>
                <w:szCs w:val="22"/>
              </w:rPr>
            </w:pPr>
            <w:r>
              <w:rPr>
                <w:b/>
                <w:bCs/>
                <w:color w:val="000000"/>
                <w:sz w:val="22"/>
                <w:szCs w:val="22"/>
              </w:rPr>
              <w:t xml:space="preserve">Lloyd's Insurance Company S.A  </w:t>
            </w:r>
            <w:r>
              <w:rPr>
                <w:noProof/>
                <w:color w:val="000000"/>
                <w:sz w:val="22"/>
                <w:szCs w:val="22"/>
              </w:rPr>
              <w:drawing>
                <wp:inline distT="0" distB="0" distL="0" distR="0" wp14:anchorId="768ECC1E" wp14:editId="5F398EF6">
                  <wp:extent cx="457200" cy="304800"/>
                  <wp:effectExtent l="0" t="0" r="0" b="0"/>
                  <wp:docPr id="100011" name="Picture 100011" descr="https://europa.eu/european-union/sites/europaeu/files/docs/body/flag_black_white_hi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r:embed="rId37"/>
                          <a:stretch>
                            <a:fillRect/>
                          </a:stretch>
                        </pic:blipFill>
                        <pic:spPr>
                          <a:xfrm>
                            <a:off x="0" y="0"/>
                            <a:ext cx="457200" cy="304800"/>
                          </a:xfrm>
                          <a:prstGeom prst="rect">
                            <a:avLst/>
                          </a:prstGeom>
                        </pic:spPr>
                      </pic:pic>
                    </a:graphicData>
                  </a:graphic>
                </wp:inline>
              </w:drawing>
            </w:r>
          </w:p>
          <w:p w14:paraId="359284E5" w14:textId="77777777" w:rsidR="00592C29" w:rsidRDefault="0048296D" w:rsidP="004A1875">
            <w:pPr>
              <w:spacing w:line="276" w:lineRule="auto"/>
              <w:rPr>
                <w:color w:val="000000"/>
                <w:sz w:val="22"/>
                <w:szCs w:val="22"/>
              </w:rPr>
            </w:pPr>
            <w:r>
              <w:rPr>
                <w:b/>
                <w:bCs/>
                <w:color w:val="000000"/>
                <w:sz w:val="22"/>
                <w:szCs w:val="22"/>
              </w:rPr>
              <w:t xml:space="preserve">                                                            HIS</w:t>
            </w:r>
          </w:p>
          <w:p w14:paraId="51011B5C" w14:textId="77777777" w:rsidR="00592C29" w:rsidRDefault="0048296D" w:rsidP="004A1875">
            <w:pPr>
              <w:spacing w:line="276" w:lineRule="auto"/>
              <w:ind w:left="1440"/>
              <w:rPr>
                <w:color w:val="000000"/>
                <w:sz w:val="22"/>
                <w:szCs w:val="22"/>
              </w:rPr>
            </w:pPr>
            <w:r>
              <w:rPr>
                <w:b/>
                <w:bCs/>
                <w:color w:val="000000"/>
                <w:sz w:val="22"/>
                <w:szCs w:val="22"/>
              </w:rPr>
              <w:t xml:space="preserve">                                  5299</w:t>
            </w:r>
          </w:p>
          <w:p w14:paraId="32836DEB" w14:textId="77777777" w:rsidR="00592C29" w:rsidRDefault="00592C29" w:rsidP="004A1875">
            <w:pPr>
              <w:spacing w:line="276" w:lineRule="auto"/>
              <w:rPr>
                <w:color w:val="000000"/>
                <w:sz w:val="22"/>
                <w:szCs w:val="22"/>
              </w:rPr>
            </w:pPr>
          </w:p>
        </w:tc>
        <w:tc>
          <w:tcPr>
            <w:tcW w:w="1110" w:type="dxa"/>
            <w:tcBorders>
              <w:left w:val="single" w:sz="6" w:space="0" w:color="000000"/>
            </w:tcBorders>
            <w:tcMar>
              <w:top w:w="5" w:type="dxa"/>
              <w:left w:w="108" w:type="dxa"/>
              <w:bottom w:w="5" w:type="dxa"/>
              <w:right w:w="113" w:type="dxa"/>
            </w:tcMar>
            <w:hideMark/>
          </w:tcPr>
          <w:p w14:paraId="771C8D82" w14:textId="77777777" w:rsidR="00592C29" w:rsidRDefault="0048296D" w:rsidP="004A1875">
            <w:pPr>
              <w:spacing w:line="276" w:lineRule="auto"/>
              <w:rPr>
                <w:color w:val="000000"/>
                <w:sz w:val="16"/>
                <w:szCs w:val="16"/>
              </w:rPr>
            </w:pPr>
            <w:r>
              <w:rPr>
                <w:color w:val="000000"/>
                <w:sz w:val="16"/>
                <w:szCs w:val="16"/>
              </w:rPr>
              <w:t>1/1/18</w:t>
            </w:r>
          </w:p>
          <w:p w14:paraId="1D6DBCD3" w14:textId="77777777" w:rsidR="00592C29" w:rsidRDefault="00592C29" w:rsidP="004A1875">
            <w:pPr>
              <w:spacing w:line="276" w:lineRule="auto"/>
              <w:rPr>
                <w:color w:val="000000"/>
                <w:sz w:val="16"/>
                <w:szCs w:val="16"/>
              </w:rPr>
            </w:pPr>
          </w:p>
        </w:tc>
      </w:tr>
      <w:tr w:rsidR="00592C29" w14:paraId="4F0F5CED" w14:textId="77777777">
        <w:trPr>
          <w:trHeight w:val="211"/>
        </w:trPr>
        <w:tc>
          <w:tcPr>
            <w:tcW w:w="0" w:type="auto"/>
            <w:vMerge/>
            <w:tcBorders>
              <w:right w:val="single" w:sz="6" w:space="0" w:color="000000"/>
            </w:tcBorders>
            <w:vAlign w:val="center"/>
            <w:hideMark/>
          </w:tcPr>
          <w:p w14:paraId="720FA0DD" w14:textId="77777777" w:rsidR="00592C29" w:rsidRDefault="00592C29" w:rsidP="004A1875">
            <w:pPr>
              <w:rPr>
                <w:color w:val="000000"/>
                <w:sz w:val="16"/>
                <w:szCs w:val="16"/>
              </w:rPr>
            </w:pPr>
          </w:p>
        </w:tc>
        <w:tc>
          <w:tcPr>
            <w:tcW w:w="429"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C9B3259" w14:textId="77777777" w:rsidR="00592C29" w:rsidRDefault="0048296D" w:rsidP="004A1875">
            <w:pPr>
              <w:spacing w:line="276" w:lineRule="auto"/>
              <w:rPr>
                <w:color w:val="000000"/>
                <w:sz w:val="22"/>
                <w:szCs w:val="22"/>
              </w:rPr>
            </w:pPr>
            <w:r>
              <w:rPr>
                <w:color w:val="000000"/>
                <w:sz w:val="22"/>
                <w:szCs w:val="22"/>
              </w:rPr>
              <w:t>H</w:t>
            </w:r>
          </w:p>
        </w:tc>
        <w:tc>
          <w:tcPr>
            <w:tcW w:w="284"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48E7681C" w14:textId="77777777" w:rsidR="00592C29" w:rsidRDefault="0048296D" w:rsidP="004A1875">
            <w:pPr>
              <w:spacing w:line="276" w:lineRule="auto"/>
              <w:rPr>
                <w:color w:val="000000"/>
                <w:sz w:val="22"/>
                <w:szCs w:val="22"/>
              </w:rPr>
            </w:pPr>
            <w:r>
              <w:rPr>
                <w:color w:val="000000"/>
                <w:sz w:val="22"/>
                <w:szCs w:val="22"/>
              </w:rPr>
              <w:t>I</w:t>
            </w:r>
          </w:p>
        </w:tc>
        <w:tc>
          <w:tcPr>
            <w:tcW w:w="292"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7091C399" w14:textId="77777777" w:rsidR="00592C29" w:rsidRDefault="0048296D" w:rsidP="004A1875">
            <w:pPr>
              <w:spacing w:line="276" w:lineRule="auto"/>
              <w:rPr>
                <w:color w:val="000000"/>
                <w:sz w:val="22"/>
                <w:szCs w:val="22"/>
              </w:rPr>
            </w:pPr>
            <w:r>
              <w:rPr>
                <w:color w:val="000000"/>
                <w:sz w:val="22"/>
                <w:szCs w:val="22"/>
              </w:rPr>
              <w:t>S</w:t>
            </w:r>
          </w:p>
        </w:tc>
        <w:tc>
          <w:tcPr>
            <w:tcW w:w="33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2309C516" w14:textId="77777777" w:rsidR="00592C29" w:rsidRDefault="0048296D" w:rsidP="004A1875">
            <w:pPr>
              <w:spacing w:line="276" w:lineRule="auto"/>
              <w:rPr>
                <w:color w:val="000000"/>
                <w:sz w:val="22"/>
                <w:szCs w:val="22"/>
              </w:rPr>
            </w:pPr>
            <w:r>
              <w:rPr>
                <w:color w:val="000000"/>
                <w:sz w:val="22"/>
                <w:szCs w:val="22"/>
              </w:rPr>
              <w:t>3</w:t>
            </w:r>
          </w:p>
        </w:tc>
        <w:tc>
          <w:tcPr>
            <w:tcW w:w="33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48DAA440" w14:textId="77777777" w:rsidR="00592C29" w:rsidRDefault="0048296D" w:rsidP="004A1875">
            <w:pPr>
              <w:spacing w:line="276" w:lineRule="auto"/>
              <w:rPr>
                <w:color w:val="000000"/>
                <w:sz w:val="22"/>
                <w:szCs w:val="22"/>
              </w:rPr>
            </w:pPr>
            <w:r>
              <w:rPr>
                <w:color w:val="000000"/>
                <w:sz w:val="22"/>
                <w:szCs w:val="22"/>
              </w:rPr>
              <w:t>5</w:t>
            </w:r>
          </w:p>
        </w:tc>
        <w:tc>
          <w:tcPr>
            <w:tcW w:w="33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06DBFB21" w14:textId="77777777" w:rsidR="00592C29" w:rsidRDefault="0048296D" w:rsidP="004A1875">
            <w:pPr>
              <w:spacing w:line="276" w:lineRule="auto"/>
              <w:rPr>
                <w:color w:val="000000"/>
                <w:sz w:val="22"/>
                <w:szCs w:val="22"/>
              </w:rPr>
            </w:pPr>
            <w:r>
              <w:rPr>
                <w:color w:val="000000"/>
                <w:sz w:val="22"/>
                <w:szCs w:val="22"/>
              </w:rPr>
              <w:t>5</w:t>
            </w:r>
          </w:p>
        </w:tc>
        <w:tc>
          <w:tcPr>
            <w:tcW w:w="490"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403DC63A" w14:textId="77777777" w:rsidR="00592C29" w:rsidRDefault="0048296D" w:rsidP="004A1875">
            <w:pPr>
              <w:spacing w:line="276" w:lineRule="auto"/>
              <w:rPr>
                <w:color w:val="000000"/>
                <w:sz w:val="22"/>
                <w:szCs w:val="22"/>
              </w:rPr>
            </w:pPr>
            <w:r>
              <w:rPr>
                <w:color w:val="000000"/>
                <w:sz w:val="22"/>
                <w:szCs w:val="22"/>
              </w:rPr>
              <w:t>3</w:t>
            </w:r>
          </w:p>
        </w:tc>
        <w:tc>
          <w:tcPr>
            <w:tcW w:w="4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1CEA837A" w14:textId="77777777" w:rsidR="00592C29" w:rsidRDefault="0048296D" w:rsidP="004A1875">
            <w:pPr>
              <w:spacing w:line="276" w:lineRule="auto"/>
              <w:rPr>
                <w:color w:val="000000"/>
                <w:sz w:val="22"/>
                <w:szCs w:val="22"/>
              </w:rPr>
            </w:pPr>
            <w:r>
              <w:rPr>
                <w:color w:val="000000"/>
                <w:sz w:val="22"/>
                <w:szCs w:val="22"/>
              </w:rPr>
              <w:t>A</w:t>
            </w:r>
          </w:p>
        </w:tc>
        <w:tc>
          <w:tcPr>
            <w:tcW w:w="4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6BC2A214" w14:textId="77777777" w:rsidR="00592C29" w:rsidRDefault="0048296D" w:rsidP="004A1875">
            <w:pPr>
              <w:spacing w:line="276" w:lineRule="auto"/>
              <w:rPr>
                <w:color w:val="000000"/>
                <w:sz w:val="22"/>
                <w:szCs w:val="22"/>
              </w:rPr>
            </w:pPr>
            <w:r>
              <w:rPr>
                <w:color w:val="000000"/>
                <w:sz w:val="22"/>
                <w:szCs w:val="22"/>
              </w:rPr>
              <w:t>B</w:t>
            </w:r>
          </w:p>
        </w:tc>
        <w:tc>
          <w:tcPr>
            <w:tcW w:w="442"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24D0D367" w14:textId="77777777" w:rsidR="00592C29" w:rsidRDefault="0048296D" w:rsidP="004A1875">
            <w:pPr>
              <w:spacing w:line="276" w:lineRule="auto"/>
              <w:rPr>
                <w:color w:val="000000"/>
                <w:sz w:val="22"/>
                <w:szCs w:val="22"/>
              </w:rPr>
            </w:pPr>
            <w:r>
              <w:rPr>
                <w:color w:val="000000"/>
                <w:sz w:val="22"/>
                <w:szCs w:val="22"/>
              </w:rPr>
              <w:t>2</w:t>
            </w:r>
          </w:p>
        </w:tc>
        <w:tc>
          <w:tcPr>
            <w:tcW w:w="4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7A4ACCE3" w14:textId="77777777" w:rsidR="00592C29" w:rsidRDefault="0048296D" w:rsidP="004A1875">
            <w:pPr>
              <w:spacing w:line="276" w:lineRule="auto"/>
              <w:rPr>
                <w:color w:val="000000"/>
                <w:sz w:val="22"/>
                <w:szCs w:val="22"/>
              </w:rPr>
            </w:pPr>
            <w:r>
              <w:rPr>
                <w:color w:val="000000"/>
                <w:sz w:val="22"/>
                <w:szCs w:val="22"/>
              </w:rPr>
              <w:t>4</w:t>
            </w:r>
          </w:p>
        </w:tc>
        <w:tc>
          <w:tcPr>
            <w:tcW w:w="4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22A322B1" w14:textId="77777777" w:rsidR="00592C29" w:rsidRDefault="0048296D" w:rsidP="004A1875">
            <w:pPr>
              <w:spacing w:line="276" w:lineRule="auto"/>
              <w:rPr>
                <w:color w:val="000000"/>
                <w:sz w:val="22"/>
                <w:szCs w:val="22"/>
              </w:rPr>
            </w:pPr>
            <w:r>
              <w:rPr>
                <w:color w:val="000000"/>
                <w:sz w:val="22"/>
                <w:szCs w:val="22"/>
              </w:rPr>
              <w:t>1</w:t>
            </w:r>
          </w:p>
        </w:tc>
        <w:tc>
          <w:tcPr>
            <w:tcW w:w="1110" w:type="dxa"/>
            <w:tcBorders>
              <w:left w:val="single" w:sz="6" w:space="0" w:color="000000"/>
            </w:tcBorders>
            <w:tcMar>
              <w:top w:w="5" w:type="dxa"/>
              <w:left w:w="108" w:type="dxa"/>
              <w:bottom w:w="5" w:type="dxa"/>
              <w:right w:w="113" w:type="dxa"/>
            </w:tcMar>
          </w:tcPr>
          <w:p w14:paraId="6776AE73" w14:textId="77777777" w:rsidR="00592C29" w:rsidRDefault="00592C29" w:rsidP="004A1875">
            <w:pPr>
              <w:spacing w:line="276" w:lineRule="auto"/>
              <w:rPr>
                <w:color w:val="000000"/>
                <w:sz w:val="22"/>
                <w:szCs w:val="22"/>
              </w:rPr>
            </w:pPr>
          </w:p>
        </w:tc>
      </w:tr>
      <w:tr w:rsidR="00592C29" w14:paraId="611FF2ED" w14:textId="77777777">
        <w:trPr>
          <w:trHeight w:val="150"/>
        </w:trPr>
        <w:tc>
          <w:tcPr>
            <w:tcW w:w="0" w:type="auto"/>
            <w:vMerge/>
            <w:tcBorders>
              <w:right w:val="single" w:sz="6" w:space="0" w:color="000000"/>
            </w:tcBorders>
            <w:vAlign w:val="center"/>
            <w:hideMark/>
          </w:tcPr>
          <w:p w14:paraId="1B6CC033" w14:textId="77777777" w:rsidR="00592C29" w:rsidRDefault="00592C29" w:rsidP="004A1875">
            <w:pPr>
              <w:rPr>
                <w:color w:val="000000"/>
                <w:sz w:val="22"/>
                <w:szCs w:val="22"/>
              </w:rPr>
            </w:pPr>
          </w:p>
        </w:tc>
        <w:tc>
          <w:tcPr>
            <w:tcW w:w="4706" w:type="dxa"/>
            <w:gridSpan w:val="1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36161EAC" w14:textId="77777777" w:rsidR="00592C29" w:rsidRDefault="0048296D" w:rsidP="004A1875">
            <w:pPr>
              <w:spacing w:line="276" w:lineRule="auto"/>
              <w:rPr>
                <w:color w:val="000000"/>
                <w:sz w:val="22"/>
                <w:szCs w:val="22"/>
              </w:rPr>
            </w:pPr>
            <w:r>
              <w:rPr>
                <w:color w:val="000000"/>
                <w:sz w:val="22"/>
                <w:szCs w:val="22"/>
              </w:rPr>
              <w:t xml:space="preserve">Reinsured by Lloyd’s syndicate HIS 033 </w:t>
            </w:r>
            <w:r>
              <w:rPr>
                <w:noProof/>
                <w:color w:val="000000"/>
                <w:sz w:val="22"/>
                <w:szCs w:val="22"/>
              </w:rPr>
              <w:drawing>
                <wp:inline distT="0" distB="0" distL="0" distR="0" wp14:anchorId="3E2E5B25" wp14:editId="136B63E0">
                  <wp:extent cx="209550" cy="247650"/>
                  <wp:effectExtent l="0" t="0" r="0" b="0"/>
                  <wp:docPr id="100013" name="Picture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r:embed="rId38"/>
                          <a:stretch>
                            <a:fillRect/>
                          </a:stretch>
                        </pic:blipFill>
                        <pic:spPr>
                          <a:xfrm>
                            <a:off x="0" y="0"/>
                            <a:ext cx="209550" cy="247650"/>
                          </a:xfrm>
                          <a:prstGeom prst="rect">
                            <a:avLst/>
                          </a:prstGeom>
                        </pic:spPr>
                      </pic:pic>
                    </a:graphicData>
                  </a:graphic>
                </wp:inline>
              </w:drawing>
            </w:r>
          </w:p>
        </w:tc>
        <w:tc>
          <w:tcPr>
            <w:tcW w:w="1110" w:type="dxa"/>
            <w:tcBorders>
              <w:left w:val="single" w:sz="6" w:space="0" w:color="000000"/>
            </w:tcBorders>
            <w:tcMar>
              <w:top w:w="5" w:type="dxa"/>
              <w:left w:w="108" w:type="dxa"/>
              <w:bottom w:w="5" w:type="dxa"/>
              <w:right w:w="113" w:type="dxa"/>
            </w:tcMar>
          </w:tcPr>
          <w:p w14:paraId="09A38487" w14:textId="77777777" w:rsidR="00592C29" w:rsidRDefault="00592C29" w:rsidP="004A1875">
            <w:pPr>
              <w:spacing w:line="276" w:lineRule="auto"/>
              <w:rPr>
                <w:color w:val="000000"/>
                <w:sz w:val="22"/>
                <w:szCs w:val="22"/>
              </w:rPr>
            </w:pPr>
          </w:p>
        </w:tc>
      </w:tr>
    </w:tbl>
    <w:p w14:paraId="21B75DAB" w14:textId="77777777" w:rsidR="00592C29" w:rsidRDefault="00592C29" w:rsidP="004A1875">
      <w:pPr>
        <w:spacing w:line="276" w:lineRule="auto"/>
        <w:rPr>
          <w:sz w:val="22"/>
          <w:szCs w:val="22"/>
        </w:rPr>
      </w:pPr>
    </w:p>
    <w:tbl>
      <w:tblPr>
        <w:tblW w:w="0" w:type="auto"/>
        <w:tblInd w:w="113" w:type="dxa"/>
        <w:tblCellMar>
          <w:left w:w="0" w:type="dxa"/>
          <w:right w:w="0" w:type="dxa"/>
        </w:tblCellMar>
        <w:tblLook w:val="04A0" w:firstRow="1" w:lastRow="0" w:firstColumn="1" w:lastColumn="0" w:noHBand="0" w:noVBand="1"/>
      </w:tblPr>
      <w:tblGrid>
        <w:gridCol w:w="847"/>
        <w:gridCol w:w="351"/>
        <w:gridCol w:w="375"/>
        <w:gridCol w:w="351"/>
        <w:gridCol w:w="335"/>
        <w:gridCol w:w="335"/>
        <w:gridCol w:w="335"/>
        <w:gridCol w:w="490"/>
        <w:gridCol w:w="441"/>
        <w:gridCol w:w="441"/>
        <w:gridCol w:w="442"/>
        <w:gridCol w:w="441"/>
        <w:gridCol w:w="441"/>
        <w:gridCol w:w="735"/>
        <w:gridCol w:w="1083"/>
      </w:tblGrid>
      <w:tr w:rsidR="00592C29" w14:paraId="6188A0BA" w14:textId="77777777" w:rsidTr="0017441C">
        <w:trPr>
          <w:trHeight w:val="1608"/>
        </w:trPr>
        <w:tc>
          <w:tcPr>
            <w:tcW w:w="847" w:type="dxa"/>
            <w:vMerge w:val="restart"/>
            <w:tcBorders>
              <w:right w:val="single" w:sz="6" w:space="0" w:color="000000"/>
            </w:tcBorders>
            <w:tcMar>
              <w:top w:w="5" w:type="dxa"/>
              <w:left w:w="113" w:type="dxa"/>
              <w:bottom w:w="5" w:type="dxa"/>
              <w:right w:w="108" w:type="dxa"/>
            </w:tcMar>
            <w:vAlign w:val="center"/>
            <w:hideMark/>
          </w:tcPr>
          <w:p w14:paraId="66AC2C9A" w14:textId="77777777" w:rsidR="00592C29" w:rsidRDefault="0048296D" w:rsidP="004A1875">
            <w:pPr>
              <w:spacing w:line="276" w:lineRule="auto"/>
              <w:rPr>
                <w:color w:val="000000"/>
                <w:sz w:val="22"/>
                <w:szCs w:val="22"/>
              </w:rPr>
            </w:pPr>
            <w:r>
              <w:rPr>
                <w:color w:val="000000"/>
                <w:sz w:val="22"/>
                <w:szCs w:val="22"/>
              </w:rPr>
              <w:t>25%</w:t>
            </w:r>
          </w:p>
        </w:tc>
        <w:tc>
          <w:tcPr>
            <w:tcW w:w="4778" w:type="dxa"/>
            <w:gridSpan w:val="1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D1B92A5" w14:textId="77777777" w:rsidR="00592C29" w:rsidRDefault="0048296D" w:rsidP="004A1875">
            <w:pPr>
              <w:spacing w:line="276" w:lineRule="auto"/>
              <w:rPr>
                <w:color w:val="000000"/>
                <w:sz w:val="22"/>
                <w:szCs w:val="22"/>
              </w:rPr>
            </w:pPr>
            <w:r>
              <w:rPr>
                <w:b/>
                <w:bCs/>
                <w:color w:val="000000"/>
                <w:sz w:val="22"/>
                <w:szCs w:val="22"/>
              </w:rPr>
              <w:t xml:space="preserve">Lloyd's Insurance Company S.A  </w:t>
            </w:r>
            <w:r>
              <w:rPr>
                <w:noProof/>
                <w:color w:val="000000"/>
                <w:sz w:val="22"/>
                <w:szCs w:val="22"/>
              </w:rPr>
              <w:drawing>
                <wp:inline distT="0" distB="0" distL="0" distR="0" wp14:anchorId="19E33C27" wp14:editId="3D876B5A">
                  <wp:extent cx="457200" cy="304800"/>
                  <wp:effectExtent l="0" t="0" r="0" b="0"/>
                  <wp:docPr id="100015" name="Picture 100015" descr="https://europa.eu/european-union/sites/europaeu/files/docs/body/flag_black_white_hi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r:embed="rId37"/>
                          <a:stretch>
                            <a:fillRect/>
                          </a:stretch>
                        </pic:blipFill>
                        <pic:spPr>
                          <a:xfrm>
                            <a:off x="0" y="0"/>
                            <a:ext cx="457200" cy="304800"/>
                          </a:xfrm>
                          <a:prstGeom prst="rect">
                            <a:avLst/>
                          </a:prstGeom>
                        </pic:spPr>
                      </pic:pic>
                    </a:graphicData>
                  </a:graphic>
                </wp:inline>
              </w:drawing>
            </w:r>
          </w:p>
          <w:p w14:paraId="05D59924" w14:textId="77777777" w:rsidR="00592C29" w:rsidRDefault="0048296D" w:rsidP="004A1875">
            <w:pPr>
              <w:spacing w:line="276" w:lineRule="auto"/>
              <w:rPr>
                <w:color w:val="000000"/>
                <w:sz w:val="22"/>
                <w:szCs w:val="22"/>
              </w:rPr>
            </w:pPr>
            <w:r>
              <w:rPr>
                <w:b/>
                <w:bCs/>
                <w:color w:val="000000"/>
                <w:sz w:val="22"/>
                <w:szCs w:val="22"/>
              </w:rPr>
              <w:t xml:space="preserve">                                                            TAL</w:t>
            </w:r>
          </w:p>
          <w:p w14:paraId="6E609B58" w14:textId="77777777" w:rsidR="00592C29" w:rsidRDefault="0048296D" w:rsidP="004A1875">
            <w:pPr>
              <w:spacing w:line="276" w:lineRule="auto"/>
              <w:ind w:left="1440"/>
              <w:rPr>
                <w:color w:val="000000"/>
                <w:sz w:val="22"/>
                <w:szCs w:val="22"/>
              </w:rPr>
            </w:pPr>
            <w:r>
              <w:rPr>
                <w:b/>
                <w:bCs/>
                <w:color w:val="000000"/>
                <w:sz w:val="22"/>
                <w:szCs w:val="22"/>
              </w:rPr>
              <w:t xml:space="preserve">                                  5318</w:t>
            </w:r>
          </w:p>
          <w:p w14:paraId="0B3471B0" w14:textId="77777777" w:rsidR="00592C29" w:rsidRDefault="00592C29" w:rsidP="004A1875">
            <w:pPr>
              <w:spacing w:line="276" w:lineRule="auto"/>
              <w:rPr>
                <w:color w:val="000000"/>
                <w:sz w:val="22"/>
                <w:szCs w:val="22"/>
              </w:rPr>
            </w:pPr>
          </w:p>
        </w:tc>
        <w:tc>
          <w:tcPr>
            <w:tcW w:w="1818" w:type="dxa"/>
            <w:gridSpan w:val="2"/>
            <w:tcBorders>
              <w:left w:val="single" w:sz="6" w:space="0" w:color="000000"/>
            </w:tcBorders>
            <w:tcMar>
              <w:top w:w="5" w:type="dxa"/>
              <w:left w:w="108" w:type="dxa"/>
              <w:bottom w:w="5" w:type="dxa"/>
              <w:right w:w="113" w:type="dxa"/>
            </w:tcMar>
            <w:hideMark/>
          </w:tcPr>
          <w:p w14:paraId="75FA2402" w14:textId="77777777" w:rsidR="00592C29" w:rsidRDefault="0048296D" w:rsidP="004A1875">
            <w:pPr>
              <w:spacing w:line="276" w:lineRule="auto"/>
              <w:rPr>
                <w:color w:val="000000"/>
                <w:sz w:val="16"/>
                <w:szCs w:val="16"/>
              </w:rPr>
            </w:pPr>
            <w:r>
              <w:rPr>
                <w:color w:val="000000"/>
                <w:sz w:val="16"/>
                <w:szCs w:val="16"/>
              </w:rPr>
              <w:t>1/1/18</w:t>
            </w:r>
          </w:p>
          <w:p w14:paraId="18444DFA" w14:textId="77777777" w:rsidR="00592C29" w:rsidRDefault="00592C29" w:rsidP="004A1875">
            <w:pPr>
              <w:spacing w:line="276" w:lineRule="auto"/>
              <w:rPr>
                <w:color w:val="000000"/>
                <w:sz w:val="16"/>
                <w:szCs w:val="16"/>
              </w:rPr>
            </w:pPr>
          </w:p>
          <w:p w14:paraId="0F701D01" w14:textId="77777777" w:rsidR="00592C29" w:rsidRDefault="00592C29" w:rsidP="004A1875">
            <w:pPr>
              <w:spacing w:line="276" w:lineRule="auto"/>
              <w:rPr>
                <w:color w:val="000000"/>
                <w:sz w:val="16"/>
                <w:szCs w:val="16"/>
              </w:rPr>
            </w:pPr>
          </w:p>
          <w:p w14:paraId="5B157725" w14:textId="77777777" w:rsidR="00592C29" w:rsidRDefault="00592C29" w:rsidP="004A1875">
            <w:pPr>
              <w:spacing w:line="276" w:lineRule="auto"/>
              <w:rPr>
                <w:color w:val="000000"/>
                <w:sz w:val="16"/>
                <w:szCs w:val="16"/>
              </w:rPr>
            </w:pPr>
          </w:p>
        </w:tc>
      </w:tr>
      <w:tr w:rsidR="00592C29" w14:paraId="1E75378A" w14:textId="77777777" w:rsidTr="0017441C">
        <w:trPr>
          <w:trHeight w:val="333"/>
        </w:trPr>
        <w:tc>
          <w:tcPr>
            <w:tcW w:w="0" w:type="auto"/>
            <w:vMerge/>
            <w:tcBorders>
              <w:right w:val="single" w:sz="6" w:space="0" w:color="000000"/>
            </w:tcBorders>
            <w:vAlign w:val="center"/>
            <w:hideMark/>
          </w:tcPr>
          <w:p w14:paraId="518AFB0D" w14:textId="77777777" w:rsidR="00592C29" w:rsidRDefault="00592C29" w:rsidP="004A1875">
            <w:pPr>
              <w:rPr>
                <w:color w:val="000000"/>
                <w:sz w:val="16"/>
                <w:szCs w:val="16"/>
              </w:rPr>
            </w:pPr>
          </w:p>
        </w:tc>
        <w:tc>
          <w:tcPr>
            <w:tcW w:w="35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BCE08BF" w14:textId="77777777" w:rsidR="00592C29" w:rsidRDefault="0048296D" w:rsidP="004A1875">
            <w:pPr>
              <w:spacing w:line="276" w:lineRule="auto"/>
              <w:rPr>
                <w:color w:val="000000"/>
                <w:sz w:val="22"/>
                <w:szCs w:val="22"/>
              </w:rPr>
            </w:pPr>
            <w:r>
              <w:rPr>
                <w:color w:val="000000"/>
                <w:sz w:val="22"/>
                <w:szCs w:val="22"/>
              </w:rPr>
              <w:t>T</w:t>
            </w:r>
          </w:p>
        </w:tc>
        <w:tc>
          <w:tcPr>
            <w:tcW w:w="37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0A327E3A" w14:textId="77777777" w:rsidR="00592C29" w:rsidRDefault="0048296D" w:rsidP="004A1875">
            <w:pPr>
              <w:spacing w:line="276" w:lineRule="auto"/>
              <w:rPr>
                <w:color w:val="000000"/>
                <w:sz w:val="22"/>
                <w:szCs w:val="22"/>
              </w:rPr>
            </w:pPr>
            <w:r>
              <w:rPr>
                <w:color w:val="000000"/>
                <w:sz w:val="22"/>
                <w:szCs w:val="22"/>
              </w:rPr>
              <w:t>A</w:t>
            </w:r>
          </w:p>
        </w:tc>
        <w:tc>
          <w:tcPr>
            <w:tcW w:w="35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4E212DB1" w14:textId="77777777" w:rsidR="00592C29" w:rsidRDefault="0048296D" w:rsidP="004A1875">
            <w:pPr>
              <w:spacing w:line="276" w:lineRule="auto"/>
              <w:rPr>
                <w:color w:val="000000"/>
                <w:sz w:val="22"/>
                <w:szCs w:val="22"/>
              </w:rPr>
            </w:pPr>
            <w:r>
              <w:rPr>
                <w:color w:val="000000"/>
                <w:sz w:val="22"/>
                <w:szCs w:val="22"/>
              </w:rPr>
              <w:t>L</w:t>
            </w:r>
          </w:p>
        </w:tc>
        <w:tc>
          <w:tcPr>
            <w:tcW w:w="33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69E2C919" w14:textId="77777777" w:rsidR="00592C29" w:rsidRDefault="0048296D" w:rsidP="004A1875">
            <w:pPr>
              <w:spacing w:line="276" w:lineRule="auto"/>
              <w:rPr>
                <w:color w:val="000000"/>
                <w:sz w:val="22"/>
                <w:szCs w:val="22"/>
              </w:rPr>
            </w:pPr>
            <w:r>
              <w:rPr>
                <w:color w:val="000000"/>
                <w:sz w:val="22"/>
                <w:szCs w:val="22"/>
              </w:rPr>
              <w:t>5</w:t>
            </w:r>
          </w:p>
        </w:tc>
        <w:tc>
          <w:tcPr>
            <w:tcW w:w="33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3C49B034" w14:textId="77777777" w:rsidR="00592C29" w:rsidRDefault="0048296D" w:rsidP="004A1875">
            <w:pPr>
              <w:spacing w:line="276" w:lineRule="auto"/>
              <w:rPr>
                <w:color w:val="000000"/>
                <w:sz w:val="22"/>
                <w:szCs w:val="22"/>
              </w:rPr>
            </w:pPr>
            <w:r>
              <w:rPr>
                <w:color w:val="000000"/>
                <w:sz w:val="22"/>
                <w:szCs w:val="22"/>
              </w:rPr>
              <w:t>3</w:t>
            </w:r>
          </w:p>
        </w:tc>
        <w:tc>
          <w:tcPr>
            <w:tcW w:w="33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71F998D9" w14:textId="77777777" w:rsidR="00592C29" w:rsidRDefault="0048296D" w:rsidP="004A1875">
            <w:pPr>
              <w:spacing w:line="276" w:lineRule="auto"/>
              <w:rPr>
                <w:color w:val="000000"/>
                <w:sz w:val="22"/>
                <w:szCs w:val="22"/>
              </w:rPr>
            </w:pPr>
            <w:r>
              <w:rPr>
                <w:color w:val="000000"/>
                <w:sz w:val="22"/>
                <w:szCs w:val="22"/>
              </w:rPr>
              <w:t>3</w:t>
            </w:r>
          </w:p>
        </w:tc>
        <w:tc>
          <w:tcPr>
            <w:tcW w:w="490"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0F69B47F" w14:textId="77777777" w:rsidR="00592C29" w:rsidRDefault="0048296D" w:rsidP="004A1875">
            <w:pPr>
              <w:spacing w:line="276" w:lineRule="auto"/>
              <w:rPr>
                <w:color w:val="000000"/>
                <w:sz w:val="22"/>
                <w:szCs w:val="22"/>
              </w:rPr>
            </w:pPr>
            <w:r>
              <w:rPr>
                <w:color w:val="000000"/>
                <w:sz w:val="22"/>
                <w:szCs w:val="22"/>
              </w:rPr>
              <w:t>5</w:t>
            </w:r>
          </w:p>
        </w:tc>
        <w:tc>
          <w:tcPr>
            <w:tcW w:w="4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653E22C2" w14:textId="77777777" w:rsidR="00592C29" w:rsidRDefault="0048296D" w:rsidP="004A1875">
            <w:pPr>
              <w:spacing w:line="276" w:lineRule="auto"/>
              <w:rPr>
                <w:color w:val="000000"/>
                <w:sz w:val="22"/>
                <w:szCs w:val="22"/>
              </w:rPr>
            </w:pPr>
            <w:r>
              <w:rPr>
                <w:color w:val="000000"/>
                <w:sz w:val="22"/>
                <w:szCs w:val="22"/>
              </w:rPr>
              <w:t>A</w:t>
            </w:r>
          </w:p>
        </w:tc>
        <w:tc>
          <w:tcPr>
            <w:tcW w:w="4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1BC85647" w14:textId="77777777" w:rsidR="00592C29" w:rsidRDefault="0048296D" w:rsidP="004A1875">
            <w:pPr>
              <w:spacing w:line="276" w:lineRule="auto"/>
              <w:rPr>
                <w:color w:val="000000"/>
                <w:sz w:val="22"/>
                <w:szCs w:val="22"/>
              </w:rPr>
            </w:pPr>
            <w:r>
              <w:rPr>
                <w:color w:val="000000"/>
                <w:sz w:val="22"/>
                <w:szCs w:val="22"/>
              </w:rPr>
              <w:t>B</w:t>
            </w:r>
          </w:p>
        </w:tc>
        <w:tc>
          <w:tcPr>
            <w:tcW w:w="442"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6FA2A78C" w14:textId="77777777" w:rsidR="00592C29" w:rsidRDefault="0048296D" w:rsidP="004A1875">
            <w:pPr>
              <w:spacing w:line="276" w:lineRule="auto"/>
              <w:rPr>
                <w:color w:val="000000"/>
                <w:sz w:val="22"/>
                <w:szCs w:val="22"/>
              </w:rPr>
            </w:pPr>
            <w:r>
              <w:rPr>
                <w:color w:val="000000"/>
                <w:sz w:val="22"/>
                <w:szCs w:val="22"/>
              </w:rPr>
              <w:t>2</w:t>
            </w:r>
          </w:p>
        </w:tc>
        <w:tc>
          <w:tcPr>
            <w:tcW w:w="4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4E02AA2F" w14:textId="77777777" w:rsidR="00592C29" w:rsidRDefault="0048296D" w:rsidP="004A1875">
            <w:pPr>
              <w:spacing w:line="276" w:lineRule="auto"/>
              <w:rPr>
                <w:color w:val="000000"/>
                <w:sz w:val="22"/>
                <w:szCs w:val="22"/>
              </w:rPr>
            </w:pPr>
            <w:r>
              <w:rPr>
                <w:color w:val="000000"/>
                <w:sz w:val="22"/>
                <w:szCs w:val="22"/>
              </w:rPr>
              <w:t>4</w:t>
            </w:r>
          </w:p>
        </w:tc>
        <w:tc>
          <w:tcPr>
            <w:tcW w:w="4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7479E85" w14:textId="77777777" w:rsidR="00592C29" w:rsidRDefault="0048296D" w:rsidP="004A1875">
            <w:pPr>
              <w:spacing w:line="276" w:lineRule="auto"/>
              <w:rPr>
                <w:color w:val="000000"/>
                <w:sz w:val="22"/>
                <w:szCs w:val="22"/>
              </w:rPr>
            </w:pPr>
            <w:r>
              <w:rPr>
                <w:color w:val="000000"/>
                <w:sz w:val="22"/>
                <w:szCs w:val="22"/>
              </w:rPr>
              <w:t>1</w:t>
            </w:r>
          </w:p>
        </w:tc>
        <w:tc>
          <w:tcPr>
            <w:tcW w:w="735" w:type="dxa"/>
            <w:tcBorders>
              <w:left w:val="single" w:sz="6" w:space="0" w:color="000000"/>
            </w:tcBorders>
            <w:tcMar>
              <w:top w:w="5" w:type="dxa"/>
              <w:left w:w="108" w:type="dxa"/>
              <w:bottom w:w="5" w:type="dxa"/>
              <w:right w:w="113" w:type="dxa"/>
            </w:tcMar>
          </w:tcPr>
          <w:p w14:paraId="71993F29" w14:textId="77777777" w:rsidR="00592C29" w:rsidRDefault="00592C29" w:rsidP="004A1875">
            <w:pPr>
              <w:spacing w:line="276" w:lineRule="auto"/>
              <w:rPr>
                <w:color w:val="000000"/>
                <w:sz w:val="22"/>
                <w:szCs w:val="22"/>
              </w:rPr>
            </w:pPr>
          </w:p>
        </w:tc>
        <w:tc>
          <w:tcPr>
            <w:tcW w:w="0" w:type="auto"/>
            <w:tcMar>
              <w:top w:w="5" w:type="dxa"/>
              <w:left w:w="5" w:type="dxa"/>
              <w:bottom w:w="5" w:type="dxa"/>
              <w:right w:w="5" w:type="dxa"/>
            </w:tcMar>
            <w:hideMark/>
          </w:tcPr>
          <w:p w14:paraId="1F1908D9" w14:textId="77777777" w:rsidR="00592C29" w:rsidRDefault="00592C29" w:rsidP="004A1875">
            <w:pPr>
              <w:rPr>
                <w:color w:val="000000"/>
              </w:rPr>
            </w:pPr>
          </w:p>
        </w:tc>
      </w:tr>
      <w:tr w:rsidR="00592C29" w14:paraId="440BE723" w14:textId="77777777" w:rsidTr="0017441C">
        <w:trPr>
          <w:trHeight w:val="150"/>
        </w:trPr>
        <w:tc>
          <w:tcPr>
            <w:tcW w:w="0" w:type="auto"/>
            <w:vMerge/>
            <w:tcBorders>
              <w:right w:val="single" w:sz="6" w:space="0" w:color="000000"/>
            </w:tcBorders>
            <w:vAlign w:val="center"/>
            <w:hideMark/>
          </w:tcPr>
          <w:p w14:paraId="11E06048" w14:textId="77777777" w:rsidR="00592C29" w:rsidRDefault="00592C29" w:rsidP="004A1875">
            <w:pPr>
              <w:rPr>
                <w:color w:val="000000"/>
              </w:rPr>
            </w:pPr>
          </w:p>
        </w:tc>
        <w:tc>
          <w:tcPr>
            <w:tcW w:w="4778" w:type="dxa"/>
            <w:gridSpan w:val="1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67DA7801" w14:textId="77777777" w:rsidR="00592C29" w:rsidRDefault="0048296D" w:rsidP="004A1875">
            <w:pPr>
              <w:spacing w:line="276" w:lineRule="auto"/>
              <w:rPr>
                <w:color w:val="000000"/>
                <w:sz w:val="22"/>
                <w:szCs w:val="22"/>
              </w:rPr>
            </w:pPr>
            <w:r>
              <w:rPr>
                <w:color w:val="000000"/>
                <w:sz w:val="22"/>
                <w:szCs w:val="22"/>
              </w:rPr>
              <w:t xml:space="preserve">Reinsured by Lloyd’s syndicate TAL 1183 </w:t>
            </w:r>
            <w:r>
              <w:rPr>
                <w:noProof/>
                <w:color w:val="000000"/>
                <w:sz w:val="22"/>
                <w:szCs w:val="22"/>
              </w:rPr>
              <w:drawing>
                <wp:inline distT="0" distB="0" distL="0" distR="0" wp14:anchorId="0F2E249B" wp14:editId="783EF7AA">
                  <wp:extent cx="209550" cy="247650"/>
                  <wp:effectExtent l="0" t="0" r="0" b="0"/>
                  <wp:docPr id="100017" name="Picture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r:embed="rId38"/>
                          <a:stretch>
                            <a:fillRect/>
                          </a:stretch>
                        </pic:blipFill>
                        <pic:spPr>
                          <a:xfrm>
                            <a:off x="0" y="0"/>
                            <a:ext cx="209550" cy="247650"/>
                          </a:xfrm>
                          <a:prstGeom prst="rect">
                            <a:avLst/>
                          </a:prstGeom>
                        </pic:spPr>
                      </pic:pic>
                    </a:graphicData>
                  </a:graphic>
                </wp:inline>
              </w:drawing>
            </w:r>
          </w:p>
        </w:tc>
        <w:tc>
          <w:tcPr>
            <w:tcW w:w="735" w:type="dxa"/>
            <w:tcBorders>
              <w:left w:val="single" w:sz="6" w:space="0" w:color="000000"/>
            </w:tcBorders>
            <w:tcMar>
              <w:top w:w="5" w:type="dxa"/>
              <w:left w:w="108" w:type="dxa"/>
              <w:bottom w:w="5" w:type="dxa"/>
              <w:right w:w="113" w:type="dxa"/>
            </w:tcMar>
          </w:tcPr>
          <w:p w14:paraId="433AB400" w14:textId="77777777" w:rsidR="00592C29" w:rsidRDefault="00592C29" w:rsidP="004A1875">
            <w:pPr>
              <w:spacing w:line="276" w:lineRule="auto"/>
              <w:rPr>
                <w:color w:val="000000"/>
                <w:sz w:val="22"/>
                <w:szCs w:val="22"/>
              </w:rPr>
            </w:pPr>
          </w:p>
        </w:tc>
        <w:tc>
          <w:tcPr>
            <w:tcW w:w="0" w:type="auto"/>
            <w:tcMar>
              <w:top w:w="5" w:type="dxa"/>
              <w:left w:w="5" w:type="dxa"/>
              <w:bottom w:w="5" w:type="dxa"/>
              <w:right w:w="5" w:type="dxa"/>
            </w:tcMar>
            <w:hideMark/>
          </w:tcPr>
          <w:p w14:paraId="3E184495" w14:textId="77777777" w:rsidR="00592C29" w:rsidRDefault="00592C29" w:rsidP="004A1875">
            <w:pPr>
              <w:rPr>
                <w:color w:val="000000"/>
              </w:rPr>
            </w:pPr>
          </w:p>
        </w:tc>
      </w:tr>
    </w:tbl>
    <w:p w14:paraId="17AF0FD8" w14:textId="0153545F" w:rsidR="00592C29" w:rsidRDefault="00592C29" w:rsidP="004A1875">
      <w:pPr>
        <w:spacing w:line="276" w:lineRule="auto"/>
      </w:pPr>
    </w:p>
    <w:p w14:paraId="74D86539" w14:textId="77777777" w:rsidR="004A1875" w:rsidRDefault="004A1875" w:rsidP="004A1875">
      <w:pPr>
        <w:spacing w:line="276" w:lineRule="auto"/>
      </w:pPr>
    </w:p>
    <w:p w14:paraId="3A4C9EA1" w14:textId="6B2ACB35" w:rsidR="00592C29" w:rsidRDefault="0048296D" w:rsidP="004A1875">
      <w:pPr>
        <w:spacing w:line="276" w:lineRule="auto"/>
        <w:rPr>
          <w:sz w:val="28"/>
          <w:szCs w:val="28"/>
        </w:rPr>
      </w:pPr>
      <w:r>
        <w:rPr>
          <w:rFonts w:ascii="Trebuchet MS" w:eastAsia="Trebuchet MS" w:hAnsi="Trebuchet MS" w:cs="Trebuchet MS"/>
          <w:b/>
          <w:bCs/>
          <w:sz w:val="28"/>
          <w:szCs w:val="28"/>
        </w:rPr>
        <w:t xml:space="preserve">In respect of Rest of the World </w:t>
      </w:r>
      <w:r w:rsidR="004A1875">
        <w:rPr>
          <w:rFonts w:ascii="Trebuchet MS" w:eastAsia="Trebuchet MS" w:hAnsi="Trebuchet MS" w:cs="Trebuchet MS"/>
          <w:b/>
          <w:bCs/>
          <w:sz w:val="28"/>
          <w:szCs w:val="28"/>
        </w:rPr>
        <w:t>excluding EEA</w:t>
      </w:r>
      <w:r>
        <w:rPr>
          <w:rFonts w:ascii="Trebuchet MS" w:eastAsia="Trebuchet MS" w:hAnsi="Trebuchet MS" w:cs="Trebuchet MS"/>
          <w:b/>
          <w:bCs/>
          <w:sz w:val="28"/>
          <w:szCs w:val="28"/>
        </w:rPr>
        <w:t xml:space="preserve"> / UK / Monaco </w:t>
      </w:r>
    </w:p>
    <w:p w14:paraId="2B056420" w14:textId="77777777" w:rsidR="00592C29" w:rsidRDefault="00592C29" w:rsidP="004A1875">
      <w:pPr>
        <w:spacing w:line="276" w:lineRule="auto"/>
        <w:ind w:left="2160" w:hanging="2160"/>
        <w:rPr>
          <w:sz w:val="22"/>
          <w:szCs w:val="22"/>
        </w:rPr>
      </w:pPr>
    </w:p>
    <w:p w14:paraId="08DEDA73" w14:textId="77777777" w:rsidR="00592C29" w:rsidRDefault="0048296D" w:rsidP="004A1875">
      <w:pPr>
        <w:spacing w:line="276" w:lineRule="auto"/>
        <w:ind w:left="2160" w:hanging="2160"/>
        <w:rPr>
          <w:sz w:val="22"/>
          <w:szCs w:val="22"/>
        </w:rPr>
      </w:pPr>
      <w:r>
        <w:rPr>
          <w:rFonts w:ascii="Trebuchet MS" w:eastAsia="Trebuchet MS" w:hAnsi="Trebuchet MS" w:cs="Trebuchet MS"/>
          <w:b/>
          <w:bCs/>
          <w:sz w:val="22"/>
          <w:szCs w:val="22"/>
        </w:rPr>
        <w:t xml:space="preserve">WRITTEN </w:t>
      </w:r>
    </w:p>
    <w:p w14:paraId="686F1171" w14:textId="77777777" w:rsidR="00592C29" w:rsidRDefault="0048296D" w:rsidP="004A1875">
      <w:pPr>
        <w:spacing w:line="276" w:lineRule="auto"/>
        <w:ind w:left="2160" w:hanging="2160"/>
        <w:rPr>
          <w:sz w:val="22"/>
          <w:szCs w:val="22"/>
        </w:rPr>
      </w:pPr>
      <w:r>
        <w:rPr>
          <w:rFonts w:ascii="Trebuchet MS" w:eastAsia="Trebuchet MS" w:hAnsi="Trebuchet MS" w:cs="Trebuchet MS"/>
          <w:b/>
          <w:bCs/>
          <w:sz w:val="22"/>
          <w:szCs w:val="22"/>
        </w:rPr>
        <w:t>LINES:</w:t>
      </w:r>
      <w:r>
        <w:rPr>
          <w:rFonts w:ascii="Trebuchet MS" w:eastAsia="Trebuchet MS" w:hAnsi="Trebuchet MS" w:cs="Trebuchet MS"/>
          <w:b/>
          <w:bCs/>
          <w:sz w:val="22"/>
          <w:szCs w:val="22"/>
        </w:rPr>
        <w:tab/>
      </w:r>
    </w:p>
    <w:p w14:paraId="07FD0794" w14:textId="77777777" w:rsidR="00592C29" w:rsidRDefault="0048296D" w:rsidP="004A1875">
      <w:pPr>
        <w:spacing w:line="276" w:lineRule="auto"/>
        <w:ind w:left="2160" w:hanging="2160"/>
        <w:rPr>
          <w:sz w:val="22"/>
          <w:szCs w:val="22"/>
        </w:rPr>
      </w:pPr>
      <w:r>
        <w:rPr>
          <w:sz w:val="22"/>
          <w:szCs w:val="22"/>
        </w:rPr>
        <w:tab/>
      </w:r>
    </w:p>
    <w:tbl>
      <w:tblPr>
        <w:tblW w:w="0" w:type="auto"/>
        <w:jc w:val="center"/>
        <w:tblCellMar>
          <w:left w:w="0" w:type="dxa"/>
          <w:right w:w="0" w:type="dxa"/>
        </w:tblCellMar>
        <w:tblLook w:val="04A0" w:firstRow="1" w:lastRow="0" w:firstColumn="1" w:lastColumn="0" w:noHBand="0" w:noVBand="1"/>
      </w:tblPr>
      <w:tblGrid>
        <w:gridCol w:w="817"/>
        <w:gridCol w:w="352"/>
        <w:gridCol w:w="323"/>
        <w:gridCol w:w="343"/>
        <w:gridCol w:w="327"/>
        <w:gridCol w:w="327"/>
        <w:gridCol w:w="327"/>
        <w:gridCol w:w="327"/>
        <w:gridCol w:w="327"/>
        <w:gridCol w:w="332"/>
        <w:gridCol w:w="351"/>
        <w:gridCol w:w="327"/>
        <w:gridCol w:w="405"/>
        <w:gridCol w:w="1287"/>
      </w:tblGrid>
      <w:tr w:rsidR="00592C29" w14:paraId="61E56FF6" w14:textId="77777777">
        <w:trPr>
          <w:jc w:val="center"/>
        </w:trPr>
        <w:tc>
          <w:tcPr>
            <w:tcW w:w="817" w:type="dxa"/>
            <w:vMerge w:val="restart"/>
            <w:tcBorders>
              <w:right w:val="single" w:sz="6" w:space="0" w:color="000000"/>
            </w:tcBorders>
            <w:tcMar>
              <w:top w:w="5" w:type="dxa"/>
              <w:left w:w="113" w:type="dxa"/>
              <w:bottom w:w="5" w:type="dxa"/>
              <w:right w:w="108" w:type="dxa"/>
            </w:tcMar>
            <w:vAlign w:val="center"/>
            <w:hideMark/>
          </w:tcPr>
          <w:p w14:paraId="11185EFB" w14:textId="77777777" w:rsidR="00592C29" w:rsidRDefault="0048296D" w:rsidP="004A1875">
            <w:pPr>
              <w:spacing w:line="276" w:lineRule="auto"/>
              <w:jc w:val="center"/>
              <w:rPr>
                <w:color w:val="000000"/>
                <w:sz w:val="22"/>
                <w:szCs w:val="22"/>
              </w:rPr>
            </w:pPr>
            <w:r>
              <w:rPr>
                <w:color w:val="000000"/>
                <w:sz w:val="22"/>
                <w:szCs w:val="22"/>
              </w:rPr>
              <w:t>8.5%</w:t>
            </w:r>
          </w:p>
        </w:tc>
        <w:tc>
          <w:tcPr>
            <w:tcW w:w="4003" w:type="dxa"/>
            <w:gridSpan w:val="1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6F008F15" w14:textId="77777777" w:rsidR="00592C29" w:rsidRDefault="0048296D" w:rsidP="004A1875">
            <w:pPr>
              <w:spacing w:line="276" w:lineRule="auto"/>
              <w:rPr>
                <w:color w:val="000000"/>
                <w:sz w:val="22"/>
                <w:szCs w:val="22"/>
              </w:rPr>
            </w:pPr>
            <w:r>
              <w:rPr>
                <w:noProof/>
                <w:color w:val="000000"/>
                <w:sz w:val="22"/>
                <w:szCs w:val="22"/>
              </w:rPr>
              <w:drawing>
                <wp:inline distT="0" distB="0" distL="0" distR="0" wp14:anchorId="22B03F27" wp14:editId="5E738186">
                  <wp:extent cx="2419350" cy="381000"/>
                  <wp:effectExtent l="0" t="0" r="0" b="0"/>
                  <wp:docPr id="100019" name="Picture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39"/>
                          <a:stretch>
                            <a:fillRect/>
                          </a:stretch>
                        </pic:blipFill>
                        <pic:spPr>
                          <a:xfrm>
                            <a:off x="0" y="0"/>
                            <a:ext cx="2419350" cy="381000"/>
                          </a:xfrm>
                          <a:prstGeom prst="rect">
                            <a:avLst/>
                          </a:prstGeom>
                        </pic:spPr>
                      </pic:pic>
                    </a:graphicData>
                  </a:graphic>
                </wp:inline>
              </w:drawing>
            </w:r>
          </w:p>
        </w:tc>
        <w:tc>
          <w:tcPr>
            <w:tcW w:w="1287" w:type="dxa"/>
            <w:vMerge w:val="restart"/>
            <w:tcBorders>
              <w:left w:val="single" w:sz="6" w:space="0" w:color="000000"/>
            </w:tcBorders>
            <w:tcMar>
              <w:top w:w="5" w:type="dxa"/>
              <w:left w:w="108" w:type="dxa"/>
              <w:bottom w:w="5" w:type="dxa"/>
              <w:right w:w="113" w:type="dxa"/>
            </w:tcMar>
            <w:hideMark/>
          </w:tcPr>
          <w:p w14:paraId="037E18E9" w14:textId="77777777" w:rsidR="00592C29" w:rsidRDefault="0048296D" w:rsidP="004A1875">
            <w:pPr>
              <w:spacing w:line="276" w:lineRule="auto"/>
              <w:rPr>
                <w:color w:val="000000"/>
                <w:sz w:val="22"/>
                <w:szCs w:val="22"/>
              </w:rPr>
            </w:pPr>
            <w:r>
              <w:rPr>
                <w:color w:val="000000"/>
                <w:sz w:val="22"/>
                <w:szCs w:val="22"/>
              </w:rPr>
              <w:t>1/1/2018</w:t>
            </w:r>
          </w:p>
          <w:p w14:paraId="178E54ED" w14:textId="77777777" w:rsidR="00592C29" w:rsidRDefault="00592C29" w:rsidP="004A1875">
            <w:pPr>
              <w:spacing w:line="276" w:lineRule="auto"/>
              <w:rPr>
                <w:color w:val="000000"/>
                <w:sz w:val="22"/>
                <w:szCs w:val="22"/>
              </w:rPr>
            </w:pPr>
          </w:p>
          <w:p w14:paraId="4A5CB701" w14:textId="77777777" w:rsidR="00592C29" w:rsidRDefault="00592C29" w:rsidP="004A1875">
            <w:pPr>
              <w:spacing w:line="276" w:lineRule="auto"/>
              <w:rPr>
                <w:color w:val="000000"/>
                <w:sz w:val="22"/>
                <w:szCs w:val="22"/>
              </w:rPr>
            </w:pPr>
          </w:p>
        </w:tc>
      </w:tr>
      <w:tr w:rsidR="00592C29" w14:paraId="6944B800" w14:textId="77777777">
        <w:trPr>
          <w:jc w:val="center"/>
        </w:trPr>
        <w:tc>
          <w:tcPr>
            <w:tcW w:w="0" w:type="auto"/>
            <w:vMerge/>
            <w:tcBorders>
              <w:right w:val="single" w:sz="6" w:space="0" w:color="000000"/>
            </w:tcBorders>
            <w:vAlign w:val="center"/>
            <w:hideMark/>
          </w:tcPr>
          <w:p w14:paraId="3A051EF6" w14:textId="77777777" w:rsidR="00592C29" w:rsidRDefault="00592C29" w:rsidP="004A1875">
            <w:pPr>
              <w:rPr>
                <w:color w:val="000000"/>
                <w:sz w:val="22"/>
                <w:szCs w:val="22"/>
              </w:rPr>
            </w:pPr>
          </w:p>
        </w:tc>
        <w:tc>
          <w:tcPr>
            <w:tcW w:w="332"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7181A11A" w14:textId="77777777" w:rsidR="00592C29" w:rsidRDefault="0048296D" w:rsidP="004A1875">
            <w:pPr>
              <w:spacing w:line="276" w:lineRule="auto"/>
              <w:rPr>
                <w:color w:val="000000"/>
                <w:sz w:val="16"/>
                <w:szCs w:val="16"/>
              </w:rPr>
            </w:pPr>
            <w:r>
              <w:rPr>
                <w:color w:val="000000"/>
                <w:sz w:val="16"/>
                <w:szCs w:val="16"/>
              </w:rPr>
              <w:t>H</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150E4534" w14:textId="77777777" w:rsidR="00592C29" w:rsidRDefault="0048296D" w:rsidP="004A1875">
            <w:pPr>
              <w:spacing w:line="276" w:lineRule="auto"/>
              <w:rPr>
                <w:color w:val="000000"/>
                <w:sz w:val="16"/>
                <w:szCs w:val="16"/>
              </w:rPr>
            </w:pPr>
            <w:r>
              <w:rPr>
                <w:color w:val="000000"/>
                <w:sz w:val="16"/>
                <w:szCs w:val="16"/>
              </w:rPr>
              <w:t>I</w:t>
            </w:r>
          </w:p>
        </w:tc>
        <w:tc>
          <w:tcPr>
            <w:tcW w:w="3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F819EF3" w14:textId="77777777" w:rsidR="00592C29" w:rsidRDefault="0048296D" w:rsidP="004A1875">
            <w:pPr>
              <w:spacing w:line="276" w:lineRule="auto"/>
              <w:rPr>
                <w:color w:val="000000"/>
                <w:sz w:val="16"/>
                <w:szCs w:val="16"/>
              </w:rPr>
            </w:pPr>
            <w:r>
              <w:rPr>
                <w:color w:val="000000"/>
                <w:sz w:val="16"/>
                <w:szCs w:val="16"/>
              </w:rPr>
              <w:t>S</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0ABBBFED" w14:textId="77777777" w:rsidR="00592C29" w:rsidRDefault="0048296D" w:rsidP="004A1875">
            <w:pPr>
              <w:spacing w:line="276" w:lineRule="auto"/>
              <w:rPr>
                <w:color w:val="000000"/>
                <w:sz w:val="16"/>
                <w:szCs w:val="16"/>
              </w:rPr>
            </w:pPr>
            <w:r>
              <w:rPr>
                <w:color w:val="000000"/>
                <w:sz w:val="16"/>
                <w:szCs w:val="16"/>
              </w:rPr>
              <w:t>1</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FBE8CEF" w14:textId="77777777" w:rsidR="00592C29" w:rsidRDefault="0048296D" w:rsidP="004A1875">
            <w:pPr>
              <w:spacing w:line="276" w:lineRule="auto"/>
              <w:rPr>
                <w:color w:val="000000"/>
                <w:sz w:val="16"/>
                <w:szCs w:val="16"/>
              </w:rPr>
            </w:pPr>
            <w:r>
              <w:rPr>
                <w:color w:val="000000"/>
                <w:sz w:val="16"/>
                <w:szCs w:val="16"/>
              </w:rPr>
              <w:t>1</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2C31A29D" w14:textId="77777777" w:rsidR="00592C29" w:rsidRDefault="0048296D" w:rsidP="004A1875">
            <w:pPr>
              <w:spacing w:line="276" w:lineRule="auto"/>
              <w:rPr>
                <w:color w:val="000000"/>
                <w:sz w:val="16"/>
                <w:szCs w:val="16"/>
              </w:rPr>
            </w:pPr>
            <w:r>
              <w:rPr>
                <w:color w:val="000000"/>
                <w:sz w:val="16"/>
                <w:szCs w:val="16"/>
              </w:rPr>
              <w:t>5</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07382932" w14:textId="77777777" w:rsidR="00592C29" w:rsidRDefault="0048296D" w:rsidP="004A1875">
            <w:pPr>
              <w:spacing w:line="276" w:lineRule="auto"/>
              <w:rPr>
                <w:color w:val="000000"/>
                <w:sz w:val="16"/>
                <w:szCs w:val="16"/>
              </w:rPr>
            </w:pPr>
            <w:r>
              <w:rPr>
                <w:color w:val="000000"/>
                <w:sz w:val="16"/>
                <w:szCs w:val="16"/>
              </w:rPr>
              <w:t>6</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10911392" w14:textId="77777777" w:rsidR="00592C29" w:rsidRDefault="0048296D" w:rsidP="004A1875">
            <w:pPr>
              <w:spacing w:line="276" w:lineRule="auto"/>
              <w:rPr>
                <w:color w:val="000000"/>
                <w:sz w:val="16"/>
                <w:szCs w:val="16"/>
              </w:rPr>
            </w:pPr>
            <w:r>
              <w:rPr>
                <w:color w:val="000000"/>
                <w:sz w:val="16"/>
                <w:szCs w:val="16"/>
              </w:rPr>
              <w:t>7</w:t>
            </w:r>
          </w:p>
        </w:tc>
        <w:tc>
          <w:tcPr>
            <w:tcW w:w="332"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28A8888E" w14:textId="77777777" w:rsidR="00592C29" w:rsidRDefault="0048296D" w:rsidP="004A1875">
            <w:pPr>
              <w:spacing w:line="276" w:lineRule="auto"/>
              <w:rPr>
                <w:color w:val="000000"/>
                <w:sz w:val="16"/>
                <w:szCs w:val="16"/>
              </w:rPr>
            </w:pPr>
            <w:r>
              <w:rPr>
                <w:color w:val="000000"/>
                <w:sz w:val="16"/>
                <w:szCs w:val="16"/>
              </w:rPr>
              <w:t>7</w:t>
            </w:r>
          </w:p>
        </w:tc>
        <w:tc>
          <w:tcPr>
            <w:tcW w:w="332"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648B721F" w14:textId="77777777" w:rsidR="00592C29" w:rsidRDefault="0048296D" w:rsidP="004A1875">
            <w:pPr>
              <w:spacing w:line="276" w:lineRule="auto"/>
              <w:rPr>
                <w:color w:val="000000"/>
                <w:sz w:val="16"/>
                <w:szCs w:val="16"/>
              </w:rPr>
            </w:pPr>
            <w:r>
              <w:rPr>
                <w:color w:val="000000"/>
                <w:sz w:val="16"/>
                <w:szCs w:val="16"/>
              </w:rPr>
              <w:t>A</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4A5F47D" w14:textId="77777777" w:rsidR="00592C29" w:rsidRDefault="0048296D" w:rsidP="004A1875">
            <w:pPr>
              <w:spacing w:line="276" w:lineRule="auto"/>
              <w:rPr>
                <w:color w:val="000000"/>
                <w:sz w:val="16"/>
                <w:szCs w:val="16"/>
              </w:rPr>
            </w:pPr>
            <w:r>
              <w:rPr>
                <w:color w:val="000000"/>
                <w:sz w:val="16"/>
                <w:szCs w:val="16"/>
              </w:rPr>
              <w:t>1</w:t>
            </w:r>
          </w:p>
        </w:tc>
        <w:tc>
          <w:tcPr>
            <w:tcW w:w="40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7DA14875" w14:textId="77777777" w:rsidR="00592C29" w:rsidRDefault="0048296D" w:rsidP="004A1875">
            <w:pPr>
              <w:spacing w:line="276" w:lineRule="auto"/>
              <w:rPr>
                <w:color w:val="000000"/>
                <w:sz w:val="16"/>
                <w:szCs w:val="16"/>
              </w:rPr>
            </w:pPr>
            <w:r>
              <w:rPr>
                <w:color w:val="000000"/>
                <w:sz w:val="16"/>
                <w:szCs w:val="16"/>
              </w:rPr>
              <w:t>2</w:t>
            </w:r>
          </w:p>
        </w:tc>
        <w:tc>
          <w:tcPr>
            <w:tcW w:w="0" w:type="auto"/>
            <w:vMerge/>
            <w:tcBorders>
              <w:left w:val="single" w:sz="6" w:space="0" w:color="000000"/>
            </w:tcBorders>
            <w:vAlign w:val="center"/>
            <w:hideMark/>
          </w:tcPr>
          <w:p w14:paraId="2F65A3AC" w14:textId="77777777" w:rsidR="00592C29" w:rsidRDefault="00592C29" w:rsidP="004A1875">
            <w:pPr>
              <w:rPr>
                <w:color w:val="000000"/>
                <w:sz w:val="16"/>
                <w:szCs w:val="16"/>
              </w:rPr>
            </w:pPr>
          </w:p>
        </w:tc>
      </w:tr>
      <w:tr w:rsidR="00592C29" w14:paraId="4D6AD638" w14:textId="77777777">
        <w:trPr>
          <w:jc w:val="center"/>
        </w:trPr>
        <w:tc>
          <w:tcPr>
            <w:tcW w:w="0" w:type="auto"/>
            <w:vMerge/>
            <w:tcBorders>
              <w:right w:val="single" w:sz="6" w:space="0" w:color="000000"/>
            </w:tcBorders>
            <w:vAlign w:val="center"/>
            <w:hideMark/>
          </w:tcPr>
          <w:p w14:paraId="0C53D2E3" w14:textId="77777777" w:rsidR="00592C29" w:rsidRDefault="00592C29" w:rsidP="004A1875">
            <w:pPr>
              <w:rPr>
                <w:color w:val="000000"/>
                <w:sz w:val="16"/>
                <w:szCs w:val="16"/>
              </w:rPr>
            </w:pPr>
          </w:p>
        </w:tc>
        <w:tc>
          <w:tcPr>
            <w:tcW w:w="4003" w:type="dxa"/>
            <w:gridSpan w:val="1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06CDFDC0" w14:textId="77777777" w:rsidR="00592C29" w:rsidRDefault="0048296D" w:rsidP="004A1875">
            <w:pPr>
              <w:spacing w:line="276" w:lineRule="auto"/>
              <w:rPr>
                <w:color w:val="000000"/>
                <w:sz w:val="22"/>
                <w:szCs w:val="22"/>
              </w:rPr>
            </w:pPr>
            <w:r>
              <w:rPr>
                <w:noProof/>
                <w:color w:val="000000"/>
                <w:sz w:val="22"/>
                <w:szCs w:val="22"/>
              </w:rPr>
              <w:drawing>
                <wp:inline distT="0" distB="0" distL="0" distR="0" wp14:anchorId="103CE107" wp14:editId="0A9179E0">
                  <wp:extent cx="2314575" cy="238125"/>
                  <wp:effectExtent l="0" t="0" r="0" b="0"/>
                  <wp:docPr id="100021" name="Picture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r:embed="rId40"/>
                          <a:stretch>
                            <a:fillRect/>
                          </a:stretch>
                        </pic:blipFill>
                        <pic:spPr>
                          <a:xfrm>
                            <a:off x="0" y="0"/>
                            <a:ext cx="2314575" cy="238125"/>
                          </a:xfrm>
                          <a:prstGeom prst="rect">
                            <a:avLst/>
                          </a:prstGeom>
                        </pic:spPr>
                      </pic:pic>
                    </a:graphicData>
                  </a:graphic>
                </wp:inline>
              </w:drawing>
            </w:r>
          </w:p>
        </w:tc>
        <w:tc>
          <w:tcPr>
            <w:tcW w:w="0" w:type="auto"/>
            <w:vMerge/>
            <w:tcBorders>
              <w:left w:val="single" w:sz="6" w:space="0" w:color="000000"/>
            </w:tcBorders>
            <w:vAlign w:val="center"/>
            <w:hideMark/>
          </w:tcPr>
          <w:p w14:paraId="278C5377" w14:textId="77777777" w:rsidR="00592C29" w:rsidRDefault="00592C29" w:rsidP="004A1875">
            <w:pPr>
              <w:rPr>
                <w:color w:val="000000"/>
                <w:sz w:val="22"/>
                <w:szCs w:val="22"/>
              </w:rPr>
            </w:pPr>
          </w:p>
        </w:tc>
      </w:tr>
    </w:tbl>
    <w:p w14:paraId="16A901F5" w14:textId="77777777" w:rsidR="00592C29" w:rsidRDefault="00592C29" w:rsidP="004A1875">
      <w:pPr>
        <w:spacing w:line="276" w:lineRule="auto"/>
        <w:ind w:left="2160" w:hanging="2160"/>
        <w:rPr>
          <w:sz w:val="22"/>
          <w:szCs w:val="22"/>
        </w:rPr>
      </w:pPr>
    </w:p>
    <w:p w14:paraId="6CBCBEC9" w14:textId="77777777" w:rsidR="00592C29" w:rsidRDefault="00592C29" w:rsidP="004A1875">
      <w:pPr>
        <w:spacing w:line="276" w:lineRule="auto"/>
        <w:ind w:left="2160" w:hanging="2160"/>
        <w:rPr>
          <w:sz w:val="22"/>
          <w:szCs w:val="22"/>
        </w:rPr>
      </w:pPr>
    </w:p>
    <w:tbl>
      <w:tblPr>
        <w:tblW w:w="0" w:type="auto"/>
        <w:jc w:val="center"/>
        <w:tblCellMar>
          <w:left w:w="0" w:type="dxa"/>
          <w:right w:w="0" w:type="dxa"/>
        </w:tblCellMar>
        <w:tblLook w:val="04A0" w:firstRow="1" w:lastRow="0" w:firstColumn="1" w:lastColumn="0" w:noHBand="0" w:noVBand="1"/>
      </w:tblPr>
      <w:tblGrid>
        <w:gridCol w:w="817"/>
        <w:gridCol w:w="332"/>
        <w:gridCol w:w="323"/>
        <w:gridCol w:w="341"/>
        <w:gridCol w:w="323"/>
        <w:gridCol w:w="323"/>
        <w:gridCol w:w="323"/>
        <w:gridCol w:w="323"/>
        <w:gridCol w:w="323"/>
        <w:gridCol w:w="332"/>
        <w:gridCol w:w="332"/>
        <w:gridCol w:w="323"/>
        <w:gridCol w:w="323"/>
        <w:gridCol w:w="1369"/>
      </w:tblGrid>
      <w:tr w:rsidR="00592C29" w14:paraId="1B181015" w14:textId="77777777">
        <w:trPr>
          <w:jc w:val="center"/>
        </w:trPr>
        <w:tc>
          <w:tcPr>
            <w:tcW w:w="817" w:type="dxa"/>
            <w:vMerge w:val="restart"/>
            <w:tcBorders>
              <w:right w:val="single" w:sz="6" w:space="0" w:color="000000"/>
            </w:tcBorders>
            <w:tcMar>
              <w:top w:w="5" w:type="dxa"/>
              <w:left w:w="113" w:type="dxa"/>
              <w:bottom w:w="5" w:type="dxa"/>
              <w:right w:w="108" w:type="dxa"/>
            </w:tcMar>
            <w:vAlign w:val="center"/>
            <w:hideMark/>
          </w:tcPr>
          <w:p w14:paraId="1FF01A5C" w14:textId="77777777" w:rsidR="00592C29" w:rsidRDefault="0048296D" w:rsidP="004A1875">
            <w:pPr>
              <w:spacing w:line="276" w:lineRule="auto"/>
              <w:jc w:val="center"/>
              <w:rPr>
                <w:color w:val="000000"/>
                <w:sz w:val="22"/>
                <w:szCs w:val="22"/>
              </w:rPr>
            </w:pPr>
            <w:r>
              <w:rPr>
                <w:color w:val="000000"/>
                <w:sz w:val="22"/>
                <w:szCs w:val="22"/>
              </w:rPr>
              <w:t>25%</w:t>
            </w:r>
          </w:p>
        </w:tc>
        <w:tc>
          <w:tcPr>
            <w:tcW w:w="3903" w:type="dxa"/>
            <w:gridSpan w:val="1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9300048" w14:textId="77777777" w:rsidR="00592C29" w:rsidRDefault="0048296D" w:rsidP="004A1875">
            <w:pPr>
              <w:spacing w:line="276" w:lineRule="auto"/>
              <w:rPr>
                <w:color w:val="000000"/>
                <w:sz w:val="22"/>
                <w:szCs w:val="22"/>
              </w:rPr>
            </w:pPr>
            <w:r>
              <w:rPr>
                <w:noProof/>
                <w:color w:val="000000"/>
                <w:sz w:val="22"/>
                <w:szCs w:val="22"/>
              </w:rPr>
              <w:drawing>
                <wp:inline distT="0" distB="0" distL="0" distR="0" wp14:anchorId="09FD3FEC" wp14:editId="538A0764">
                  <wp:extent cx="2266950" cy="352425"/>
                  <wp:effectExtent l="0" t="0" r="0" b="0"/>
                  <wp:docPr id="100023" name="Picture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r:embed="rId41"/>
                          <a:stretch>
                            <a:fillRect/>
                          </a:stretch>
                        </pic:blipFill>
                        <pic:spPr>
                          <a:xfrm>
                            <a:off x="0" y="0"/>
                            <a:ext cx="2266950" cy="352425"/>
                          </a:xfrm>
                          <a:prstGeom prst="rect">
                            <a:avLst/>
                          </a:prstGeom>
                        </pic:spPr>
                      </pic:pic>
                    </a:graphicData>
                  </a:graphic>
                </wp:inline>
              </w:drawing>
            </w:r>
          </w:p>
        </w:tc>
        <w:tc>
          <w:tcPr>
            <w:tcW w:w="1369" w:type="dxa"/>
            <w:vMerge w:val="restart"/>
            <w:tcBorders>
              <w:left w:val="single" w:sz="6" w:space="0" w:color="000000"/>
            </w:tcBorders>
            <w:tcMar>
              <w:top w:w="5" w:type="dxa"/>
              <w:left w:w="108" w:type="dxa"/>
              <w:bottom w:w="5" w:type="dxa"/>
              <w:right w:w="113" w:type="dxa"/>
            </w:tcMar>
            <w:hideMark/>
          </w:tcPr>
          <w:p w14:paraId="2187A13A" w14:textId="77777777" w:rsidR="00592C29" w:rsidRDefault="0048296D" w:rsidP="004A1875">
            <w:pPr>
              <w:spacing w:line="276" w:lineRule="auto"/>
              <w:rPr>
                <w:color w:val="000000"/>
              </w:rPr>
            </w:pPr>
            <w:r>
              <w:rPr>
                <w:color w:val="000000"/>
              </w:rPr>
              <w:t>1/1.2018</w:t>
            </w:r>
          </w:p>
          <w:p w14:paraId="6B40E417" w14:textId="77777777" w:rsidR="00592C29" w:rsidRDefault="00592C29" w:rsidP="004A1875">
            <w:pPr>
              <w:spacing w:line="276" w:lineRule="auto"/>
              <w:rPr>
                <w:color w:val="000000"/>
                <w:sz w:val="22"/>
                <w:szCs w:val="22"/>
              </w:rPr>
            </w:pPr>
          </w:p>
          <w:p w14:paraId="337B4523" w14:textId="77777777" w:rsidR="00592C29" w:rsidRDefault="00592C29" w:rsidP="004A1875">
            <w:pPr>
              <w:spacing w:line="276" w:lineRule="auto"/>
              <w:rPr>
                <w:color w:val="000000"/>
                <w:sz w:val="22"/>
                <w:szCs w:val="22"/>
              </w:rPr>
            </w:pPr>
          </w:p>
        </w:tc>
      </w:tr>
      <w:tr w:rsidR="00592C29" w14:paraId="79ED4072" w14:textId="77777777">
        <w:trPr>
          <w:jc w:val="center"/>
        </w:trPr>
        <w:tc>
          <w:tcPr>
            <w:tcW w:w="0" w:type="auto"/>
            <w:vMerge/>
            <w:tcBorders>
              <w:right w:val="single" w:sz="6" w:space="0" w:color="000000"/>
            </w:tcBorders>
            <w:vAlign w:val="center"/>
            <w:hideMark/>
          </w:tcPr>
          <w:p w14:paraId="052DAA3C" w14:textId="77777777" w:rsidR="00592C29" w:rsidRDefault="00592C29" w:rsidP="004A1875">
            <w:pPr>
              <w:rPr>
                <w:color w:val="000000"/>
                <w:sz w:val="22"/>
                <w:szCs w:val="22"/>
              </w:rPr>
            </w:pP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43E8608A" w14:textId="77777777" w:rsidR="00592C29" w:rsidRDefault="0048296D" w:rsidP="004A1875">
            <w:pPr>
              <w:spacing w:line="276" w:lineRule="auto"/>
              <w:rPr>
                <w:color w:val="000000"/>
                <w:sz w:val="16"/>
                <w:szCs w:val="16"/>
              </w:rPr>
            </w:pPr>
            <w:r>
              <w:rPr>
                <w:color w:val="000000"/>
                <w:sz w:val="16"/>
                <w:szCs w:val="16"/>
              </w:rPr>
              <w:t>A</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44CC766F" w14:textId="77777777" w:rsidR="00592C29" w:rsidRDefault="0048296D" w:rsidP="004A1875">
            <w:pPr>
              <w:spacing w:line="276" w:lineRule="auto"/>
              <w:rPr>
                <w:color w:val="000000"/>
                <w:sz w:val="16"/>
                <w:szCs w:val="16"/>
              </w:rPr>
            </w:pPr>
            <w:r>
              <w:rPr>
                <w:color w:val="000000"/>
                <w:sz w:val="16"/>
                <w:szCs w:val="16"/>
              </w:rPr>
              <w:t>F</w:t>
            </w:r>
          </w:p>
        </w:tc>
        <w:tc>
          <w:tcPr>
            <w:tcW w:w="3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72E8542B" w14:textId="77777777" w:rsidR="00592C29" w:rsidRDefault="0048296D" w:rsidP="004A1875">
            <w:pPr>
              <w:spacing w:line="276" w:lineRule="auto"/>
              <w:rPr>
                <w:color w:val="000000"/>
                <w:sz w:val="16"/>
                <w:szCs w:val="16"/>
              </w:rPr>
            </w:pPr>
            <w:r>
              <w:rPr>
                <w:color w:val="000000"/>
                <w:sz w:val="16"/>
                <w:szCs w:val="16"/>
              </w:rPr>
              <w:t>G</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5F1D946" w14:textId="77777777" w:rsidR="00592C29" w:rsidRDefault="0048296D" w:rsidP="004A1875">
            <w:pPr>
              <w:spacing w:line="276" w:lineRule="auto"/>
              <w:rPr>
                <w:color w:val="000000"/>
                <w:sz w:val="16"/>
                <w:szCs w:val="16"/>
              </w:rPr>
            </w:pPr>
            <w:r>
              <w:rPr>
                <w:color w:val="000000"/>
                <w:sz w:val="16"/>
                <w:szCs w:val="16"/>
              </w:rPr>
              <w:t>1</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3A2942BF" w14:textId="77777777" w:rsidR="00592C29" w:rsidRDefault="0048296D" w:rsidP="004A1875">
            <w:pPr>
              <w:spacing w:line="276" w:lineRule="auto"/>
              <w:rPr>
                <w:color w:val="000000"/>
                <w:sz w:val="16"/>
                <w:szCs w:val="16"/>
              </w:rPr>
            </w:pPr>
            <w:r>
              <w:rPr>
                <w:color w:val="000000"/>
                <w:sz w:val="16"/>
                <w:szCs w:val="16"/>
              </w:rPr>
              <w:t>4</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BF27DF0" w14:textId="77777777" w:rsidR="00592C29" w:rsidRDefault="0048296D" w:rsidP="004A1875">
            <w:pPr>
              <w:spacing w:line="276" w:lineRule="auto"/>
              <w:rPr>
                <w:color w:val="000000"/>
                <w:sz w:val="16"/>
                <w:szCs w:val="16"/>
              </w:rPr>
            </w:pPr>
            <w:r>
              <w:rPr>
                <w:color w:val="000000"/>
                <w:sz w:val="16"/>
                <w:szCs w:val="16"/>
              </w:rPr>
              <w:t>5</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00D65741" w14:textId="77777777" w:rsidR="00592C29" w:rsidRDefault="0048296D" w:rsidP="004A1875">
            <w:pPr>
              <w:spacing w:line="276" w:lineRule="auto"/>
              <w:rPr>
                <w:color w:val="000000"/>
                <w:sz w:val="16"/>
                <w:szCs w:val="16"/>
              </w:rPr>
            </w:pPr>
            <w:r>
              <w:rPr>
                <w:color w:val="000000"/>
                <w:sz w:val="16"/>
                <w:szCs w:val="16"/>
              </w:rPr>
              <w:t>6</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39DDFDC7" w14:textId="77777777" w:rsidR="00592C29" w:rsidRDefault="0048296D" w:rsidP="004A1875">
            <w:pPr>
              <w:spacing w:line="276" w:lineRule="auto"/>
              <w:rPr>
                <w:color w:val="000000"/>
                <w:sz w:val="16"/>
                <w:szCs w:val="16"/>
              </w:rPr>
            </w:pPr>
            <w:r>
              <w:rPr>
                <w:color w:val="000000"/>
                <w:sz w:val="16"/>
                <w:szCs w:val="16"/>
              </w:rPr>
              <w:t>7</w:t>
            </w:r>
          </w:p>
        </w:tc>
        <w:tc>
          <w:tcPr>
            <w:tcW w:w="332"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145D98BC" w14:textId="77777777" w:rsidR="00592C29" w:rsidRDefault="0048296D" w:rsidP="004A1875">
            <w:pPr>
              <w:spacing w:line="276" w:lineRule="auto"/>
              <w:rPr>
                <w:color w:val="000000"/>
                <w:sz w:val="16"/>
                <w:szCs w:val="16"/>
              </w:rPr>
            </w:pPr>
            <w:r>
              <w:rPr>
                <w:color w:val="000000"/>
                <w:sz w:val="16"/>
                <w:szCs w:val="16"/>
              </w:rPr>
              <w:t>7</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65B91047" w14:textId="77777777" w:rsidR="00592C29" w:rsidRDefault="0048296D" w:rsidP="004A1875">
            <w:pPr>
              <w:spacing w:line="276" w:lineRule="auto"/>
              <w:rPr>
                <w:color w:val="000000"/>
                <w:sz w:val="16"/>
                <w:szCs w:val="16"/>
              </w:rPr>
            </w:pPr>
            <w:r>
              <w:rPr>
                <w:color w:val="000000"/>
                <w:sz w:val="16"/>
                <w:szCs w:val="16"/>
              </w:rPr>
              <w:t>A</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07B2658A" w14:textId="77777777" w:rsidR="00592C29" w:rsidRDefault="0048296D" w:rsidP="004A1875">
            <w:pPr>
              <w:spacing w:line="276" w:lineRule="auto"/>
              <w:rPr>
                <w:color w:val="000000"/>
                <w:sz w:val="16"/>
                <w:szCs w:val="16"/>
              </w:rPr>
            </w:pPr>
            <w:r>
              <w:rPr>
                <w:color w:val="000000"/>
                <w:sz w:val="16"/>
                <w:szCs w:val="16"/>
              </w:rPr>
              <w:t>1</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61EE0844" w14:textId="77777777" w:rsidR="00592C29" w:rsidRDefault="0048296D" w:rsidP="004A1875">
            <w:pPr>
              <w:spacing w:line="276" w:lineRule="auto"/>
              <w:rPr>
                <w:color w:val="000000"/>
                <w:sz w:val="16"/>
                <w:szCs w:val="16"/>
              </w:rPr>
            </w:pPr>
            <w:r>
              <w:rPr>
                <w:color w:val="000000"/>
                <w:sz w:val="16"/>
                <w:szCs w:val="16"/>
              </w:rPr>
              <w:t>2</w:t>
            </w:r>
          </w:p>
        </w:tc>
        <w:tc>
          <w:tcPr>
            <w:tcW w:w="0" w:type="auto"/>
            <w:vMerge/>
            <w:tcBorders>
              <w:left w:val="single" w:sz="6" w:space="0" w:color="000000"/>
            </w:tcBorders>
            <w:vAlign w:val="center"/>
            <w:hideMark/>
          </w:tcPr>
          <w:p w14:paraId="03C00E32" w14:textId="77777777" w:rsidR="00592C29" w:rsidRDefault="00592C29" w:rsidP="004A1875">
            <w:pPr>
              <w:rPr>
                <w:color w:val="000000"/>
                <w:sz w:val="16"/>
                <w:szCs w:val="16"/>
              </w:rPr>
            </w:pPr>
          </w:p>
        </w:tc>
      </w:tr>
      <w:tr w:rsidR="00592C29" w14:paraId="299AD7F3" w14:textId="77777777">
        <w:trPr>
          <w:jc w:val="center"/>
        </w:trPr>
        <w:tc>
          <w:tcPr>
            <w:tcW w:w="0" w:type="auto"/>
            <w:vMerge/>
            <w:tcBorders>
              <w:right w:val="single" w:sz="6" w:space="0" w:color="000000"/>
            </w:tcBorders>
            <w:vAlign w:val="center"/>
            <w:hideMark/>
          </w:tcPr>
          <w:p w14:paraId="1DCE3CAB" w14:textId="77777777" w:rsidR="00592C29" w:rsidRDefault="00592C29" w:rsidP="004A1875">
            <w:pPr>
              <w:rPr>
                <w:color w:val="000000"/>
                <w:sz w:val="16"/>
                <w:szCs w:val="16"/>
              </w:rPr>
            </w:pPr>
          </w:p>
        </w:tc>
        <w:tc>
          <w:tcPr>
            <w:tcW w:w="3903" w:type="dxa"/>
            <w:gridSpan w:val="1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0BFA2B4A" w14:textId="77777777" w:rsidR="00592C29" w:rsidRDefault="0048296D" w:rsidP="004A1875">
            <w:pPr>
              <w:spacing w:line="276" w:lineRule="auto"/>
              <w:rPr>
                <w:color w:val="000000"/>
                <w:sz w:val="22"/>
                <w:szCs w:val="22"/>
              </w:rPr>
            </w:pPr>
            <w:r>
              <w:rPr>
                <w:noProof/>
                <w:color w:val="000000"/>
                <w:sz w:val="22"/>
                <w:szCs w:val="22"/>
              </w:rPr>
              <w:drawing>
                <wp:inline distT="0" distB="0" distL="0" distR="0" wp14:anchorId="714A6C2E" wp14:editId="4F250D48">
                  <wp:extent cx="2314575" cy="238125"/>
                  <wp:effectExtent l="0" t="0" r="0" b="0"/>
                  <wp:docPr id="100025" name="Picture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r:embed="rId40"/>
                          <a:stretch>
                            <a:fillRect/>
                          </a:stretch>
                        </pic:blipFill>
                        <pic:spPr>
                          <a:xfrm>
                            <a:off x="0" y="0"/>
                            <a:ext cx="2314575" cy="238125"/>
                          </a:xfrm>
                          <a:prstGeom prst="rect">
                            <a:avLst/>
                          </a:prstGeom>
                        </pic:spPr>
                      </pic:pic>
                    </a:graphicData>
                  </a:graphic>
                </wp:inline>
              </w:drawing>
            </w:r>
          </w:p>
        </w:tc>
        <w:tc>
          <w:tcPr>
            <w:tcW w:w="0" w:type="auto"/>
            <w:vMerge/>
            <w:tcBorders>
              <w:left w:val="single" w:sz="6" w:space="0" w:color="000000"/>
            </w:tcBorders>
            <w:vAlign w:val="center"/>
            <w:hideMark/>
          </w:tcPr>
          <w:p w14:paraId="175B6E15" w14:textId="77777777" w:rsidR="00592C29" w:rsidRDefault="00592C29" w:rsidP="004A1875">
            <w:pPr>
              <w:rPr>
                <w:color w:val="000000"/>
                <w:sz w:val="22"/>
                <w:szCs w:val="22"/>
              </w:rPr>
            </w:pPr>
          </w:p>
        </w:tc>
      </w:tr>
    </w:tbl>
    <w:p w14:paraId="345B4139" w14:textId="77777777" w:rsidR="00592C29" w:rsidRDefault="00592C29" w:rsidP="004A1875">
      <w:pPr>
        <w:spacing w:line="276" w:lineRule="auto"/>
        <w:rPr>
          <w:sz w:val="22"/>
          <w:szCs w:val="22"/>
        </w:rPr>
      </w:pPr>
    </w:p>
    <w:p w14:paraId="2BE1E72C" w14:textId="77777777" w:rsidR="00592C29" w:rsidRDefault="0048296D">
      <w:pPr>
        <w:spacing w:after="200" w:line="276" w:lineRule="auto"/>
        <w:rPr>
          <w:sz w:val="22"/>
          <w:szCs w:val="22"/>
        </w:rPr>
      </w:pPr>
      <w:r>
        <w:rPr>
          <w:sz w:val="22"/>
          <w:szCs w:val="22"/>
        </w:rPr>
        <w:br w:type="page"/>
      </w:r>
    </w:p>
    <w:tbl>
      <w:tblPr>
        <w:tblW w:w="9747" w:type="dxa"/>
        <w:tblInd w:w="113" w:type="dxa"/>
        <w:tblCellMar>
          <w:left w:w="0" w:type="dxa"/>
          <w:right w:w="0" w:type="dxa"/>
        </w:tblCellMar>
        <w:tblLook w:val="04A0" w:firstRow="1" w:lastRow="0" w:firstColumn="1" w:lastColumn="0" w:noHBand="0" w:noVBand="1"/>
      </w:tblPr>
      <w:tblGrid>
        <w:gridCol w:w="2376"/>
        <w:gridCol w:w="7371"/>
      </w:tblGrid>
      <w:tr w:rsidR="00592C29" w14:paraId="10425BF7" w14:textId="77777777">
        <w:tc>
          <w:tcPr>
            <w:tcW w:w="9747" w:type="dxa"/>
            <w:gridSpan w:val="2"/>
            <w:tcMar>
              <w:top w:w="5" w:type="dxa"/>
              <w:left w:w="113" w:type="dxa"/>
              <w:bottom w:w="5" w:type="dxa"/>
              <w:right w:w="113" w:type="dxa"/>
            </w:tcMar>
            <w:hideMark/>
          </w:tcPr>
          <w:p w14:paraId="146E570F" w14:textId="17708CC0" w:rsidR="00592C29" w:rsidRDefault="0048296D">
            <w:pPr>
              <w:spacing w:after="200" w:line="276" w:lineRule="auto"/>
              <w:rPr>
                <w:color w:val="000000"/>
                <w:sz w:val="40"/>
                <w:szCs w:val="40"/>
              </w:rPr>
            </w:pPr>
            <w:r>
              <w:rPr>
                <w:rFonts w:ascii="Trebuchet MS" w:eastAsia="Trebuchet MS" w:hAnsi="Trebuchet MS" w:cs="Trebuchet MS"/>
                <w:b/>
                <w:bCs/>
                <w:color w:val="000000"/>
                <w:sz w:val="40"/>
                <w:szCs w:val="40"/>
              </w:rPr>
              <w:lastRenderedPageBreak/>
              <w:t xml:space="preserve">Subscription Agreement </w:t>
            </w:r>
          </w:p>
          <w:p w14:paraId="680E8648" w14:textId="77777777" w:rsidR="00592C29" w:rsidRDefault="00592C29">
            <w:pPr>
              <w:spacing w:after="200" w:line="276" w:lineRule="auto"/>
              <w:rPr>
                <w:color w:val="000000"/>
                <w:sz w:val="22"/>
                <w:szCs w:val="22"/>
              </w:rPr>
            </w:pPr>
          </w:p>
        </w:tc>
      </w:tr>
      <w:tr w:rsidR="00592C29" w14:paraId="3AC46B88" w14:textId="77777777">
        <w:tc>
          <w:tcPr>
            <w:tcW w:w="2376" w:type="dxa"/>
            <w:tcMar>
              <w:top w:w="5" w:type="dxa"/>
              <w:left w:w="113" w:type="dxa"/>
              <w:bottom w:w="5" w:type="dxa"/>
              <w:right w:w="113" w:type="dxa"/>
            </w:tcMar>
            <w:hideMark/>
          </w:tcPr>
          <w:p w14:paraId="5CCEC41B" w14:textId="65188287" w:rsidR="00592C29" w:rsidRDefault="0048296D" w:rsidP="006B1F10">
            <w:pPr>
              <w:spacing w:line="276" w:lineRule="auto"/>
              <w:rPr>
                <w:color w:val="000000"/>
                <w:sz w:val="22"/>
                <w:szCs w:val="22"/>
              </w:rPr>
            </w:pPr>
            <w:r>
              <w:rPr>
                <w:rFonts w:ascii="Trebuchet MS" w:eastAsia="Trebuchet MS" w:hAnsi="Trebuchet MS" w:cs="Trebuchet MS"/>
                <w:b/>
                <w:bCs/>
                <w:color w:val="000000"/>
                <w:sz w:val="22"/>
                <w:szCs w:val="22"/>
              </w:rPr>
              <w:t>SLIP LEADER:</w:t>
            </w:r>
          </w:p>
        </w:tc>
        <w:tc>
          <w:tcPr>
            <w:tcW w:w="7371" w:type="dxa"/>
            <w:tcMar>
              <w:top w:w="5" w:type="dxa"/>
              <w:left w:w="113" w:type="dxa"/>
              <w:bottom w:w="5" w:type="dxa"/>
              <w:right w:w="113" w:type="dxa"/>
            </w:tcMar>
            <w:hideMark/>
          </w:tcPr>
          <w:p w14:paraId="0346348D" w14:textId="77777777" w:rsidR="00592C29" w:rsidRDefault="0048296D" w:rsidP="006B1F10">
            <w:pPr>
              <w:spacing w:after="120" w:line="276" w:lineRule="auto"/>
              <w:rPr>
                <w:color w:val="000000"/>
                <w:sz w:val="22"/>
                <w:szCs w:val="22"/>
              </w:rPr>
            </w:pPr>
            <w:proofErr w:type="spellStart"/>
            <w:r>
              <w:rPr>
                <w:rFonts w:ascii="Trebuchet MS" w:eastAsia="Trebuchet MS" w:hAnsi="Trebuchet MS" w:cs="Trebuchet MS"/>
                <w:color w:val="000000"/>
                <w:sz w:val="22"/>
                <w:szCs w:val="22"/>
              </w:rPr>
              <w:t>Hiscox</w:t>
            </w:r>
            <w:proofErr w:type="spellEnd"/>
            <w:r>
              <w:rPr>
                <w:rFonts w:ascii="Trebuchet MS" w:eastAsia="Trebuchet MS" w:hAnsi="Trebuchet MS" w:cs="Trebuchet MS"/>
                <w:color w:val="000000"/>
                <w:sz w:val="22"/>
                <w:szCs w:val="22"/>
              </w:rPr>
              <w:t xml:space="preserve"> Syndicate (0033) in respect of </w:t>
            </w:r>
            <w:proofErr w:type="spellStart"/>
            <w:r>
              <w:rPr>
                <w:rFonts w:ascii="Trebuchet MS" w:eastAsia="Trebuchet MS" w:hAnsi="Trebuchet MS" w:cs="Trebuchet MS"/>
                <w:color w:val="000000"/>
                <w:sz w:val="22"/>
                <w:szCs w:val="22"/>
              </w:rPr>
              <w:t>non EEA</w:t>
            </w:r>
            <w:proofErr w:type="spellEnd"/>
            <w:r>
              <w:rPr>
                <w:rFonts w:ascii="Trebuchet MS" w:eastAsia="Trebuchet MS" w:hAnsi="Trebuchet MS" w:cs="Trebuchet MS"/>
                <w:color w:val="000000"/>
                <w:sz w:val="22"/>
                <w:szCs w:val="22"/>
              </w:rPr>
              <w:t xml:space="preserve"> / UK / </w:t>
            </w:r>
            <w:r>
              <w:rPr>
                <w:rFonts w:ascii="Trebuchet MS" w:eastAsia="Trebuchet MS" w:hAnsi="Trebuchet MS" w:cs="Trebuchet MS"/>
                <w:i/>
                <w:iCs/>
                <w:color w:val="000000"/>
                <w:sz w:val="22"/>
                <w:szCs w:val="22"/>
              </w:rPr>
              <w:t xml:space="preserve">(once </w:t>
            </w:r>
            <w:proofErr w:type="spellStart"/>
            <w:r>
              <w:rPr>
                <w:rFonts w:ascii="Trebuchet MS" w:eastAsia="Trebuchet MS" w:hAnsi="Trebuchet MS" w:cs="Trebuchet MS"/>
                <w:i/>
                <w:iCs/>
                <w:color w:val="000000"/>
                <w:sz w:val="22"/>
                <w:szCs w:val="22"/>
              </w:rPr>
              <w:t>authorised</w:t>
            </w:r>
            <w:proofErr w:type="spellEnd"/>
            <w:r>
              <w:rPr>
                <w:rFonts w:ascii="Trebuchet MS" w:eastAsia="Trebuchet MS" w:hAnsi="Trebuchet MS" w:cs="Trebuchet MS"/>
                <w:i/>
                <w:iCs/>
                <w:color w:val="000000"/>
                <w:sz w:val="22"/>
                <w:szCs w:val="22"/>
              </w:rPr>
              <w:t>)</w:t>
            </w:r>
            <w:r>
              <w:rPr>
                <w:rFonts w:ascii="Trebuchet MS" w:eastAsia="Trebuchet MS" w:hAnsi="Trebuchet MS" w:cs="Trebuchet MS"/>
                <w:color w:val="000000"/>
                <w:sz w:val="22"/>
                <w:szCs w:val="22"/>
              </w:rPr>
              <w:t xml:space="preserve"> Monaco </w:t>
            </w:r>
          </w:p>
          <w:p w14:paraId="375AB88D" w14:textId="77777777" w:rsidR="00592C29" w:rsidRDefault="0048296D" w:rsidP="006B1F10">
            <w:pPr>
              <w:spacing w:after="120" w:line="276" w:lineRule="auto"/>
              <w:rPr>
                <w:color w:val="000000"/>
                <w:sz w:val="22"/>
                <w:szCs w:val="22"/>
              </w:rPr>
            </w:pPr>
            <w:r>
              <w:rPr>
                <w:rFonts w:ascii="Trebuchet MS" w:eastAsia="Trebuchet MS" w:hAnsi="Trebuchet MS" w:cs="Trebuchet MS"/>
                <w:color w:val="000000"/>
                <w:sz w:val="22"/>
                <w:szCs w:val="22"/>
              </w:rPr>
              <w:t>and</w:t>
            </w:r>
            <w:r>
              <w:rPr>
                <w:rFonts w:ascii="Trebuchet MS" w:eastAsia="Trebuchet MS" w:hAnsi="Trebuchet MS" w:cs="Trebuchet MS"/>
                <w:color w:val="000000"/>
                <w:sz w:val="22"/>
                <w:szCs w:val="22"/>
              </w:rPr>
              <w:tab/>
            </w:r>
          </w:p>
          <w:p w14:paraId="2E66BCF6" w14:textId="77777777" w:rsidR="00592C29" w:rsidRDefault="0048296D" w:rsidP="006B1F10">
            <w:pPr>
              <w:spacing w:after="120" w:line="276" w:lineRule="auto"/>
              <w:rPr>
                <w:color w:val="000000"/>
                <w:sz w:val="22"/>
                <w:szCs w:val="22"/>
              </w:rPr>
            </w:pPr>
            <w:r>
              <w:rPr>
                <w:rFonts w:ascii="Trebuchet MS" w:eastAsia="Trebuchet MS" w:hAnsi="Trebuchet MS" w:cs="Trebuchet MS"/>
                <w:color w:val="000000"/>
                <w:sz w:val="22"/>
                <w:szCs w:val="22"/>
              </w:rPr>
              <w:t xml:space="preserve">Lloyd’s Insurance Company S.A. (5299 HIS) for EEA / UK / Monaco </w:t>
            </w:r>
            <w:r>
              <w:rPr>
                <w:rFonts w:ascii="Trebuchet MS" w:eastAsia="Trebuchet MS" w:hAnsi="Trebuchet MS" w:cs="Trebuchet MS"/>
                <w:i/>
                <w:iCs/>
                <w:color w:val="000000"/>
                <w:sz w:val="22"/>
                <w:szCs w:val="22"/>
              </w:rPr>
              <w:t xml:space="preserve">(should be included under Lloyd’s Brussels once </w:t>
            </w:r>
            <w:proofErr w:type="spellStart"/>
            <w:r>
              <w:rPr>
                <w:rFonts w:ascii="Trebuchet MS" w:eastAsia="Trebuchet MS" w:hAnsi="Trebuchet MS" w:cs="Trebuchet MS"/>
                <w:i/>
                <w:iCs/>
                <w:color w:val="000000"/>
                <w:sz w:val="22"/>
                <w:szCs w:val="22"/>
              </w:rPr>
              <w:t>licence</w:t>
            </w:r>
            <w:proofErr w:type="spellEnd"/>
            <w:r>
              <w:rPr>
                <w:rFonts w:ascii="Trebuchet MS" w:eastAsia="Trebuchet MS" w:hAnsi="Trebuchet MS" w:cs="Trebuchet MS"/>
                <w:i/>
                <w:iCs/>
                <w:color w:val="000000"/>
                <w:sz w:val="22"/>
                <w:szCs w:val="22"/>
              </w:rPr>
              <w:t xml:space="preserve"> </w:t>
            </w:r>
            <w:proofErr w:type="spellStart"/>
            <w:r>
              <w:rPr>
                <w:rFonts w:ascii="Trebuchet MS" w:eastAsia="Trebuchet MS" w:hAnsi="Trebuchet MS" w:cs="Trebuchet MS"/>
                <w:i/>
                <w:iCs/>
                <w:color w:val="000000"/>
                <w:sz w:val="22"/>
                <w:szCs w:val="22"/>
              </w:rPr>
              <w:t>authorised</w:t>
            </w:r>
            <w:proofErr w:type="spellEnd"/>
          </w:p>
          <w:p w14:paraId="366BFBA4" w14:textId="77777777" w:rsidR="00592C29" w:rsidRDefault="00592C29" w:rsidP="006B1F10">
            <w:pPr>
              <w:spacing w:after="120" w:line="276" w:lineRule="auto"/>
              <w:rPr>
                <w:color w:val="000000"/>
                <w:sz w:val="22"/>
                <w:szCs w:val="22"/>
              </w:rPr>
            </w:pPr>
          </w:p>
          <w:p w14:paraId="67A186FC" w14:textId="77777777" w:rsidR="00592C29" w:rsidRDefault="00592C29" w:rsidP="006B1F10">
            <w:pPr>
              <w:spacing w:after="120" w:line="276" w:lineRule="auto"/>
              <w:rPr>
                <w:color w:val="000000"/>
                <w:sz w:val="22"/>
                <w:szCs w:val="22"/>
              </w:rPr>
            </w:pPr>
          </w:p>
        </w:tc>
      </w:tr>
      <w:tr w:rsidR="00592C29" w14:paraId="569093F7" w14:textId="77777777">
        <w:tc>
          <w:tcPr>
            <w:tcW w:w="2376" w:type="dxa"/>
            <w:tcMar>
              <w:top w:w="5" w:type="dxa"/>
              <w:left w:w="113" w:type="dxa"/>
              <w:bottom w:w="5" w:type="dxa"/>
              <w:right w:w="113" w:type="dxa"/>
            </w:tcMar>
            <w:hideMark/>
          </w:tcPr>
          <w:p w14:paraId="1C5E0F29" w14:textId="77777777" w:rsidR="00592C29" w:rsidRDefault="0048296D" w:rsidP="006B1F10">
            <w:pPr>
              <w:spacing w:line="276" w:lineRule="auto"/>
              <w:rPr>
                <w:color w:val="000000"/>
                <w:sz w:val="22"/>
                <w:szCs w:val="22"/>
              </w:rPr>
            </w:pPr>
            <w:r>
              <w:rPr>
                <w:rFonts w:ascii="Trebuchet MS" w:eastAsia="Trebuchet MS" w:hAnsi="Trebuchet MS" w:cs="Trebuchet MS"/>
                <w:b/>
                <w:bCs/>
                <w:color w:val="000000"/>
                <w:sz w:val="22"/>
                <w:szCs w:val="22"/>
              </w:rPr>
              <w:t>BUREAU LEADER:</w:t>
            </w:r>
          </w:p>
        </w:tc>
        <w:tc>
          <w:tcPr>
            <w:tcW w:w="7371" w:type="dxa"/>
            <w:tcMar>
              <w:top w:w="5" w:type="dxa"/>
              <w:left w:w="113" w:type="dxa"/>
              <w:bottom w:w="5" w:type="dxa"/>
              <w:right w:w="113" w:type="dxa"/>
            </w:tcMar>
            <w:hideMark/>
          </w:tcPr>
          <w:p w14:paraId="5F7847B2" w14:textId="77777777" w:rsidR="00592C29" w:rsidRDefault="0048296D" w:rsidP="006B1F10">
            <w:pPr>
              <w:spacing w:after="120" w:line="276" w:lineRule="auto"/>
              <w:rPr>
                <w:color w:val="000000"/>
                <w:sz w:val="22"/>
                <w:szCs w:val="22"/>
              </w:rPr>
            </w:pPr>
            <w:r>
              <w:rPr>
                <w:rFonts w:ascii="Trebuchet MS" w:eastAsia="Trebuchet MS" w:hAnsi="Trebuchet MS" w:cs="Trebuchet MS"/>
                <w:color w:val="000000"/>
                <w:sz w:val="22"/>
                <w:szCs w:val="22"/>
              </w:rPr>
              <w:t xml:space="preserve">Lloyd’s Bureau Leader is ABC Syndicate for </w:t>
            </w:r>
            <w:proofErr w:type="spellStart"/>
            <w:r>
              <w:rPr>
                <w:rFonts w:ascii="Trebuchet MS" w:eastAsia="Trebuchet MS" w:hAnsi="Trebuchet MS" w:cs="Trebuchet MS"/>
                <w:color w:val="000000"/>
                <w:sz w:val="22"/>
                <w:szCs w:val="22"/>
              </w:rPr>
              <w:t>non EEA</w:t>
            </w:r>
            <w:proofErr w:type="spellEnd"/>
            <w:r>
              <w:rPr>
                <w:rFonts w:ascii="Trebuchet MS" w:eastAsia="Trebuchet MS" w:hAnsi="Trebuchet MS" w:cs="Trebuchet MS"/>
                <w:color w:val="000000"/>
                <w:sz w:val="22"/>
                <w:szCs w:val="22"/>
              </w:rPr>
              <w:t xml:space="preserve"> / UK / </w:t>
            </w:r>
            <w:r>
              <w:rPr>
                <w:rFonts w:ascii="Trebuchet MS" w:eastAsia="Trebuchet MS" w:hAnsi="Trebuchet MS" w:cs="Trebuchet MS"/>
                <w:i/>
                <w:iCs/>
                <w:color w:val="000000"/>
                <w:sz w:val="22"/>
                <w:szCs w:val="22"/>
              </w:rPr>
              <w:t xml:space="preserve">(once </w:t>
            </w:r>
            <w:proofErr w:type="spellStart"/>
            <w:r>
              <w:rPr>
                <w:rFonts w:ascii="Trebuchet MS" w:eastAsia="Trebuchet MS" w:hAnsi="Trebuchet MS" w:cs="Trebuchet MS"/>
                <w:i/>
                <w:iCs/>
                <w:color w:val="000000"/>
                <w:sz w:val="22"/>
                <w:szCs w:val="22"/>
              </w:rPr>
              <w:t>authorised</w:t>
            </w:r>
            <w:proofErr w:type="spellEnd"/>
            <w:r>
              <w:rPr>
                <w:rFonts w:ascii="Trebuchet MS" w:eastAsia="Trebuchet MS" w:hAnsi="Trebuchet MS" w:cs="Trebuchet MS"/>
                <w:i/>
                <w:iCs/>
                <w:color w:val="000000"/>
                <w:sz w:val="22"/>
                <w:szCs w:val="22"/>
              </w:rPr>
              <w:t>)</w:t>
            </w:r>
            <w:r>
              <w:rPr>
                <w:rFonts w:ascii="Trebuchet MS" w:eastAsia="Trebuchet MS" w:hAnsi="Trebuchet MS" w:cs="Trebuchet MS"/>
                <w:color w:val="000000"/>
                <w:sz w:val="22"/>
                <w:szCs w:val="22"/>
              </w:rPr>
              <w:t xml:space="preserve"> Monaco</w:t>
            </w:r>
          </w:p>
          <w:p w14:paraId="24637386" w14:textId="77777777" w:rsidR="00592C29" w:rsidRDefault="0048296D" w:rsidP="006B1F10">
            <w:pPr>
              <w:spacing w:after="120" w:line="276" w:lineRule="auto"/>
              <w:rPr>
                <w:color w:val="000000"/>
                <w:sz w:val="22"/>
                <w:szCs w:val="22"/>
              </w:rPr>
            </w:pPr>
            <w:r>
              <w:rPr>
                <w:rFonts w:ascii="Trebuchet MS" w:eastAsia="Trebuchet MS" w:hAnsi="Trebuchet MS" w:cs="Trebuchet MS"/>
                <w:color w:val="000000"/>
                <w:sz w:val="22"/>
                <w:szCs w:val="22"/>
              </w:rPr>
              <w:t>and</w:t>
            </w:r>
          </w:p>
          <w:p w14:paraId="165398D3" w14:textId="77777777" w:rsidR="00592C29" w:rsidRDefault="0048296D" w:rsidP="009950D2">
            <w:pPr>
              <w:spacing w:after="240" w:line="276" w:lineRule="auto"/>
              <w:rPr>
                <w:color w:val="000000"/>
                <w:sz w:val="22"/>
                <w:szCs w:val="22"/>
              </w:rPr>
            </w:pPr>
            <w:r>
              <w:rPr>
                <w:rFonts w:ascii="Trebuchet MS" w:eastAsia="Trebuchet MS" w:hAnsi="Trebuchet MS" w:cs="Trebuchet MS"/>
                <w:color w:val="000000"/>
                <w:sz w:val="22"/>
                <w:szCs w:val="22"/>
              </w:rPr>
              <w:t xml:space="preserve">Lloyd’s Insurance Company S.A. (SSS NNN) for EEA / UK / Monaco </w:t>
            </w:r>
            <w:r>
              <w:rPr>
                <w:rFonts w:ascii="Trebuchet MS" w:eastAsia="Trebuchet MS" w:hAnsi="Trebuchet MS" w:cs="Trebuchet MS"/>
                <w:i/>
                <w:iCs/>
                <w:color w:val="000000"/>
                <w:sz w:val="22"/>
                <w:szCs w:val="22"/>
              </w:rPr>
              <w:t xml:space="preserve">(should be included under Lloyd’s Brussels once </w:t>
            </w:r>
            <w:proofErr w:type="spellStart"/>
            <w:r>
              <w:rPr>
                <w:rFonts w:ascii="Trebuchet MS" w:eastAsia="Trebuchet MS" w:hAnsi="Trebuchet MS" w:cs="Trebuchet MS"/>
                <w:i/>
                <w:iCs/>
                <w:color w:val="000000"/>
                <w:sz w:val="22"/>
                <w:szCs w:val="22"/>
              </w:rPr>
              <w:t>licence</w:t>
            </w:r>
            <w:proofErr w:type="spellEnd"/>
            <w:r>
              <w:rPr>
                <w:rFonts w:ascii="Trebuchet MS" w:eastAsia="Trebuchet MS" w:hAnsi="Trebuchet MS" w:cs="Trebuchet MS"/>
                <w:i/>
                <w:iCs/>
                <w:color w:val="000000"/>
                <w:sz w:val="22"/>
                <w:szCs w:val="22"/>
              </w:rPr>
              <w:t xml:space="preserve"> </w:t>
            </w:r>
            <w:proofErr w:type="spellStart"/>
            <w:r>
              <w:rPr>
                <w:rFonts w:ascii="Trebuchet MS" w:eastAsia="Trebuchet MS" w:hAnsi="Trebuchet MS" w:cs="Trebuchet MS"/>
                <w:i/>
                <w:iCs/>
                <w:color w:val="000000"/>
                <w:sz w:val="22"/>
                <w:szCs w:val="22"/>
              </w:rPr>
              <w:t>authorised</w:t>
            </w:r>
            <w:proofErr w:type="spellEnd"/>
          </w:p>
          <w:p w14:paraId="1512B18B" w14:textId="1B59EEFD" w:rsidR="00592C29" w:rsidRDefault="0048296D" w:rsidP="006B1F10">
            <w:pPr>
              <w:spacing w:after="120" w:line="276" w:lineRule="auto"/>
              <w:rPr>
                <w:color w:val="000000"/>
                <w:sz w:val="22"/>
                <w:szCs w:val="22"/>
              </w:rPr>
            </w:pPr>
            <w:r>
              <w:rPr>
                <w:rFonts w:ascii="Trebuchet MS" w:eastAsia="Trebuchet MS" w:hAnsi="Trebuchet MS" w:cs="Trebuchet MS"/>
                <w:color w:val="000000"/>
                <w:sz w:val="22"/>
                <w:szCs w:val="22"/>
              </w:rPr>
              <w:t>The Company Bureau Leader is DEF Company Ltd</w:t>
            </w:r>
          </w:p>
          <w:p w14:paraId="0931CCF5" w14:textId="77777777" w:rsidR="00592C29" w:rsidRDefault="00592C29" w:rsidP="006B1F10">
            <w:pPr>
              <w:spacing w:after="120" w:line="276" w:lineRule="auto"/>
              <w:rPr>
                <w:color w:val="000000"/>
                <w:sz w:val="22"/>
                <w:szCs w:val="22"/>
              </w:rPr>
            </w:pPr>
          </w:p>
        </w:tc>
      </w:tr>
      <w:tr w:rsidR="00592C29" w14:paraId="31FB4BAC" w14:textId="77777777">
        <w:tc>
          <w:tcPr>
            <w:tcW w:w="2376" w:type="dxa"/>
            <w:tcMar>
              <w:top w:w="5" w:type="dxa"/>
              <w:left w:w="113" w:type="dxa"/>
              <w:bottom w:w="5" w:type="dxa"/>
              <w:right w:w="113" w:type="dxa"/>
            </w:tcMar>
            <w:hideMark/>
          </w:tcPr>
          <w:p w14:paraId="03895715" w14:textId="77777777" w:rsidR="00592C29" w:rsidRDefault="0048296D" w:rsidP="006B1F10">
            <w:pPr>
              <w:spacing w:line="276" w:lineRule="auto"/>
              <w:rPr>
                <w:color w:val="000000"/>
                <w:sz w:val="22"/>
                <w:szCs w:val="22"/>
              </w:rPr>
            </w:pPr>
            <w:r>
              <w:rPr>
                <w:rFonts w:ascii="Trebuchet MS" w:eastAsia="Trebuchet MS" w:hAnsi="Trebuchet MS" w:cs="Trebuchet MS"/>
                <w:b/>
                <w:bCs/>
                <w:color w:val="000000"/>
                <w:sz w:val="22"/>
                <w:szCs w:val="22"/>
              </w:rPr>
              <w:t>BASIS OF AGREEMENT TO CONTRACT CHANGES:</w:t>
            </w:r>
          </w:p>
        </w:tc>
        <w:tc>
          <w:tcPr>
            <w:tcW w:w="7371" w:type="dxa"/>
            <w:tcMar>
              <w:top w:w="5" w:type="dxa"/>
              <w:left w:w="113" w:type="dxa"/>
              <w:bottom w:w="5" w:type="dxa"/>
              <w:right w:w="113" w:type="dxa"/>
            </w:tcMar>
            <w:hideMark/>
          </w:tcPr>
          <w:p w14:paraId="46DE66C4" w14:textId="77777777" w:rsidR="00592C29" w:rsidRDefault="0048296D" w:rsidP="006B1F10">
            <w:pPr>
              <w:spacing w:after="120" w:line="276" w:lineRule="auto"/>
              <w:rPr>
                <w:color w:val="000000"/>
                <w:sz w:val="22"/>
                <w:szCs w:val="22"/>
              </w:rPr>
            </w:pPr>
            <w:r>
              <w:rPr>
                <w:rFonts w:ascii="Trebuchet MS" w:eastAsia="Trebuchet MS" w:hAnsi="Trebuchet MS" w:cs="Trebuchet MS"/>
                <w:color w:val="000000"/>
                <w:sz w:val="22"/>
                <w:szCs w:val="22"/>
              </w:rPr>
              <w:t>GUA (Version 2.0 February 2014) with Non–Marine Schedule (October</w:t>
            </w:r>
            <w:r>
              <w:rPr>
                <w:rFonts w:ascii="Trebuchet MS" w:eastAsia="Trebuchet MS" w:hAnsi="Trebuchet MS" w:cs="Trebuchet MS"/>
                <w:b/>
                <w:bCs/>
                <w:color w:val="000000"/>
                <w:sz w:val="22"/>
                <w:szCs w:val="22"/>
              </w:rPr>
              <w:t xml:space="preserve"> </w:t>
            </w:r>
            <w:r>
              <w:rPr>
                <w:rFonts w:ascii="Trebuchet MS" w:eastAsia="Trebuchet MS" w:hAnsi="Trebuchet MS" w:cs="Trebuchet MS"/>
                <w:color w:val="000000"/>
                <w:sz w:val="22"/>
                <w:szCs w:val="22"/>
              </w:rPr>
              <w:t>2001)</w:t>
            </w:r>
          </w:p>
          <w:p w14:paraId="30650489" w14:textId="77777777" w:rsidR="00592C29" w:rsidRDefault="0048296D" w:rsidP="006B1F10">
            <w:pPr>
              <w:spacing w:after="120" w:line="360" w:lineRule="auto"/>
              <w:rPr>
                <w:color w:val="000000"/>
                <w:sz w:val="22"/>
                <w:szCs w:val="22"/>
              </w:rPr>
            </w:pPr>
            <w:r>
              <w:rPr>
                <w:rFonts w:ascii="Trebuchet MS" w:eastAsia="Trebuchet MS" w:hAnsi="Trebuchet MS" w:cs="Trebuchet MS"/>
                <w:i/>
                <w:iCs/>
                <w:color w:val="000000"/>
                <w:sz w:val="22"/>
                <w:szCs w:val="22"/>
              </w:rPr>
              <w:t xml:space="preserve">(Note: This existing MRC model text references the applicable contract change agreement practice e.g. GUA or AVS100B). </w:t>
            </w:r>
          </w:p>
          <w:p w14:paraId="2E6BD409" w14:textId="77777777" w:rsidR="00592C29" w:rsidRDefault="0048296D" w:rsidP="006B1F10">
            <w:pPr>
              <w:spacing w:after="120" w:line="276" w:lineRule="auto"/>
              <w:rPr>
                <w:color w:val="000000"/>
                <w:sz w:val="22"/>
                <w:szCs w:val="22"/>
              </w:rPr>
            </w:pPr>
            <w:r>
              <w:rPr>
                <w:rFonts w:ascii="Trebuchet MS" w:eastAsia="Trebuchet MS" w:hAnsi="Trebuchet MS" w:cs="Trebuchet MS"/>
                <w:color w:val="000000"/>
                <w:sz w:val="22"/>
                <w:szCs w:val="22"/>
              </w:rPr>
              <w:t xml:space="preserve">Wherever practicable, between the broker and each (re)insurer which have at any time the ability to send and receive ACORD messages:  </w:t>
            </w:r>
          </w:p>
          <w:p w14:paraId="79B2360E" w14:textId="77777777" w:rsidR="00592C29" w:rsidRDefault="0048296D" w:rsidP="006B1F10">
            <w:pPr>
              <w:spacing w:after="120" w:line="276" w:lineRule="auto"/>
              <w:rPr>
                <w:color w:val="000000"/>
                <w:sz w:val="22"/>
                <w:szCs w:val="22"/>
              </w:rPr>
            </w:pPr>
            <w:r>
              <w:rPr>
                <w:rFonts w:ascii="Trebuchet MS" w:eastAsia="Trebuchet MS" w:hAnsi="Trebuchet MS" w:cs="Trebuchet MS"/>
                <w:color w:val="000000"/>
                <w:sz w:val="22"/>
                <w:szCs w:val="22"/>
              </w:rPr>
              <w:t>1.</w:t>
            </w:r>
            <w:r>
              <w:rPr>
                <w:rFonts w:ascii="Trebuchet MS" w:eastAsia="Trebuchet MS" w:hAnsi="Trebuchet MS" w:cs="Trebuchet MS"/>
                <w:color w:val="000000"/>
                <w:sz w:val="22"/>
                <w:szCs w:val="22"/>
              </w:rPr>
              <w:tab/>
              <w:t>the broker agrees that any proposed contract change will be requested via an ‘ACORD message’ or using an ACORD enabled electronic trading platform;</w:t>
            </w:r>
          </w:p>
          <w:p w14:paraId="44D0C0A8" w14:textId="77777777" w:rsidR="00592C29" w:rsidRDefault="0048296D" w:rsidP="006B1F10">
            <w:pPr>
              <w:spacing w:after="120" w:line="276" w:lineRule="auto"/>
              <w:rPr>
                <w:color w:val="000000"/>
                <w:sz w:val="22"/>
                <w:szCs w:val="22"/>
              </w:rPr>
            </w:pPr>
            <w:r>
              <w:rPr>
                <w:rFonts w:ascii="Trebuchet MS" w:eastAsia="Trebuchet MS" w:hAnsi="Trebuchet MS" w:cs="Trebuchet MS"/>
                <w:color w:val="000000"/>
                <w:sz w:val="22"/>
                <w:szCs w:val="22"/>
              </w:rPr>
              <w:t>2.</w:t>
            </w:r>
            <w:r>
              <w:rPr>
                <w:rFonts w:ascii="Trebuchet MS" w:eastAsia="Trebuchet MS" w:hAnsi="Trebuchet MS" w:cs="Trebuchet MS"/>
                <w:color w:val="000000"/>
                <w:sz w:val="22"/>
                <w:szCs w:val="22"/>
              </w:rPr>
              <w:tab/>
              <w:t>whilst the parties may negotiate and agree any contract change in any legally effective manner, each relevant (re)insurer agrees to respond via an appropriate ‘ACORD message’ or using an ACORD enabled electronic trading platform;</w:t>
            </w:r>
          </w:p>
          <w:p w14:paraId="177BB364" w14:textId="77777777" w:rsidR="00592C29" w:rsidRDefault="0048296D" w:rsidP="006B1F10">
            <w:pPr>
              <w:spacing w:after="120" w:line="276" w:lineRule="auto"/>
              <w:rPr>
                <w:color w:val="000000"/>
                <w:sz w:val="22"/>
                <w:szCs w:val="22"/>
              </w:rPr>
            </w:pPr>
            <w:r>
              <w:rPr>
                <w:rFonts w:ascii="Trebuchet MS" w:eastAsia="Trebuchet MS" w:hAnsi="Trebuchet MS" w:cs="Trebuchet MS"/>
                <w:color w:val="000000"/>
                <w:sz w:val="22"/>
                <w:szCs w:val="22"/>
              </w:rPr>
              <w:t>3.</w:t>
            </w:r>
            <w:r>
              <w:rPr>
                <w:rFonts w:ascii="Trebuchet MS" w:eastAsia="Trebuchet MS" w:hAnsi="Trebuchet MS" w:cs="Trebuchet MS"/>
                <w:color w:val="000000"/>
                <w:sz w:val="22"/>
                <w:szCs w:val="22"/>
              </w:rPr>
              <w:tab/>
              <w:t>where a (re)insurer has requested to receive notification of any contract change the broker agrees to send the notification via an ‘ACORD message’ or using an ACORD enabled electronic trading platform.</w:t>
            </w:r>
          </w:p>
          <w:p w14:paraId="0341E151" w14:textId="4A14CF1A" w:rsidR="00592C29" w:rsidRDefault="0048296D">
            <w:pPr>
              <w:spacing w:after="200" w:line="276" w:lineRule="auto"/>
              <w:rPr>
                <w:color w:val="000000"/>
                <w:sz w:val="22"/>
                <w:szCs w:val="22"/>
              </w:rPr>
            </w:pPr>
            <w:r>
              <w:rPr>
                <w:rFonts w:ascii="Trebuchet MS" w:eastAsia="Trebuchet MS" w:hAnsi="Trebuchet MS" w:cs="Trebuchet MS"/>
                <w:i/>
                <w:iCs/>
                <w:color w:val="000000"/>
                <w:sz w:val="22"/>
                <w:szCs w:val="22"/>
              </w:rPr>
              <w:t xml:space="preserve">(Note: This model text promotes the use of ACORD messaging as the means of endorsement submission, agreement and notification). </w:t>
            </w:r>
          </w:p>
          <w:p w14:paraId="116D87B1" w14:textId="77777777" w:rsidR="00592C29" w:rsidRDefault="00592C29">
            <w:pPr>
              <w:spacing w:after="200" w:line="276" w:lineRule="auto"/>
              <w:rPr>
                <w:color w:val="000000"/>
                <w:sz w:val="22"/>
                <w:szCs w:val="22"/>
              </w:rPr>
            </w:pPr>
          </w:p>
        </w:tc>
      </w:tr>
      <w:tr w:rsidR="00592C29" w14:paraId="6763F6C7" w14:textId="77777777">
        <w:tc>
          <w:tcPr>
            <w:tcW w:w="2376" w:type="dxa"/>
            <w:tcMar>
              <w:top w:w="5" w:type="dxa"/>
              <w:left w:w="113" w:type="dxa"/>
              <w:bottom w:w="5" w:type="dxa"/>
              <w:right w:w="113" w:type="dxa"/>
            </w:tcMar>
            <w:hideMark/>
          </w:tcPr>
          <w:p w14:paraId="6E1DFE5B" w14:textId="14EC1813" w:rsidR="00592C29" w:rsidRDefault="0048296D" w:rsidP="009950D2">
            <w:pPr>
              <w:spacing w:line="276" w:lineRule="auto"/>
              <w:rPr>
                <w:color w:val="000000"/>
                <w:sz w:val="22"/>
                <w:szCs w:val="22"/>
              </w:rPr>
            </w:pPr>
            <w:r>
              <w:rPr>
                <w:rFonts w:ascii="Trebuchet MS" w:eastAsia="Trebuchet MS" w:hAnsi="Trebuchet MS" w:cs="Trebuchet MS"/>
                <w:b/>
                <w:bCs/>
                <w:color w:val="000000"/>
                <w:sz w:val="22"/>
                <w:szCs w:val="22"/>
              </w:rPr>
              <w:t>OTHER AGREEMENT PARTIES FOR CONTRACT CHANGES, FOR PART 2 GUA CHANGES ONLY:</w:t>
            </w:r>
          </w:p>
        </w:tc>
        <w:tc>
          <w:tcPr>
            <w:tcW w:w="7371" w:type="dxa"/>
            <w:tcMar>
              <w:top w:w="5" w:type="dxa"/>
              <w:left w:w="113" w:type="dxa"/>
              <w:bottom w:w="5" w:type="dxa"/>
              <w:right w:w="113" w:type="dxa"/>
            </w:tcMar>
            <w:hideMark/>
          </w:tcPr>
          <w:p w14:paraId="0FB3DA94" w14:textId="77777777" w:rsidR="00592C29" w:rsidRDefault="0048296D" w:rsidP="009950D2">
            <w:pPr>
              <w:spacing w:after="120" w:line="276" w:lineRule="auto"/>
              <w:rPr>
                <w:color w:val="000000"/>
                <w:sz w:val="22"/>
                <w:szCs w:val="22"/>
              </w:rPr>
            </w:pPr>
            <w:r>
              <w:rPr>
                <w:rFonts w:ascii="Trebuchet MS" w:eastAsia="Trebuchet MS" w:hAnsi="Trebuchet MS" w:cs="Trebuchet MS"/>
                <w:color w:val="000000"/>
                <w:sz w:val="22"/>
                <w:szCs w:val="22"/>
              </w:rPr>
              <w:t>Slip leader only to agree part two changes.</w:t>
            </w:r>
          </w:p>
          <w:p w14:paraId="61AA1E75" w14:textId="77777777" w:rsidR="00592C29" w:rsidRDefault="0048296D" w:rsidP="009950D2">
            <w:pPr>
              <w:spacing w:after="120" w:line="276" w:lineRule="auto"/>
              <w:rPr>
                <w:rFonts w:ascii="Trebuchet MS" w:eastAsia="Trebuchet MS" w:hAnsi="Trebuchet MS" w:cs="Trebuchet MS"/>
                <w:i/>
                <w:iCs/>
                <w:color w:val="000000"/>
                <w:sz w:val="22"/>
                <w:szCs w:val="22"/>
              </w:rPr>
            </w:pPr>
            <w:r>
              <w:rPr>
                <w:rFonts w:ascii="Trebuchet MS" w:eastAsia="Trebuchet MS" w:hAnsi="Trebuchet MS" w:cs="Trebuchet MS"/>
                <w:i/>
                <w:iCs/>
                <w:color w:val="000000"/>
                <w:sz w:val="22"/>
                <w:szCs w:val="22"/>
              </w:rPr>
              <w:t xml:space="preserve">(NB. In respect of EEA risks, the subscribing outsourced Managing Agents underwrite on behalf of the single legal entity that is Lloyd’s Brussels, with EEA risks automatically reinsured 100% to those Lloyd’s Underwriters and Syndicates that may have inserted their details as an agreement party here) </w:t>
            </w:r>
          </w:p>
          <w:p w14:paraId="6F477423" w14:textId="77777777" w:rsidR="009950D2" w:rsidRDefault="009950D2" w:rsidP="009950D2">
            <w:pPr>
              <w:spacing w:after="120" w:line="276" w:lineRule="auto"/>
              <w:rPr>
                <w:color w:val="000000"/>
                <w:sz w:val="22"/>
                <w:szCs w:val="22"/>
              </w:rPr>
            </w:pPr>
          </w:p>
          <w:p w14:paraId="01D51A70" w14:textId="6B09BA92" w:rsidR="009950D2" w:rsidRDefault="009950D2" w:rsidP="009950D2">
            <w:pPr>
              <w:spacing w:after="120" w:line="276" w:lineRule="auto"/>
              <w:rPr>
                <w:color w:val="000000"/>
                <w:sz w:val="22"/>
                <w:szCs w:val="22"/>
              </w:rPr>
            </w:pPr>
          </w:p>
        </w:tc>
      </w:tr>
      <w:tr w:rsidR="00592C29" w14:paraId="4F334BAA" w14:textId="77777777">
        <w:tc>
          <w:tcPr>
            <w:tcW w:w="2376" w:type="dxa"/>
            <w:tcMar>
              <w:top w:w="5" w:type="dxa"/>
              <w:left w:w="113" w:type="dxa"/>
              <w:bottom w:w="5" w:type="dxa"/>
              <w:right w:w="113" w:type="dxa"/>
            </w:tcMar>
            <w:hideMark/>
          </w:tcPr>
          <w:p w14:paraId="57173647" w14:textId="77777777" w:rsidR="00592C29" w:rsidRDefault="0048296D" w:rsidP="009950D2">
            <w:pPr>
              <w:spacing w:line="276" w:lineRule="auto"/>
              <w:rPr>
                <w:color w:val="000000"/>
                <w:sz w:val="22"/>
                <w:szCs w:val="22"/>
              </w:rPr>
            </w:pPr>
            <w:r>
              <w:rPr>
                <w:rFonts w:ascii="Trebuchet MS" w:eastAsia="Trebuchet MS" w:hAnsi="Trebuchet MS" w:cs="Trebuchet MS"/>
                <w:b/>
                <w:bCs/>
                <w:color w:val="000000"/>
                <w:sz w:val="22"/>
                <w:szCs w:val="22"/>
              </w:rPr>
              <w:lastRenderedPageBreak/>
              <w:t>AGREEMENT PARTIES FOR CONTRACT CHANGES, FOR THEIR PROPORTION ONLY:</w:t>
            </w:r>
          </w:p>
        </w:tc>
        <w:tc>
          <w:tcPr>
            <w:tcW w:w="7371" w:type="dxa"/>
            <w:tcMar>
              <w:top w:w="5" w:type="dxa"/>
              <w:left w:w="113" w:type="dxa"/>
              <w:bottom w:w="5" w:type="dxa"/>
              <w:right w:w="113" w:type="dxa"/>
            </w:tcMar>
            <w:hideMark/>
          </w:tcPr>
          <w:p w14:paraId="308A320A" w14:textId="77777777" w:rsidR="00592C29" w:rsidRDefault="0048296D" w:rsidP="009950D2">
            <w:pPr>
              <w:spacing w:after="120" w:line="276" w:lineRule="auto"/>
              <w:rPr>
                <w:color w:val="000000"/>
                <w:sz w:val="22"/>
                <w:szCs w:val="22"/>
              </w:rPr>
            </w:pPr>
            <w:r>
              <w:rPr>
                <w:rFonts w:ascii="Trebuchet MS" w:eastAsia="Trebuchet MS" w:hAnsi="Trebuchet MS" w:cs="Trebuchet MS"/>
                <w:color w:val="000000"/>
                <w:sz w:val="22"/>
                <w:szCs w:val="22"/>
              </w:rPr>
              <w:t>DEF Company Ltd to agree all contract changes.</w:t>
            </w:r>
          </w:p>
          <w:p w14:paraId="40AE6C52" w14:textId="77777777" w:rsidR="00592C29" w:rsidRDefault="0048296D" w:rsidP="009950D2">
            <w:pPr>
              <w:spacing w:after="120" w:line="276" w:lineRule="auto"/>
              <w:rPr>
                <w:color w:val="000000"/>
                <w:sz w:val="22"/>
                <w:szCs w:val="22"/>
              </w:rPr>
            </w:pPr>
            <w:r>
              <w:rPr>
                <w:rFonts w:ascii="Trebuchet MS" w:eastAsia="Trebuchet MS" w:hAnsi="Trebuchet MS" w:cs="Trebuchet MS"/>
                <w:i/>
                <w:iCs/>
                <w:color w:val="000000"/>
                <w:sz w:val="22"/>
                <w:szCs w:val="22"/>
              </w:rPr>
              <w:t>(NB. In respect of EEA risks, the subscribing outsourced Managing Agents underwrite on behalf of the single legal entity that is Lloyd’s Brussels, with EEA risks automatically reinsured 100% to those Lloyd’s Underwriters and Syndicates that may have inserted their details as an agreement party here)</w:t>
            </w:r>
          </w:p>
          <w:p w14:paraId="7E7E5296" w14:textId="77777777" w:rsidR="00592C29" w:rsidRDefault="00592C29" w:rsidP="009950D2">
            <w:pPr>
              <w:spacing w:after="120" w:line="276" w:lineRule="auto"/>
              <w:rPr>
                <w:color w:val="000000"/>
                <w:sz w:val="22"/>
                <w:szCs w:val="22"/>
              </w:rPr>
            </w:pPr>
          </w:p>
        </w:tc>
      </w:tr>
      <w:tr w:rsidR="00592C29" w14:paraId="18EA1076" w14:textId="77777777">
        <w:tc>
          <w:tcPr>
            <w:tcW w:w="2376" w:type="dxa"/>
            <w:tcMar>
              <w:top w:w="5" w:type="dxa"/>
              <w:left w:w="113" w:type="dxa"/>
              <w:bottom w:w="5" w:type="dxa"/>
              <w:right w:w="113" w:type="dxa"/>
            </w:tcMar>
            <w:hideMark/>
          </w:tcPr>
          <w:p w14:paraId="292F5E77" w14:textId="77777777" w:rsidR="00592C29" w:rsidRDefault="0048296D" w:rsidP="009950D2">
            <w:pPr>
              <w:spacing w:line="276" w:lineRule="auto"/>
              <w:rPr>
                <w:color w:val="000000"/>
                <w:sz w:val="22"/>
                <w:szCs w:val="22"/>
              </w:rPr>
            </w:pPr>
            <w:r>
              <w:rPr>
                <w:rFonts w:ascii="Trebuchet MS" w:eastAsia="Trebuchet MS" w:hAnsi="Trebuchet MS" w:cs="Trebuchet MS"/>
                <w:b/>
                <w:bCs/>
                <w:color w:val="000000"/>
                <w:spacing w:val="-4"/>
                <w:sz w:val="22"/>
                <w:szCs w:val="22"/>
              </w:rPr>
              <w:t xml:space="preserve">BASIS OF CLAIMS </w:t>
            </w:r>
            <w:r>
              <w:rPr>
                <w:rFonts w:ascii="Trebuchet MS" w:eastAsia="Trebuchet MS" w:hAnsi="Trebuchet MS" w:cs="Trebuchet MS"/>
                <w:b/>
                <w:bCs/>
                <w:color w:val="000000"/>
                <w:sz w:val="22"/>
                <w:szCs w:val="22"/>
              </w:rPr>
              <w:t>AGREEMENT:</w:t>
            </w:r>
          </w:p>
        </w:tc>
        <w:tc>
          <w:tcPr>
            <w:tcW w:w="7371" w:type="dxa"/>
            <w:tcMar>
              <w:top w:w="5" w:type="dxa"/>
              <w:left w:w="113" w:type="dxa"/>
              <w:bottom w:w="5" w:type="dxa"/>
              <w:right w:w="113" w:type="dxa"/>
            </w:tcMar>
            <w:hideMark/>
          </w:tcPr>
          <w:p w14:paraId="7186FF13" w14:textId="77777777" w:rsidR="00592C29" w:rsidRDefault="0048296D" w:rsidP="009950D2">
            <w:pPr>
              <w:keepNext/>
              <w:keepLines/>
              <w:spacing w:after="120" w:line="276" w:lineRule="auto"/>
              <w:rPr>
                <w:color w:val="000000"/>
                <w:sz w:val="22"/>
                <w:szCs w:val="22"/>
              </w:rPr>
            </w:pPr>
            <w:r>
              <w:rPr>
                <w:rFonts w:ascii="Trebuchet MS" w:eastAsia="Trebuchet MS" w:hAnsi="Trebuchet MS" w:cs="Trebuchet MS"/>
                <w:color w:val="000000"/>
                <w:sz w:val="22"/>
                <w:szCs w:val="22"/>
              </w:rPr>
              <w:t>As specified under the CLAIMS AGREEMENT PARTIES and to be managed in accordance with:</w:t>
            </w:r>
          </w:p>
          <w:p w14:paraId="5541CC79" w14:textId="211FB6CB" w:rsidR="00592C29" w:rsidRDefault="0048296D" w:rsidP="009950D2">
            <w:pPr>
              <w:spacing w:after="120"/>
              <w:ind w:left="567" w:hanging="567"/>
              <w:rPr>
                <w:color w:val="000000"/>
                <w:sz w:val="22"/>
                <w:szCs w:val="22"/>
              </w:rPr>
            </w:pPr>
            <w:proofErr w:type="spellStart"/>
            <w:r>
              <w:rPr>
                <w:rFonts w:ascii="Trebuchet MS" w:eastAsia="Trebuchet MS" w:hAnsi="Trebuchet MS" w:cs="Trebuchet MS"/>
                <w:color w:val="000000"/>
                <w:sz w:val="22"/>
                <w:szCs w:val="22"/>
              </w:rPr>
              <w:t>i</w:t>
            </w:r>
            <w:proofErr w:type="spellEnd"/>
            <w:r>
              <w:rPr>
                <w:rFonts w:ascii="Trebuchet MS" w:eastAsia="Trebuchet MS" w:hAnsi="Trebuchet MS" w:cs="Trebuchet MS"/>
                <w:color w:val="000000"/>
                <w:sz w:val="22"/>
                <w:szCs w:val="22"/>
              </w:rPr>
              <w:t>)</w:t>
            </w:r>
            <w:r>
              <w:rPr>
                <w:color w:val="000000"/>
                <w:sz w:val="14"/>
                <w:szCs w:val="14"/>
              </w:rPr>
              <w:t xml:space="preserve">             </w:t>
            </w:r>
            <w:r>
              <w:rPr>
                <w:rFonts w:ascii="Trebuchet MS" w:eastAsia="Trebuchet MS" w:hAnsi="Trebuchet MS" w:cs="Trebuchet MS"/>
                <w:color w:val="000000"/>
                <w:sz w:val="22"/>
                <w:szCs w:val="22"/>
              </w:rPr>
              <w:t>The SINGLE CLAIMS AGREEMENT PARTY ARRANGEMENTS - LMA9150 [as attached] [as below] for claims or circumstances assigned as Single Claims Agreement Party Claims (SCAP Claims) or, where it is not applicable, then the following shall apply as appropriate:</w:t>
            </w:r>
          </w:p>
          <w:p w14:paraId="47F39345" w14:textId="58B459B2" w:rsidR="00592C29" w:rsidRDefault="0048296D" w:rsidP="009950D2">
            <w:pPr>
              <w:spacing w:after="120"/>
              <w:ind w:left="567" w:hanging="567"/>
              <w:rPr>
                <w:color w:val="000000"/>
                <w:sz w:val="22"/>
                <w:szCs w:val="22"/>
              </w:rPr>
            </w:pPr>
            <w:r>
              <w:rPr>
                <w:rFonts w:ascii="Trebuchet MS" w:eastAsia="Trebuchet MS" w:hAnsi="Trebuchet MS" w:cs="Trebuchet MS"/>
                <w:color w:val="000000"/>
                <w:sz w:val="22"/>
                <w:szCs w:val="22"/>
              </w:rPr>
              <w:t>ii)</w:t>
            </w:r>
            <w:r>
              <w:rPr>
                <w:color w:val="000000"/>
                <w:sz w:val="14"/>
                <w:szCs w:val="14"/>
              </w:rPr>
              <w:t xml:space="preserve">           </w:t>
            </w:r>
            <w:r>
              <w:rPr>
                <w:rFonts w:ascii="Trebuchet MS" w:eastAsia="Trebuchet MS" w:hAnsi="Trebuchet MS" w:cs="Trebuchet MS"/>
                <w:color w:val="000000"/>
                <w:sz w:val="22"/>
                <w:szCs w:val="22"/>
              </w:rPr>
              <w:t xml:space="preserve">The Lloyd’s Claims Scheme (Combined), or as amended or any successor thereto. </w:t>
            </w:r>
          </w:p>
          <w:p w14:paraId="64F6F4A1" w14:textId="5B3D3A51" w:rsidR="00592C29" w:rsidRDefault="0048296D" w:rsidP="009950D2">
            <w:pPr>
              <w:spacing w:after="120" w:line="276" w:lineRule="auto"/>
              <w:ind w:left="567" w:hanging="567"/>
              <w:rPr>
                <w:color w:val="000000"/>
                <w:sz w:val="22"/>
                <w:szCs w:val="22"/>
              </w:rPr>
            </w:pPr>
            <w:r>
              <w:rPr>
                <w:rFonts w:ascii="Trebuchet MS" w:eastAsia="Trebuchet MS" w:hAnsi="Trebuchet MS" w:cs="Trebuchet MS"/>
                <w:i/>
                <w:iCs/>
                <w:color w:val="000000"/>
                <w:sz w:val="22"/>
                <w:szCs w:val="22"/>
              </w:rPr>
              <w:t>(N.B. The applicable Lloyd’s Claims Scheme/part will be determined by the rules and scope of the Scheme(s)).</w:t>
            </w:r>
          </w:p>
          <w:p w14:paraId="1B570F8A" w14:textId="77777777" w:rsidR="00592C29" w:rsidRDefault="0048296D" w:rsidP="009950D2">
            <w:pPr>
              <w:spacing w:after="120"/>
              <w:ind w:left="567" w:hanging="567"/>
              <w:rPr>
                <w:color w:val="000000"/>
                <w:sz w:val="22"/>
                <w:szCs w:val="22"/>
              </w:rPr>
            </w:pPr>
            <w:r>
              <w:rPr>
                <w:rFonts w:ascii="Trebuchet MS" w:eastAsia="Trebuchet MS" w:hAnsi="Trebuchet MS" w:cs="Trebuchet MS"/>
                <w:color w:val="000000"/>
                <w:sz w:val="22"/>
                <w:szCs w:val="22"/>
              </w:rPr>
              <w:t>iii)</w:t>
            </w:r>
            <w:r>
              <w:rPr>
                <w:color w:val="000000"/>
                <w:sz w:val="14"/>
                <w:szCs w:val="14"/>
              </w:rPr>
              <w:t xml:space="preserve">          </w:t>
            </w:r>
            <w:r>
              <w:rPr>
                <w:rFonts w:ascii="Trebuchet MS" w:eastAsia="Trebuchet MS" w:hAnsi="Trebuchet MS" w:cs="Trebuchet MS"/>
                <w:color w:val="000000"/>
                <w:sz w:val="22"/>
                <w:szCs w:val="22"/>
              </w:rPr>
              <w:t>IUA claims agreement practices.</w:t>
            </w:r>
          </w:p>
          <w:p w14:paraId="5C26132A" w14:textId="19E1D43D" w:rsidR="00592C29" w:rsidRDefault="0048296D" w:rsidP="009950D2">
            <w:pPr>
              <w:spacing w:after="120"/>
              <w:ind w:left="567" w:hanging="567"/>
              <w:rPr>
                <w:color w:val="000000"/>
                <w:sz w:val="22"/>
                <w:szCs w:val="22"/>
              </w:rPr>
            </w:pPr>
            <w:r>
              <w:rPr>
                <w:rFonts w:ascii="Trebuchet MS" w:eastAsia="Trebuchet MS" w:hAnsi="Trebuchet MS" w:cs="Trebuchet MS"/>
                <w:color w:val="000000"/>
                <w:sz w:val="22"/>
                <w:szCs w:val="22"/>
              </w:rPr>
              <w:t>iv)</w:t>
            </w:r>
            <w:r>
              <w:rPr>
                <w:color w:val="000000"/>
                <w:sz w:val="14"/>
                <w:szCs w:val="14"/>
              </w:rPr>
              <w:t xml:space="preserve">          </w:t>
            </w:r>
            <w:r>
              <w:rPr>
                <w:rFonts w:ascii="Trebuchet MS" w:eastAsia="Trebuchet MS" w:hAnsi="Trebuchet MS" w:cs="Trebuchet MS"/>
                <w:color w:val="000000"/>
                <w:sz w:val="22"/>
                <w:szCs w:val="22"/>
              </w:rPr>
              <w:t>The practices of any company(</w:t>
            </w:r>
            <w:proofErr w:type="spellStart"/>
            <w:r>
              <w:rPr>
                <w:rFonts w:ascii="Trebuchet MS" w:eastAsia="Trebuchet MS" w:hAnsi="Trebuchet MS" w:cs="Trebuchet MS"/>
                <w:color w:val="000000"/>
                <w:sz w:val="22"/>
                <w:szCs w:val="22"/>
              </w:rPr>
              <w:t>ies</w:t>
            </w:r>
            <w:proofErr w:type="spellEnd"/>
            <w:r>
              <w:rPr>
                <w:rFonts w:ascii="Trebuchet MS" w:eastAsia="Trebuchet MS" w:hAnsi="Trebuchet MS" w:cs="Trebuchet MS"/>
                <w:color w:val="000000"/>
                <w:sz w:val="22"/>
                <w:szCs w:val="22"/>
              </w:rPr>
              <w:t>) electing to agree claims in respect of their own participation.</w:t>
            </w:r>
          </w:p>
          <w:p w14:paraId="6FE1398A" w14:textId="77777777" w:rsidR="00592C29" w:rsidRDefault="0048296D" w:rsidP="009950D2">
            <w:pPr>
              <w:spacing w:after="120" w:line="276" w:lineRule="auto"/>
              <w:rPr>
                <w:color w:val="000000"/>
                <w:sz w:val="22"/>
                <w:szCs w:val="22"/>
              </w:rPr>
            </w:pPr>
            <w:r>
              <w:rPr>
                <w:rFonts w:ascii="Trebuchet MS" w:eastAsia="Trebuchet MS" w:hAnsi="Trebuchet MS" w:cs="Trebuchet MS"/>
                <w:color w:val="000000"/>
                <w:sz w:val="22"/>
                <w:szCs w:val="22"/>
              </w:rPr>
              <w:t>The applicable arrangements (scheme, agreement or practices) will be determined by the rules and scope of said arrangements and should be referred to as appropriate.</w:t>
            </w:r>
          </w:p>
          <w:p w14:paraId="2E694E35" w14:textId="77777777" w:rsidR="00592C29" w:rsidRDefault="00592C29" w:rsidP="009950D2">
            <w:pPr>
              <w:spacing w:after="120" w:line="276" w:lineRule="auto"/>
              <w:rPr>
                <w:color w:val="000000"/>
                <w:sz w:val="22"/>
                <w:szCs w:val="22"/>
              </w:rPr>
            </w:pPr>
          </w:p>
        </w:tc>
      </w:tr>
      <w:tr w:rsidR="00592C29" w14:paraId="044AE3FF" w14:textId="77777777">
        <w:tc>
          <w:tcPr>
            <w:tcW w:w="2376" w:type="dxa"/>
            <w:tcMar>
              <w:top w:w="5" w:type="dxa"/>
              <w:left w:w="113" w:type="dxa"/>
              <w:bottom w:w="5" w:type="dxa"/>
              <w:right w:w="113" w:type="dxa"/>
            </w:tcMar>
            <w:hideMark/>
          </w:tcPr>
          <w:p w14:paraId="66864419" w14:textId="77777777" w:rsidR="00592C29" w:rsidRDefault="0048296D" w:rsidP="009950D2">
            <w:pPr>
              <w:spacing w:line="276" w:lineRule="auto"/>
              <w:rPr>
                <w:color w:val="000000"/>
                <w:sz w:val="22"/>
                <w:szCs w:val="22"/>
              </w:rPr>
            </w:pPr>
            <w:r>
              <w:rPr>
                <w:rFonts w:ascii="Trebuchet MS" w:eastAsia="Trebuchet MS" w:hAnsi="Trebuchet MS" w:cs="Trebuchet MS"/>
                <w:b/>
                <w:bCs/>
                <w:color w:val="000000"/>
                <w:sz w:val="22"/>
                <w:szCs w:val="22"/>
              </w:rPr>
              <w:t>CLAIMS AGREEMENT PARTIES:</w:t>
            </w:r>
          </w:p>
        </w:tc>
        <w:tc>
          <w:tcPr>
            <w:tcW w:w="7371" w:type="dxa"/>
            <w:tcMar>
              <w:top w:w="5" w:type="dxa"/>
              <w:left w:w="113" w:type="dxa"/>
              <w:bottom w:w="5" w:type="dxa"/>
              <w:right w:w="113" w:type="dxa"/>
            </w:tcMar>
            <w:hideMark/>
          </w:tcPr>
          <w:p w14:paraId="47EF6CFD" w14:textId="77777777" w:rsidR="00592C29" w:rsidRDefault="0048296D" w:rsidP="009950D2">
            <w:pPr>
              <w:spacing w:after="120" w:line="276" w:lineRule="auto"/>
              <w:ind w:left="709" w:hanging="709"/>
              <w:rPr>
                <w:color w:val="000000"/>
                <w:sz w:val="22"/>
                <w:szCs w:val="22"/>
              </w:rPr>
            </w:pPr>
            <w:r>
              <w:rPr>
                <w:rFonts w:ascii="Trebuchet MS" w:eastAsia="Trebuchet MS" w:hAnsi="Trebuchet MS" w:cs="Trebuchet MS"/>
                <w:color w:val="000000"/>
                <w:sz w:val="22"/>
                <w:szCs w:val="22"/>
              </w:rPr>
              <w:t>A.</w:t>
            </w:r>
            <w:r>
              <w:rPr>
                <w:rFonts w:ascii="Trebuchet MS" w:eastAsia="Trebuchet MS" w:hAnsi="Trebuchet MS" w:cs="Trebuchet MS"/>
                <w:color w:val="000000"/>
                <w:sz w:val="22"/>
                <w:szCs w:val="22"/>
              </w:rPr>
              <w:tab/>
              <w:t>Claims falling within the scope of the LMA9150 to be agreed by Slip Leader only on behalf of all (re)insurers (1) subscribing to this Contract on the same contractual terms (other than premium and brokerage) and (2) to these Arrangements.</w:t>
            </w:r>
          </w:p>
          <w:p w14:paraId="4735140E" w14:textId="77777777" w:rsidR="00592C29" w:rsidRDefault="0048296D" w:rsidP="009950D2">
            <w:pPr>
              <w:spacing w:after="120" w:line="276" w:lineRule="auto"/>
              <w:ind w:left="709" w:hanging="709"/>
              <w:rPr>
                <w:color w:val="000000"/>
                <w:sz w:val="22"/>
                <w:szCs w:val="22"/>
              </w:rPr>
            </w:pPr>
            <w:r>
              <w:rPr>
                <w:color w:val="000000"/>
                <w:sz w:val="22"/>
                <w:szCs w:val="22"/>
              </w:rPr>
              <w:tab/>
            </w:r>
            <w:r>
              <w:rPr>
                <w:rFonts w:ascii="Trebuchet MS" w:eastAsia="Trebuchet MS" w:hAnsi="Trebuchet MS" w:cs="Trebuchet MS"/>
                <w:color w:val="000000"/>
                <w:sz w:val="22"/>
                <w:szCs w:val="22"/>
              </w:rPr>
              <w:t>For the purposes of calculating the Threshold Amount, the sterling rate on the date that a financial value of the claim is first established by the Slip Leader shall be used and the rate of exchange shall be the Bank of England spot rate for the purchase of sterling at the time of the deemed conversion.</w:t>
            </w:r>
          </w:p>
          <w:p w14:paraId="5A4F3760" w14:textId="77777777" w:rsidR="00592C29" w:rsidRDefault="00592C29" w:rsidP="009950D2">
            <w:pPr>
              <w:spacing w:after="120" w:line="276" w:lineRule="auto"/>
              <w:ind w:left="709" w:hanging="709"/>
              <w:rPr>
                <w:color w:val="000000"/>
                <w:sz w:val="22"/>
                <w:szCs w:val="22"/>
              </w:rPr>
            </w:pPr>
          </w:p>
          <w:p w14:paraId="2C0C32FF" w14:textId="77777777" w:rsidR="00592C29" w:rsidRDefault="0048296D" w:rsidP="009950D2">
            <w:pPr>
              <w:spacing w:after="120" w:line="276" w:lineRule="auto"/>
              <w:ind w:left="709" w:hanging="709"/>
              <w:rPr>
                <w:color w:val="000000"/>
                <w:sz w:val="22"/>
                <w:szCs w:val="22"/>
              </w:rPr>
            </w:pPr>
            <w:r>
              <w:rPr>
                <w:rFonts w:ascii="Trebuchet MS" w:eastAsia="Trebuchet MS" w:hAnsi="Trebuchet MS" w:cs="Trebuchet MS"/>
                <w:color w:val="000000"/>
                <w:sz w:val="22"/>
                <w:szCs w:val="22"/>
              </w:rPr>
              <w:t>B.</w:t>
            </w:r>
            <w:r>
              <w:rPr>
                <w:rFonts w:ascii="Trebuchet MS" w:eastAsia="Trebuchet MS" w:hAnsi="Trebuchet MS" w:cs="Trebuchet MS"/>
                <w:color w:val="000000"/>
                <w:sz w:val="22"/>
                <w:szCs w:val="22"/>
              </w:rPr>
              <w:tab/>
              <w:t>For all other claims:</w:t>
            </w:r>
          </w:p>
          <w:p w14:paraId="71C35771" w14:textId="7EA3BE76" w:rsidR="00592C29" w:rsidRDefault="0048296D" w:rsidP="009950D2">
            <w:pPr>
              <w:spacing w:after="120"/>
              <w:ind w:left="3600" w:hanging="2891"/>
              <w:rPr>
                <w:color w:val="000000"/>
                <w:sz w:val="22"/>
                <w:szCs w:val="22"/>
              </w:rPr>
            </w:pPr>
            <w:proofErr w:type="spellStart"/>
            <w:r>
              <w:rPr>
                <w:rFonts w:ascii="Trebuchet MS" w:eastAsia="Trebuchet MS" w:hAnsi="Trebuchet MS" w:cs="Trebuchet MS"/>
                <w:color w:val="000000"/>
                <w:sz w:val="22"/>
                <w:szCs w:val="22"/>
              </w:rPr>
              <w:t>i</w:t>
            </w:r>
            <w:proofErr w:type="spellEnd"/>
            <w:r>
              <w:rPr>
                <w:rFonts w:ascii="Trebuchet MS" w:eastAsia="Trebuchet MS" w:hAnsi="Trebuchet MS" w:cs="Trebuchet MS"/>
                <w:color w:val="000000"/>
                <w:sz w:val="22"/>
                <w:szCs w:val="22"/>
              </w:rPr>
              <w:t>)</w:t>
            </w:r>
            <w:r>
              <w:rPr>
                <w:color w:val="000000"/>
                <w:sz w:val="14"/>
                <w:szCs w:val="14"/>
              </w:rPr>
              <w:t xml:space="preserve">                 </w:t>
            </w:r>
            <w:r>
              <w:rPr>
                <w:rFonts w:ascii="Trebuchet MS" w:eastAsia="Trebuchet MS" w:hAnsi="Trebuchet MS" w:cs="Trebuchet MS"/>
                <w:color w:val="000000"/>
                <w:sz w:val="22"/>
                <w:szCs w:val="22"/>
              </w:rPr>
              <w:t>For Lloyd’s syndicates</w:t>
            </w:r>
          </w:p>
          <w:p w14:paraId="59892BAB" w14:textId="77777777" w:rsidR="00592C29" w:rsidRDefault="0048296D" w:rsidP="009950D2">
            <w:pPr>
              <w:spacing w:after="120" w:line="276" w:lineRule="auto"/>
              <w:ind w:left="709"/>
              <w:rPr>
                <w:color w:val="000000"/>
                <w:sz w:val="22"/>
                <w:szCs w:val="22"/>
              </w:rPr>
            </w:pPr>
            <w:r>
              <w:rPr>
                <w:rFonts w:ascii="Trebuchet MS" w:eastAsia="Trebuchet MS" w:hAnsi="Trebuchet MS" w:cs="Trebuchet MS"/>
                <w:color w:val="000000"/>
                <w:sz w:val="22"/>
                <w:szCs w:val="22"/>
              </w:rPr>
              <w:t>The leading Lloyd's syndicate and, where required by the applicable Lloyd's Claims Scheme, the second Lloyd's syndicate.</w:t>
            </w:r>
          </w:p>
          <w:p w14:paraId="5722C98D" w14:textId="77777777" w:rsidR="00592C29" w:rsidRDefault="0048296D" w:rsidP="009950D2">
            <w:pPr>
              <w:spacing w:after="120" w:line="276" w:lineRule="auto"/>
              <w:ind w:left="709"/>
              <w:rPr>
                <w:color w:val="000000"/>
                <w:sz w:val="22"/>
                <w:szCs w:val="22"/>
              </w:rPr>
            </w:pPr>
            <w:r>
              <w:rPr>
                <w:rFonts w:ascii="Trebuchet MS" w:eastAsia="Trebuchet MS" w:hAnsi="Trebuchet MS" w:cs="Trebuchet MS"/>
                <w:color w:val="000000"/>
                <w:sz w:val="22"/>
                <w:szCs w:val="22"/>
              </w:rPr>
              <w:t>The second Lloyd’s Syndicate is JKL (1234).</w:t>
            </w:r>
          </w:p>
          <w:p w14:paraId="6C9B133E" w14:textId="77777777" w:rsidR="00592C29" w:rsidRDefault="0048296D" w:rsidP="009950D2">
            <w:pPr>
              <w:spacing w:after="120" w:line="276" w:lineRule="auto"/>
              <w:rPr>
                <w:color w:val="000000"/>
                <w:sz w:val="22"/>
                <w:szCs w:val="22"/>
              </w:rPr>
            </w:pPr>
            <w:r>
              <w:rPr>
                <w:rFonts w:ascii="Trebuchet MS" w:eastAsia="Trebuchet MS" w:hAnsi="Trebuchet MS" w:cs="Trebuchet MS"/>
                <w:i/>
                <w:iCs/>
                <w:color w:val="000000"/>
                <w:sz w:val="22"/>
                <w:szCs w:val="22"/>
              </w:rPr>
              <w:t>(Where known by the broker, they may insert the second Lloyd’s Syndicate name here – or may leave space for the relevant underwriter to apply their stamp below).</w:t>
            </w:r>
          </w:p>
          <w:p w14:paraId="143E1661" w14:textId="0DC1D6A0" w:rsidR="00592C29" w:rsidRDefault="0048296D" w:rsidP="009950D2">
            <w:pPr>
              <w:spacing w:after="120"/>
              <w:ind w:left="1418" w:hanging="709"/>
              <w:rPr>
                <w:color w:val="000000"/>
                <w:sz w:val="22"/>
                <w:szCs w:val="22"/>
              </w:rPr>
            </w:pPr>
            <w:r>
              <w:rPr>
                <w:rFonts w:ascii="Trebuchet MS" w:eastAsia="Trebuchet MS" w:hAnsi="Trebuchet MS" w:cs="Trebuchet MS"/>
                <w:color w:val="000000"/>
                <w:sz w:val="22"/>
                <w:szCs w:val="22"/>
              </w:rPr>
              <w:t>ii)</w:t>
            </w:r>
            <w:r>
              <w:rPr>
                <w:color w:val="000000"/>
                <w:sz w:val="14"/>
                <w:szCs w:val="14"/>
              </w:rPr>
              <w:t xml:space="preserve">               </w:t>
            </w:r>
            <w:r>
              <w:rPr>
                <w:rFonts w:ascii="Trebuchet MS" w:eastAsia="Trebuchet MS" w:hAnsi="Trebuchet MS" w:cs="Trebuchet MS"/>
                <w:color w:val="000000"/>
                <w:sz w:val="22"/>
                <w:szCs w:val="22"/>
              </w:rPr>
              <w:t xml:space="preserve">Those companies acting in accordance with the IUA claims agreement practices, excepting those that may </w:t>
            </w:r>
            <w:r>
              <w:rPr>
                <w:rFonts w:ascii="Trebuchet MS" w:eastAsia="Trebuchet MS" w:hAnsi="Trebuchet MS" w:cs="Trebuchet MS"/>
                <w:color w:val="000000"/>
                <w:sz w:val="22"/>
                <w:szCs w:val="22"/>
              </w:rPr>
              <w:lastRenderedPageBreak/>
              <w:t>have opted out via iii below.</w:t>
            </w:r>
          </w:p>
          <w:p w14:paraId="2CED4D99" w14:textId="77777777" w:rsidR="00592C29" w:rsidRDefault="0048296D" w:rsidP="009950D2">
            <w:pPr>
              <w:spacing w:after="120" w:line="276" w:lineRule="auto"/>
              <w:rPr>
                <w:color w:val="000000"/>
                <w:sz w:val="22"/>
                <w:szCs w:val="22"/>
              </w:rPr>
            </w:pPr>
            <w:r>
              <w:rPr>
                <w:rFonts w:ascii="Trebuchet MS" w:eastAsia="Trebuchet MS" w:hAnsi="Trebuchet MS" w:cs="Trebuchet MS"/>
                <w:color w:val="000000"/>
                <w:sz w:val="22"/>
                <w:szCs w:val="22"/>
              </w:rPr>
              <w:t>(</w:t>
            </w:r>
            <w:r>
              <w:rPr>
                <w:rFonts w:ascii="Trebuchet MS" w:eastAsia="Trebuchet MS" w:hAnsi="Trebuchet MS" w:cs="Trebuchet MS"/>
                <w:i/>
                <w:iCs/>
                <w:color w:val="000000"/>
                <w:sz w:val="22"/>
                <w:szCs w:val="22"/>
              </w:rPr>
              <w:t xml:space="preserve">The companies that apply the IUA claims agreement practices do not need to be individually identified here). </w:t>
            </w:r>
          </w:p>
          <w:p w14:paraId="2F49FE02" w14:textId="0488991E" w:rsidR="00592C29" w:rsidRDefault="0048296D" w:rsidP="009950D2">
            <w:pPr>
              <w:spacing w:after="120"/>
              <w:ind w:left="1418" w:hanging="709"/>
              <w:rPr>
                <w:color w:val="000000"/>
                <w:sz w:val="22"/>
                <w:szCs w:val="22"/>
              </w:rPr>
            </w:pPr>
            <w:r>
              <w:rPr>
                <w:rFonts w:ascii="Trebuchet MS" w:eastAsia="Trebuchet MS" w:hAnsi="Trebuchet MS" w:cs="Trebuchet MS"/>
                <w:color w:val="000000"/>
                <w:sz w:val="22"/>
                <w:szCs w:val="22"/>
              </w:rPr>
              <w:t>iii)</w:t>
            </w:r>
            <w:r>
              <w:rPr>
                <w:color w:val="000000"/>
                <w:sz w:val="14"/>
                <w:szCs w:val="14"/>
              </w:rPr>
              <w:t xml:space="preserve">             </w:t>
            </w:r>
            <w:r>
              <w:rPr>
                <w:rFonts w:ascii="Trebuchet MS" w:eastAsia="Trebuchet MS" w:hAnsi="Trebuchet MS" w:cs="Trebuchet MS"/>
                <w:color w:val="000000"/>
                <w:sz w:val="22"/>
                <w:szCs w:val="22"/>
              </w:rPr>
              <w:t xml:space="preserve">Those companies that have specifically elected to agree claims in respect of their own participation. </w:t>
            </w:r>
          </w:p>
          <w:p w14:paraId="2154E017" w14:textId="6B85DB5A" w:rsidR="00592C29" w:rsidRDefault="005C7AFF" w:rsidP="009950D2">
            <w:pPr>
              <w:spacing w:after="120" w:line="276" w:lineRule="auto"/>
              <w:ind w:left="709"/>
              <w:rPr>
                <w:color w:val="000000"/>
                <w:sz w:val="22"/>
                <w:szCs w:val="22"/>
              </w:rPr>
            </w:pPr>
            <w:r>
              <w:rPr>
                <w:rFonts w:ascii="Trebuchet MS" w:eastAsia="Trebuchet MS" w:hAnsi="Trebuchet MS" w:cs="Trebuchet MS"/>
                <w:color w:val="000000"/>
                <w:sz w:val="22"/>
                <w:szCs w:val="22"/>
              </w:rPr>
              <w:t xml:space="preserve">           </w:t>
            </w:r>
            <w:r w:rsidR="0048296D">
              <w:rPr>
                <w:rFonts w:ascii="Trebuchet MS" w:eastAsia="Trebuchet MS" w:hAnsi="Trebuchet MS" w:cs="Trebuchet MS"/>
                <w:color w:val="000000"/>
                <w:sz w:val="22"/>
                <w:szCs w:val="22"/>
              </w:rPr>
              <w:t>DEF Company</w:t>
            </w:r>
          </w:p>
          <w:p w14:paraId="4C329B0A" w14:textId="77777777" w:rsidR="00592C29" w:rsidRDefault="0048296D" w:rsidP="009950D2">
            <w:pPr>
              <w:spacing w:after="120" w:line="276" w:lineRule="auto"/>
              <w:rPr>
                <w:color w:val="000000"/>
                <w:sz w:val="22"/>
                <w:szCs w:val="22"/>
              </w:rPr>
            </w:pPr>
            <w:r>
              <w:rPr>
                <w:rFonts w:ascii="Trebuchet MS" w:eastAsia="Trebuchet MS" w:hAnsi="Trebuchet MS" w:cs="Trebuchet MS"/>
                <w:i/>
                <w:iCs/>
                <w:color w:val="000000"/>
                <w:sz w:val="22"/>
                <w:szCs w:val="22"/>
              </w:rPr>
              <w:t>(Where known by the broker, the company(</w:t>
            </w:r>
            <w:proofErr w:type="spellStart"/>
            <w:r>
              <w:rPr>
                <w:rFonts w:ascii="Trebuchet MS" w:eastAsia="Trebuchet MS" w:hAnsi="Trebuchet MS" w:cs="Trebuchet MS"/>
                <w:i/>
                <w:iCs/>
                <w:color w:val="000000"/>
                <w:sz w:val="22"/>
                <w:szCs w:val="22"/>
              </w:rPr>
              <w:t>ies</w:t>
            </w:r>
            <w:proofErr w:type="spellEnd"/>
            <w:r>
              <w:rPr>
                <w:rFonts w:ascii="Trebuchet MS" w:eastAsia="Trebuchet MS" w:hAnsi="Trebuchet MS" w:cs="Trebuchet MS"/>
                <w:i/>
                <w:iCs/>
                <w:color w:val="000000"/>
                <w:sz w:val="22"/>
                <w:szCs w:val="22"/>
              </w:rPr>
              <w:t>) electing to agree claims in respect of their own participation can be recorded here by the broker – otherwise this should be indicated by the relevant company(</w:t>
            </w:r>
            <w:proofErr w:type="spellStart"/>
            <w:r>
              <w:rPr>
                <w:rFonts w:ascii="Trebuchet MS" w:eastAsia="Trebuchet MS" w:hAnsi="Trebuchet MS" w:cs="Trebuchet MS"/>
                <w:i/>
                <w:iCs/>
                <w:color w:val="000000"/>
                <w:sz w:val="22"/>
                <w:szCs w:val="22"/>
              </w:rPr>
              <w:t>ies</w:t>
            </w:r>
            <w:proofErr w:type="spellEnd"/>
            <w:r>
              <w:rPr>
                <w:rFonts w:ascii="Trebuchet MS" w:eastAsia="Trebuchet MS" w:hAnsi="Trebuchet MS" w:cs="Trebuchet MS"/>
                <w:i/>
                <w:iCs/>
                <w:color w:val="000000"/>
                <w:sz w:val="22"/>
                <w:szCs w:val="22"/>
              </w:rPr>
              <w:t xml:space="preserve">) placing their stamp(s) under this heading).  </w:t>
            </w:r>
          </w:p>
          <w:p w14:paraId="66D84E91" w14:textId="28524B5B" w:rsidR="00592C29" w:rsidRDefault="0048296D" w:rsidP="009950D2">
            <w:pPr>
              <w:spacing w:after="120"/>
              <w:ind w:left="1418" w:hanging="709"/>
              <w:rPr>
                <w:color w:val="000000"/>
                <w:sz w:val="22"/>
                <w:szCs w:val="22"/>
              </w:rPr>
            </w:pPr>
            <w:r>
              <w:rPr>
                <w:rFonts w:ascii="Trebuchet MS" w:eastAsia="Trebuchet MS" w:hAnsi="Trebuchet MS" w:cs="Trebuchet MS"/>
                <w:color w:val="000000"/>
                <w:sz w:val="22"/>
                <w:szCs w:val="22"/>
              </w:rPr>
              <w:t>iv)</w:t>
            </w:r>
            <w:r>
              <w:rPr>
                <w:color w:val="000000"/>
                <w:sz w:val="14"/>
                <w:szCs w:val="14"/>
              </w:rPr>
              <w:t xml:space="preserve">             </w:t>
            </w:r>
            <w:r>
              <w:rPr>
                <w:rFonts w:ascii="Trebuchet MS" w:eastAsia="Trebuchet MS" w:hAnsi="Trebuchet MS" w:cs="Trebuchet MS"/>
                <w:color w:val="000000"/>
                <w:sz w:val="22"/>
                <w:szCs w:val="22"/>
              </w:rPr>
              <w:t>All other subscribing insurers that are not party to the Lloyd’s/IUA claims agreement practices, each in respect of their own participation.</w:t>
            </w:r>
          </w:p>
          <w:p w14:paraId="3CDFB271" w14:textId="77777777" w:rsidR="00592C29" w:rsidRDefault="0048296D" w:rsidP="005C7AFF">
            <w:pPr>
              <w:spacing w:after="120" w:line="276" w:lineRule="auto"/>
              <w:rPr>
                <w:color w:val="000000"/>
                <w:sz w:val="22"/>
                <w:szCs w:val="22"/>
              </w:rPr>
            </w:pPr>
            <w:r>
              <w:rPr>
                <w:rFonts w:ascii="Trebuchet MS" w:eastAsia="Trebuchet MS" w:hAnsi="Trebuchet MS" w:cs="Trebuchet MS"/>
                <w:i/>
                <w:iCs/>
                <w:color w:val="000000"/>
                <w:sz w:val="22"/>
                <w:szCs w:val="22"/>
              </w:rPr>
              <w:t>(Companies that are not a party to the IUA Claims Agreement Practices will be handled under this category; they do not need to be individually identified).</w:t>
            </w:r>
          </w:p>
          <w:p w14:paraId="22D12E94" w14:textId="77777777" w:rsidR="00592C29" w:rsidRDefault="0048296D" w:rsidP="009950D2">
            <w:pPr>
              <w:spacing w:after="120" w:line="276" w:lineRule="auto"/>
              <w:ind w:left="1418" w:hanging="709"/>
              <w:rPr>
                <w:color w:val="000000"/>
                <w:sz w:val="22"/>
                <w:szCs w:val="22"/>
              </w:rPr>
            </w:pPr>
            <w:r>
              <w:rPr>
                <w:rFonts w:ascii="Trebuchet MS" w:eastAsia="Trebuchet MS" w:hAnsi="Trebuchet MS" w:cs="Trebuchet MS"/>
                <w:color w:val="000000"/>
                <w:sz w:val="22"/>
                <w:szCs w:val="22"/>
              </w:rPr>
              <w:t>v)</w:t>
            </w:r>
            <w:r>
              <w:rPr>
                <w:rFonts w:ascii="Trebuchet MS" w:eastAsia="Trebuchet MS" w:hAnsi="Trebuchet MS" w:cs="Trebuchet MS"/>
                <w:color w:val="000000"/>
                <w:sz w:val="22"/>
                <w:szCs w:val="22"/>
              </w:rPr>
              <w:tab/>
              <w:t>Notwithstanding anything contained in the above to the contrary, any ex gratia payments to be agreed by each (re)insurer for their own participation.</w:t>
            </w:r>
          </w:p>
          <w:p w14:paraId="3C076F70" w14:textId="77777777" w:rsidR="00592C29" w:rsidRDefault="00592C29" w:rsidP="009950D2">
            <w:pPr>
              <w:spacing w:after="120" w:line="276" w:lineRule="auto"/>
              <w:rPr>
                <w:color w:val="000000"/>
                <w:sz w:val="22"/>
                <w:szCs w:val="22"/>
              </w:rPr>
            </w:pPr>
          </w:p>
        </w:tc>
      </w:tr>
      <w:tr w:rsidR="00592C29" w14:paraId="505E09A2" w14:textId="77777777">
        <w:tc>
          <w:tcPr>
            <w:tcW w:w="2376" w:type="dxa"/>
            <w:tcMar>
              <w:top w:w="5" w:type="dxa"/>
              <w:left w:w="113" w:type="dxa"/>
              <w:bottom w:w="5" w:type="dxa"/>
              <w:right w:w="113" w:type="dxa"/>
            </w:tcMar>
            <w:hideMark/>
          </w:tcPr>
          <w:p w14:paraId="48196BFA" w14:textId="77777777" w:rsidR="00592C29" w:rsidRDefault="0048296D" w:rsidP="005C7AFF">
            <w:pPr>
              <w:spacing w:line="276" w:lineRule="auto"/>
              <w:rPr>
                <w:color w:val="000000"/>
                <w:sz w:val="22"/>
                <w:szCs w:val="22"/>
              </w:rPr>
            </w:pPr>
            <w:r>
              <w:rPr>
                <w:rFonts w:ascii="Trebuchet MS" w:eastAsia="Trebuchet MS" w:hAnsi="Trebuchet MS" w:cs="Trebuchet MS"/>
                <w:b/>
                <w:bCs/>
                <w:color w:val="000000"/>
                <w:sz w:val="22"/>
                <w:szCs w:val="22"/>
              </w:rPr>
              <w:lastRenderedPageBreak/>
              <w:t>CLAIMS ADMINISTRATION:</w:t>
            </w:r>
          </w:p>
        </w:tc>
        <w:tc>
          <w:tcPr>
            <w:tcW w:w="7371" w:type="dxa"/>
            <w:tcMar>
              <w:top w:w="5" w:type="dxa"/>
              <w:left w:w="113" w:type="dxa"/>
              <w:bottom w:w="5" w:type="dxa"/>
              <w:right w:w="113" w:type="dxa"/>
            </w:tcMar>
            <w:hideMark/>
          </w:tcPr>
          <w:p w14:paraId="12503475" w14:textId="77777777" w:rsidR="00592C29" w:rsidRDefault="0048296D" w:rsidP="005C7AFF">
            <w:pPr>
              <w:spacing w:after="120" w:line="276" w:lineRule="auto"/>
              <w:rPr>
                <w:color w:val="000000"/>
                <w:sz w:val="22"/>
                <w:szCs w:val="22"/>
              </w:rPr>
            </w:pPr>
            <w:r>
              <w:rPr>
                <w:rFonts w:ascii="Trebuchet MS" w:eastAsia="Trebuchet MS" w:hAnsi="Trebuchet MS" w:cs="Trebuchet MS"/>
                <w:color w:val="000000"/>
                <w:sz w:val="22"/>
                <w:szCs w:val="22"/>
              </w:rPr>
              <w:t>Broker XYZ and insurers agree that any claims hereunder (including any claims related costs/fees) will be notified and administered via ECF with any payment(s) processed via CLASS, unless both parties agree to do otherwise.</w:t>
            </w:r>
          </w:p>
          <w:p w14:paraId="57AB3691" w14:textId="77777777" w:rsidR="00592C29" w:rsidRDefault="0048296D" w:rsidP="005C7AFF">
            <w:pPr>
              <w:spacing w:after="120" w:line="276" w:lineRule="auto"/>
              <w:jc w:val="both"/>
              <w:rPr>
                <w:color w:val="000000"/>
                <w:sz w:val="22"/>
                <w:szCs w:val="22"/>
              </w:rPr>
            </w:pPr>
            <w:r>
              <w:rPr>
                <w:rFonts w:ascii="Trebuchet MS" w:eastAsia="Trebuchet MS" w:hAnsi="Trebuchet MS" w:cs="Trebuchet MS"/>
                <w:color w:val="000000"/>
                <w:sz w:val="22"/>
                <w:szCs w:val="22"/>
              </w:rPr>
              <w:t>Where claims or circumstances are not administered via ECF, notification, administration and payment(s) will be electronic.</w:t>
            </w:r>
          </w:p>
          <w:p w14:paraId="20CE0E4A" w14:textId="77777777" w:rsidR="00592C29" w:rsidRDefault="0048296D" w:rsidP="005C7AFF">
            <w:pPr>
              <w:spacing w:after="120" w:line="276" w:lineRule="auto"/>
              <w:rPr>
                <w:color w:val="000000"/>
                <w:sz w:val="22"/>
                <w:szCs w:val="22"/>
              </w:rPr>
            </w:pPr>
            <w:r>
              <w:rPr>
                <w:rFonts w:ascii="Trebuchet MS" w:eastAsia="Trebuchet MS" w:hAnsi="Trebuchet MS" w:cs="Trebuchet MS"/>
                <w:color w:val="000000"/>
                <w:sz w:val="22"/>
                <w:szCs w:val="22"/>
              </w:rPr>
              <w:t>Where a Lloyd’s syndicate or IUA company is not an agreement party to the claim or circumstance (per CLAIMS AGREEMENT PARTIES A. above), they agree to accept correct ECF sequences for administrative purposes to ensure information is circulated to all subscribing parties.</w:t>
            </w:r>
          </w:p>
          <w:p w14:paraId="687D19CC" w14:textId="77777777" w:rsidR="00592C29" w:rsidRDefault="00592C29" w:rsidP="005C7AFF">
            <w:pPr>
              <w:spacing w:after="120" w:line="276" w:lineRule="auto"/>
              <w:rPr>
                <w:color w:val="000000"/>
                <w:sz w:val="22"/>
                <w:szCs w:val="22"/>
              </w:rPr>
            </w:pPr>
          </w:p>
          <w:p w14:paraId="1C06EA7A" w14:textId="1EA985C2" w:rsidR="00185300" w:rsidRDefault="00185300" w:rsidP="005C7AFF">
            <w:pPr>
              <w:spacing w:after="120" w:line="276" w:lineRule="auto"/>
              <w:rPr>
                <w:color w:val="000000"/>
                <w:sz w:val="22"/>
                <w:szCs w:val="22"/>
              </w:rPr>
            </w:pPr>
          </w:p>
        </w:tc>
      </w:tr>
    </w:tbl>
    <w:p w14:paraId="1BA86405" w14:textId="77777777" w:rsidR="00630EF8" w:rsidRDefault="00630EF8">
      <w:r>
        <w:br w:type="page"/>
      </w:r>
    </w:p>
    <w:tbl>
      <w:tblPr>
        <w:tblW w:w="9747" w:type="dxa"/>
        <w:tblInd w:w="113" w:type="dxa"/>
        <w:tblCellMar>
          <w:left w:w="0" w:type="dxa"/>
          <w:right w:w="0" w:type="dxa"/>
        </w:tblCellMar>
        <w:tblLook w:val="04A0" w:firstRow="1" w:lastRow="0" w:firstColumn="1" w:lastColumn="0" w:noHBand="0" w:noVBand="1"/>
      </w:tblPr>
      <w:tblGrid>
        <w:gridCol w:w="2376"/>
        <w:gridCol w:w="7371"/>
      </w:tblGrid>
      <w:tr w:rsidR="00592C29" w14:paraId="58A4ACFD" w14:textId="77777777">
        <w:tc>
          <w:tcPr>
            <w:tcW w:w="2376" w:type="dxa"/>
            <w:tcMar>
              <w:top w:w="5" w:type="dxa"/>
              <w:left w:w="113" w:type="dxa"/>
              <w:bottom w:w="5" w:type="dxa"/>
              <w:right w:w="113" w:type="dxa"/>
            </w:tcMar>
            <w:hideMark/>
          </w:tcPr>
          <w:p w14:paraId="42A47859" w14:textId="1FB5C738" w:rsidR="00592C29" w:rsidRDefault="0048296D" w:rsidP="005E403C">
            <w:pPr>
              <w:spacing w:line="276" w:lineRule="auto"/>
              <w:rPr>
                <w:color w:val="000000"/>
                <w:sz w:val="22"/>
                <w:szCs w:val="22"/>
              </w:rPr>
            </w:pPr>
            <w:r>
              <w:rPr>
                <w:rFonts w:ascii="Trebuchet MS" w:eastAsia="Trebuchet MS" w:hAnsi="Trebuchet MS" w:cs="Trebuchet MS"/>
                <w:b/>
                <w:bCs/>
                <w:color w:val="000000"/>
                <w:sz w:val="22"/>
                <w:szCs w:val="22"/>
              </w:rPr>
              <w:lastRenderedPageBreak/>
              <w:t>RULES AND EXTENT OF ANY OTHER DELEGATED CLAIMS AUTHORITY:</w:t>
            </w:r>
          </w:p>
        </w:tc>
        <w:tc>
          <w:tcPr>
            <w:tcW w:w="7371" w:type="dxa"/>
            <w:tcMar>
              <w:top w:w="5" w:type="dxa"/>
              <w:left w:w="113" w:type="dxa"/>
              <w:bottom w:w="5" w:type="dxa"/>
              <w:right w:w="113" w:type="dxa"/>
            </w:tcMar>
            <w:hideMark/>
          </w:tcPr>
          <w:p w14:paraId="1E8810A0" w14:textId="5D18E22B" w:rsidR="00592C29" w:rsidRDefault="0048296D" w:rsidP="000B2F38">
            <w:pPr>
              <w:spacing w:after="120" w:line="276" w:lineRule="auto"/>
              <w:rPr>
                <w:color w:val="000000"/>
                <w:sz w:val="22"/>
                <w:szCs w:val="22"/>
              </w:rPr>
            </w:pPr>
            <w:r>
              <w:rPr>
                <w:rFonts w:ascii="Trebuchet MS" w:eastAsia="Trebuchet MS" w:hAnsi="Trebuchet MS" w:cs="Trebuchet MS"/>
                <w:color w:val="000000"/>
                <w:sz w:val="22"/>
                <w:szCs w:val="22"/>
              </w:rPr>
              <w:t>None, unless otherwise specified here by any of the claims</w:t>
            </w:r>
            <w:r>
              <w:rPr>
                <w:rFonts w:ascii="Trebuchet MS" w:eastAsia="Trebuchet MS" w:hAnsi="Trebuchet MS" w:cs="Trebuchet MS"/>
                <w:b/>
                <w:bCs/>
                <w:color w:val="000000"/>
                <w:sz w:val="22"/>
                <w:szCs w:val="22"/>
              </w:rPr>
              <w:t xml:space="preserve"> </w:t>
            </w:r>
            <w:r>
              <w:rPr>
                <w:rFonts w:ascii="Trebuchet MS" w:eastAsia="Trebuchet MS" w:hAnsi="Trebuchet MS" w:cs="Trebuchet MS"/>
                <w:color w:val="000000"/>
                <w:sz w:val="22"/>
                <w:szCs w:val="22"/>
              </w:rPr>
              <w:t>agreement parties shown above.</w:t>
            </w:r>
          </w:p>
          <w:p w14:paraId="64F2828B" w14:textId="77777777" w:rsidR="00592C29" w:rsidRDefault="00592C29" w:rsidP="000B2F38">
            <w:pPr>
              <w:spacing w:after="120" w:line="276" w:lineRule="auto"/>
              <w:rPr>
                <w:color w:val="000000"/>
                <w:sz w:val="22"/>
                <w:szCs w:val="22"/>
              </w:rPr>
            </w:pPr>
          </w:p>
          <w:p w14:paraId="46870615" w14:textId="77777777" w:rsidR="00592C29" w:rsidRDefault="00592C29" w:rsidP="000B2F38">
            <w:pPr>
              <w:spacing w:after="120" w:line="276" w:lineRule="auto"/>
              <w:rPr>
                <w:color w:val="000000"/>
                <w:sz w:val="22"/>
                <w:szCs w:val="22"/>
              </w:rPr>
            </w:pPr>
          </w:p>
          <w:p w14:paraId="45012992" w14:textId="77777777" w:rsidR="00592C29" w:rsidRDefault="00592C29" w:rsidP="000B2F38">
            <w:pPr>
              <w:spacing w:after="120" w:line="276" w:lineRule="auto"/>
              <w:rPr>
                <w:color w:val="000000"/>
                <w:sz w:val="22"/>
                <w:szCs w:val="22"/>
              </w:rPr>
            </w:pPr>
          </w:p>
        </w:tc>
      </w:tr>
      <w:tr w:rsidR="00592C29" w14:paraId="1D02F0EF" w14:textId="77777777">
        <w:tc>
          <w:tcPr>
            <w:tcW w:w="2376" w:type="dxa"/>
            <w:tcMar>
              <w:top w:w="5" w:type="dxa"/>
              <w:left w:w="113" w:type="dxa"/>
              <w:bottom w:w="5" w:type="dxa"/>
              <w:right w:w="113" w:type="dxa"/>
            </w:tcMar>
            <w:hideMark/>
          </w:tcPr>
          <w:p w14:paraId="408D55C7" w14:textId="77777777" w:rsidR="00592C29" w:rsidRDefault="0048296D" w:rsidP="005E403C">
            <w:pPr>
              <w:spacing w:line="276" w:lineRule="auto"/>
              <w:rPr>
                <w:color w:val="000000"/>
                <w:sz w:val="22"/>
                <w:szCs w:val="22"/>
              </w:rPr>
            </w:pPr>
            <w:r>
              <w:rPr>
                <w:rFonts w:ascii="Trebuchet MS" w:eastAsia="Trebuchet MS" w:hAnsi="Trebuchet MS" w:cs="Trebuchet MS"/>
                <w:b/>
                <w:bCs/>
                <w:color w:val="000000"/>
                <w:sz w:val="22"/>
                <w:szCs w:val="22"/>
              </w:rPr>
              <w:t>EXPERT(S) FEES COLLECTION:</w:t>
            </w:r>
          </w:p>
        </w:tc>
        <w:tc>
          <w:tcPr>
            <w:tcW w:w="7371" w:type="dxa"/>
            <w:tcMar>
              <w:top w:w="5" w:type="dxa"/>
              <w:left w:w="113" w:type="dxa"/>
              <w:bottom w:w="5" w:type="dxa"/>
              <w:right w:w="113" w:type="dxa"/>
            </w:tcMar>
            <w:hideMark/>
          </w:tcPr>
          <w:p w14:paraId="09209467" w14:textId="77777777" w:rsidR="00592C29" w:rsidRDefault="0048296D" w:rsidP="000B2F38">
            <w:pPr>
              <w:spacing w:after="120" w:line="276" w:lineRule="auto"/>
              <w:rPr>
                <w:color w:val="000000"/>
                <w:sz w:val="22"/>
                <w:szCs w:val="22"/>
              </w:rPr>
            </w:pPr>
            <w:r>
              <w:rPr>
                <w:rFonts w:ascii="Trebuchet MS" w:eastAsia="Trebuchet MS" w:hAnsi="Trebuchet MS" w:cs="Trebuchet MS"/>
                <w:color w:val="000000"/>
                <w:sz w:val="22"/>
                <w:szCs w:val="22"/>
              </w:rPr>
              <w:t>ANO Ltd to collect fees for all contract security, including overseas.</w:t>
            </w:r>
          </w:p>
          <w:p w14:paraId="41E9F67B" w14:textId="77777777" w:rsidR="00592C29" w:rsidRDefault="00592C29" w:rsidP="000B2F38">
            <w:pPr>
              <w:spacing w:after="120" w:line="276" w:lineRule="auto"/>
              <w:rPr>
                <w:color w:val="000000"/>
                <w:sz w:val="22"/>
                <w:szCs w:val="22"/>
              </w:rPr>
            </w:pPr>
          </w:p>
          <w:p w14:paraId="47A195F7" w14:textId="77777777" w:rsidR="00592C29" w:rsidRDefault="00592C29" w:rsidP="000B2F38">
            <w:pPr>
              <w:spacing w:after="120" w:line="276" w:lineRule="auto"/>
              <w:rPr>
                <w:color w:val="000000"/>
                <w:sz w:val="22"/>
                <w:szCs w:val="22"/>
              </w:rPr>
            </w:pPr>
          </w:p>
        </w:tc>
      </w:tr>
      <w:tr w:rsidR="00592C29" w14:paraId="1919C4BD" w14:textId="77777777">
        <w:tc>
          <w:tcPr>
            <w:tcW w:w="2376" w:type="dxa"/>
            <w:tcMar>
              <w:top w:w="5" w:type="dxa"/>
              <w:left w:w="113" w:type="dxa"/>
              <w:bottom w:w="5" w:type="dxa"/>
              <w:right w:w="113" w:type="dxa"/>
            </w:tcMar>
            <w:hideMark/>
          </w:tcPr>
          <w:p w14:paraId="14E1D040" w14:textId="77777777" w:rsidR="00592C29" w:rsidRDefault="0048296D" w:rsidP="005E403C">
            <w:pPr>
              <w:spacing w:line="276" w:lineRule="auto"/>
              <w:rPr>
                <w:color w:val="000000"/>
                <w:sz w:val="22"/>
                <w:szCs w:val="22"/>
              </w:rPr>
            </w:pPr>
            <w:r>
              <w:rPr>
                <w:rFonts w:ascii="Trebuchet MS" w:eastAsia="Trebuchet MS" w:hAnsi="Trebuchet MS" w:cs="Trebuchet MS"/>
                <w:b/>
                <w:bCs/>
                <w:color w:val="000000"/>
                <w:sz w:val="22"/>
                <w:szCs w:val="22"/>
              </w:rPr>
              <w:t>SETTLEMENT DUE DATE:</w:t>
            </w:r>
            <w:r>
              <w:rPr>
                <w:rFonts w:ascii="Trebuchet MS" w:eastAsia="Trebuchet MS" w:hAnsi="Trebuchet MS" w:cs="Trebuchet MS"/>
                <w:color w:val="000000"/>
                <w:sz w:val="22"/>
                <w:szCs w:val="22"/>
              </w:rPr>
              <w:tab/>
            </w:r>
          </w:p>
        </w:tc>
        <w:tc>
          <w:tcPr>
            <w:tcW w:w="7371" w:type="dxa"/>
            <w:tcMar>
              <w:top w:w="5" w:type="dxa"/>
              <w:left w:w="113" w:type="dxa"/>
              <w:bottom w:w="5" w:type="dxa"/>
              <w:right w:w="113" w:type="dxa"/>
            </w:tcMar>
            <w:hideMark/>
          </w:tcPr>
          <w:p w14:paraId="35FEEF68" w14:textId="77777777" w:rsidR="00592C29" w:rsidRDefault="0048296D" w:rsidP="000B2F38">
            <w:pPr>
              <w:spacing w:after="120" w:line="276" w:lineRule="auto"/>
              <w:rPr>
                <w:color w:val="000000"/>
                <w:sz w:val="22"/>
                <w:szCs w:val="22"/>
              </w:rPr>
            </w:pPr>
            <w:r>
              <w:rPr>
                <w:rFonts w:ascii="Trebuchet MS" w:eastAsia="Trebuchet MS" w:hAnsi="Trebuchet MS" w:cs="Trebuchet MS"/>
                <w:color w:val="000000"/>
                <w:sz w:val="22"/>
                <w:szCs w:val="22"/>
              </w:rPr>
              <w:t>1</w:t>
            </w:r>
            <w:r>
              <w:rPr>
                <w:rFonts w:ascii="Trebuchet MS" w:eastAsia="Trebuchet MS" w:hAnsi="Trebuchet MS" w:cs="Trebuchet MS"/>
                <w:color w:val="000000"/>
                <w:sz w:val="22"/>
                <w:szCs w:val="22"/>
                <w:vertAlign w:val="superscript"/>
              </w:rPr>
              <w:t>st</w:t>
            </w:r>
            <w:r>
              <w:rPr>
                <w:rFonts w:ascii="Trebuchet MS" w:eastAsia="Trebuchet MS" w:hAnsi="Trebuchet MS" w:cs="Trebuchet MS"/>
                <w:color w:val="000000"/>
                <w:sz w:val="22"/>
                <w:szCs w:val="22"/>
              </w:rPr>
              <w:t xml:space="preserve"> April YYYY.</w:t>
            </w:r>
          </w:p>
          <w:p w14:paraId="21AF945D" w14:textId="77777777" w:rsidR="00592C29" w:rsidRDefault="00592C29" w:rsidP="000B2F38">
            <w:pPr>
              <w:spacing w:after="120" w:line="276" w:lineRule="auto"/>
              <w:rPr>
                <w:color w:val="000000"/>
                <w:sz w:val="22"/>
                <w:szCs w:val="22"/>
              </w:rPr>
            </w:pPr>
          </w:p>
          <w:p w14:paraId="10333F8D" w14:textId="1231F5CE" w:rsidR="005E403C" w:rsidRDefault="005E403C" w:rsidP="000B2F38">
            <w:pPr>
              <w:spacing w:after="120" w:line="276" w:lineRule="auto"/>
              <w:rPr>
                <w:color w:val="000000"/>
                <w:sz w:val="22"/>
                <w:szCs w:val="22"/>
              </w:rPr>
            </w:pPr>
          </w:p>
        </w:tc>
      </w:tr>
      <w:tr w:rsidR="00592C29" w14:paraId="013DF385" w14:textId="77777777">
        <w:tc>
          <w:tcPr>
            <w:tcW w:w="2376" w:type="dxa"/>
            <w:tcMar>
              <w:top w:w="5" w:type="dxa"/>
              <w:left w:w="113" w:type="dxa"/>
              <w:bottom w:w="5" w:type="dxa"/>
              <w:right w:w="113" w:type="dxa"/>
            </w:tcMar>
            <w:hideMark/>
          </w:tcPr>
          <w:p w14:paraId="0C9D4933" w14:textId="77777777" w:rsidR="00592C29" w:rsidRDefault="0048296D" w:rsidP="005E403C">
            <w:pPr>
              <w:spacing w:line="276" w:lineRule="auto"/>
              <w:rPr>
                <w:color w:val="000000"/>
                <w:sz w:val="22"/>
                <w:szCs w:val="22"/>
              </w:rPr>
            </w:pPr>
            <w:r>
              <w:rPr>
                <w:rFonts w:ascii="Trebuchet MS" w:eastAsia="Trebuchet MS" w:hAnsi="Trebuchet MS" w:cs="Trebuchet MS"/>
                <w:b/>
                <w:bCs/>
                <w:color w:val="000000"/>
                <w:sz w:val="22"/>
                <w:szCs w:val="22"/>
              </w:rPr>
              <w:t xml:space="preserve">BUREAU </w:t>
            </w:r>
          </w:p>
          <w:p w14:paraId="090DE865" w14:textId="77777777" w:rsidR="00592C29" w:rsidRDefault="0048296D" w:rsidP="005E403C">
            <w:pPr>
              <w:spacing w:line="276" w:lineRule="auto"/>
              <w:ind w:left="3600" w:hanging="3600"/>
              <w:rPr>
                <w:color w:val="000000"/>
                <w:sz w:val="22"/>
                <w:szCs w:val="22"/>
              </w:rPr>
            </w:pPr>
            <w:r>
              <w:rPr>
                <w:rFonts w:ascii="Trebuchet MS" w:eastAsia="Trebuchet MS" w:hAnsi="Trebuchet MS" w:cs="Trebuchet MS"/>
                <w:b/>
                <w:bCs/>
                <w:color w:val="000000"/>
                <w:sz w:val="22"/>
                <w:szCs w:val="22"/>
              </w:rPr>
              <w:t>ARRANGEMENTS:</w:t>
            </w:r>
          </w:p>
          <w:p w14:paraId="75992D60" w14:textId="77777777" w:rsidR="00592C29" w:rsidRDefault="00592C29" w:rsidP="005E403C">
            <w:pPr>
              <w:spacing w:line="276" w:lineRule="auto"/>
              <w:rPr>
                <w:color w:val="000000"/>
                <w:sz w:val="22"/>
                <w:szCs w:val="22"/>
              </w:rPr>
            </w:pPr>
          </w:p>
        </w:tc>
        <w:tc>
          <w:tcPr>
            <w:tcW w:w="7371" w:type="dxa"/>
            <w:tcMar>
              <w:top w:w="5" w:type="dxa"/>
              <w:left w:w="113" w:type="dxa"/>
              <w:bottom w:w="5" w:type="dxa"/>
              <w:right w:w="113" w:type="dxa"/>
            </w:tcMar>
          </w:tcPr>
          <w:p w14:paraId="106EAF0B" w14:textId="77777777" w:rsidR="00592C29" w:rsidRDefault="00592C29" w:rsidP="000B2F38">
            <w:pPr>
              <w:spacing w:after="120" w:line="276" w:lineRule="auto"/>
              <w:rPr>
                <w:color w:val="000000"/>
                <w:sz w:val="22"/>
                <w:szCs w:val="22"/>
              </w:rPr>
            </w:pPr>
          </w:p>
        </w:tc>
      </w:tr>
    </w:tbl>
    <w:p w14:paraId="502A6E9A" w14:textId="77777777" w:rsidR="00592C29" w:rsidRDefault="0048296D">
      <w:pPr>
        <w:spacing w:after="200" w:line="276" w:lineRule="auto"/>
        <w:rPr>
          <w:sz w:val="22"/>
          <w:szCs w:val="22"/>
        </w:rPr>
      </w:pPr>
      <w:r>
        <w:rPr>
          <w:sz w:val="22"/>
          <w:szCs w:val="22"/>
        </w:rPr>
        <w:br w:type="page"/>
      </w:r>
    </w:p>
    <w:tbl>
      <w:tblPr>
        <w:tblW w:w="9747" w:type="dxa"/>
        <w:tblInd w:w="113" w:type="dxa"/>
        <w:tblCellMar>
          <w:left w:w="0" w:type="dxa"/>
          <w:right w:w="0" w:type="dxa"/>
        </w:tblCellMar>
        <w:tblLook w:val="04A0" w:firstRow="1" w:lastRow="0" w:firstColumn="1" w:lastColumn="0" w:noHBand="0" w:noVBand="1"/>
      </w:tblPr>
      <w:tblGrid>
        <w:gridCol w:w="2376"/>
        <w:gridCol w:w="7371"/>
      </w:tblGrid>
      <w:tr w:rsidR="00592C29" w14:paraId="6E389780" w14:textId="77777777">
        <w:tc>
          <w:tcPr>
            <w:tcW w:w="9747" w:type="dxa"/>
            <w:gridSpan w:val="2"/>
            <w:tcMar>
              <w:top w:w="5" w:type="dxa"/>
              <w:left w:w="113" w:type="dxa"/>
              <w:bottom w:w="5" w:type="dxa"/>
              <w:right w:w="113" w:type="dxa"/>
            </w:tcMar>
            <w:hideMark/>
          </w:tcPr>
          <w:p w14:paraId="06E1E07E" w14:textId="01C94039" w:rsidR="00592C29" w:rsidRDefault="0048296D">
            <w:pPr>
              <w:spacing w:after="200" w:line="276" w:lineRule="auto"/>
              <w:rPr>
                <w:rFonts w:ascii="Trebuchet MS" w:eastAsia="Trebuchet MS" w:hAnsi="Trebuchet MS" w:cs="Trebuchet MS"/>
                <w:b/>
                <w:bCs/>
                <w:color w:val="000000"/>
                <w:sz w:val="40"/>
                <w:szCs w:val="40"/>
              </w:rPr>
            </w:pPr>
            <w:r>
              <w:rPr>
                <w:rFonts w:ascii="Trebuchet MS" w:eastAsia="Trebuchet MS" w:hAnsi="Trebuchet MS" w:cs="Trebuchet MS"/>
                <w:b/>
                <w:bCs/>
                <w:color w:val="000000"/>
                <w:sz w:val="40"/>
                <w:szCs w:val="40"/>
              </w:rPr>
              <w:lastRenderedPageBreak/>
              <w:t>Fiscal and Regulatory</w:t>
            </w:r>
          </w:p>
          <w:p w14:paraId="20B17FC2" w14:textId="77777777" w:rsidR="005E403C" w:rsidRDefault="005E403C">
            <w:pPr>
              <w:spacing w:after="200" w:line="276" w:lineRule="auto"/>
              <w:rPr>
                <w:color w:val="000000"/>
                <w:sz w:val="40"/>
                <w:szCs w:val="40"/>
              </w:rPr>
            </w:pPr>
          </w:p>
          <w:p w14:paraId="226DED62" w14:textId="77777777" w:rsidR="00592C29" w:rsidRDefault="00592C29">
            <w:pPr>
              <w:spacing w:after="120" w:line="276" w:lineRule="auto"/>
              <w:rPr>
                <w:color w:val="000000"/>
                <w:sz w:val="22"/>
                <w:szCs w:val="22"/>
              </w:rPr>
            </w:pPr>
          </w:p>
        </w:tc>
      </w:tr>
      <w:tr w:rsidR="00592C29" w14:paraId="4C063702" w14:textId="77777777">
        <w:tc>
          <w:tcPr>
            <w:tcW w:w="2376" w:type="dxa"/>
            <w:tcMar>
              <w:top w:w="5" w:type="dxa"/>
              <w:left w:w="113" w:type="dxa"/>
              <w:bottom w:w="5" w:type="dxa"/>
              <w:right w:w="113" w:type="dxa"/>
            </w:tcMar>
            <w:hideMark/>
          </w:tcPr>
          <w:p w14:paraId="0C18ED9C" w14:textId="77777777" w:rsidR="00592C29" w:rsidRDefault="0048296D" w:rsidP="000B2F38">
            <w:pPr>
              <w:spacing w:line="276" w:lineRule="auto"/>
              <w:rPr>
                <w:color w:val="000000"/>
                <w:sz w:val="22"/>
                <w:szCs w:val="22"/>
              </w:rPr>
            </w:pPr>
            <w:r>
              <w:rPr>
                <w:rFonts w:ascii="Trebuchet MS" w:eastAsia="Trebuchet MS" w:hAnsi="Trebuchet MS" w:cs="Trebuchet MS"/>
                <w:b/>
                <w:bCs/>
                <w:color w:val="000000"/>
                <w:sz w:val="22"/>
                <w:szCs w:val="22"/>
              </w:rPr>
              <w:t>TAX PAYABLE BY INSURER(S):</w:t>
            </w:r>
          </w:p>
        </w:tc>
        <w:tc>
          <w:tcPr>
            <w:tcW w:w="7371" w:type="dxa"/>
            <w:tcMar>
              <w:top w:w="5" w:type="dxa"/>
              <w:left w:w="113" w:type="dxa"/>
              <w:bottom w:w="5" w:type="dxa"/>
              <w:right w:w="113" w:type="dxa"/>
            </w:tcMar>
            <w:hideMark/>
          </w:tcPr>
          <w:p w14:paraId="33602090" w14:textId="77777777" w:rsidR="00592C29" w:rsidRDefault="0048296D" w:rsidP="000B2F38">
            <w:pPr>
              <w:spacing w:after="120" w:line="276" w:lineRule="auto"/>
              <w:ind w:left="1701" w:hanging="1701"/>
              <w:rPr>
                <w:color w:val="000000"/>
                <w:sz w:val="22"/>
                <w:szCs w:val="22"/>
              </w:rPr>
            </w:pPr>
            <w:r>
              <w:rPr>
                <w:rFonts w:ascii="Trebuchet MS" w:eastAsia="Trebuchet MS" w:hAnsi="Trebuchet MS" w:cs="Trebuchet MS"/>
                <w:color w:val="000000"/>
                <w:sz w:val="22"/>
                <w:szCs w:val="22"/>
              </w:rPr>
              <w:t>UK</w:t>
            </w:r>
            <w:r>
              <w:rPr>
                <w:rFonts w:ascii="Trebuchet MS" w:eastAsia="Trebuchet MS" w:hAnsi="Trebuchet MS" w:cs="Trebuchet MS"/>
                <w:color w:val="000000"/>
                <w:sz w:val="22"/>
                <w:szCs w:val="22"/>
              </w:rPr>
              <w:tab/>
              <w:t>None applicable</w:t>
            </w:r>
          </w:p>
          <w:p w14:paraId="09CDF235" w14:textId="77777777" w:rsidR="00592C29" w:rsidRDefault="0048296D" w:rsidP="000B2F38">
            <w:pPr>
              <w:spacing w:after="120" w:line="276" w:lineRule="auto"/>
              <w:ind w:left="1701" w:hanging="1701"/>
              <w:rPr>
                <w:color w:val="000000"/>
                <w:sz w:val="22"/>
                <w:szCs w:val="22"/>
              </w:rPr>
            </w:pPr>
            <w:r>
              <w:rPr>
                <w:rFonts w:ascii="Trebuchet MS" w:eastAsia="Trebuchet MS" w:hAnsi="Trebuchet MS" w:cs="Trebuchet MS"/>
                <w:color w:val="000000"/>
                <w:sz w:val="22"/>
                <w:szCs w:val="22"/>
              </w:rPr>
              <w:t>Spain</w:t>
            </w:r>
            <w:r>
              <w:rPr>
                <w:rFonts w:ascii="Trebuchet MS" w:eastAsia="Trebuchet MS" w:hAnsi="Trebuchet MS" w:cs="Trebuchet MS"/>
                <w:color w:val="000000"/>
                <w:sz w:val="22"/>
                <w:szCs w:val="22"/>
              </w:rPr>
              <w:tab/>
              <w:t>Fire Brigade Charge at 5% of 20% of Gross Premium apportioned to fire only risks (GBP 40,000)</w:t>
            </w:r>
          </w:p>
          <w:p w14:paraId="3CD19014" w14:textId="77777777" w:rsidR="00592C29" w:rsidRDefault="0048296D" w:rsidP="000B2F38">
            <w:pPr>
              <w:spacing w:after="120" w:line="276" w:lineRule="auto"/>
              <w:ind w:left="1701" w:hanging="1701"/>
              <w:rPr>
                <w:color w:val="000000"/>
                <w:sz w:val="22"/>
                <w:szCs w:val="22"/>
              </w:rPr>
            </w:pPr>
            <w:r>
              <w:rPr>
                <w:rFonts w:ascii="Trebuchet MS" w:eastAsia="Trebuchet MS" w:hAnsi="Trebuchet MS" w:cs="Trebuchet MS"/>
                <w:color w:val="000000"/>
                <w:sz w:val="22"/>
                <w:szCs w:val="22"/>
              </w:rPr>
              <w:t>Austria</w:t>
            </w:r>
            <w:r>
              <w:rPr>
                <w:rFonts w:ascii="Trebuchet MS" w:eastAsia="Trebuchet MS" w:hAnsi="Trebuchet MS" w:cs="Trebuchet MS"/>
                <w:color w:val="000000"/>
                <w:sz w:val="22"/>
                <w:szCs w:val="22"/>
              </w:rPr>
              <w:tab/>
              <w:t xml:space="preserve">Fire Brigade Charge at 4% of 20% of Gross Premium apportioned to fire only risks (GBP 10,000).  </w:t>
            </w:r>
          </w:p>
          <w:p w14:paraId="4E912B47" w14:textId="77777777" w:rsidR="00592C29" w:rsidRDefault="0048296D" w:rsidP="000B2F38">
            <w:pPr>
              <w:tabs>
                <w:tab w:val="left" w:pos="1701"/>
              </w:tabs>
              <w:spacing w:after="120" w:line="276" w:lineRule="auto"/>
              <w:ind w:left="1701" w:hanging="1701"/>
              <w:rPr>
                <w:color w:val="000000"/>
                <w:sz w:val="22"/>
                <w:szCs w:val="22"/>
              </w:rPr>
            </w:pPr>
            <w:r>
              <w:rPr>
                <w:rFonts w:ascii="Trebuchet MS" w:eastAsia="Trebuchet MS" w:hAnsi="Trebuchet MS" w:cs="Trebuchet MS"/>
                <w:color w:val="000000"/>
                <w:sz w:val="22"/>
                <w:szCs w:val="22"/>
              </w:rPr>
              <w:t>New Zealand</w:t>
            </w:r>
            <w:r>
              <w:rPr>
                <w:rFonts w:ascii="Trebuchet MS" w:eastAsia="Trebuchet MS" w:hAnsi="Trebuchet MS" w:cs="Trebuchet MS"/>
                <w:color w:val="000000"/>
                <w:sz w:val="22"/>
                <w:szCs w:val="22"/>
              </w:rPr>
              <w:tab/>
              <w:t>Income Tax and Fire Services Commission administered by the insured/their agent as specified within Risk Details.</w:t>
            </w:r>
          </w:p>
          <w:p w14:paraId="6145C0E7" w14:textId="77777777" w:rsidR="00592C29" w:rsidRDefault="00592C29" w:rsidP="000B2F38">
            <w:pPr>
              <w:spacing w:after="120" w:line="276" w:lineRule="auto"/>
              <w:rPr>
                <w:color w:val="000000"/>
                <w:sz w:val="22"/>
                <w:szCs w:val="22"/>
              </w:rPr>
            </w:pPr>
          </w:p>
        </w:tc>
      </w:tr>
      <w:tr w:rsidR="00592C29" w14:paraId="69D08B74" w14:textId="77777777">
        <w:tc>
          <w:tcPr>
            <w:tcW w:w="2376" w:type="dxa"/>
            <w:tcMar>
              <w:top w:w="5" w:type="dxa"/>
              <w:left w:w="113" w:type="dxa"/>
              <w:bottom w:w="5" w:type="dxa"/>
              <w:right w:w="113" w:type="dxa"/>
            </w:tcMar>
            <w:hideMark/>
          </w:tcPr>
          <w:p w14:paraId="25792072" w14:textId="77777777" w:rsidR="00592C29" w:rsidRDefault="0048296D" w:rsidP="000B2F38">
            <w:pPr>
              <w:spacing w:line="276" w:lineRule="auto"/>
              <w:rPr>
                <w:color w:val="000000"/>
                <w:sz w:val="22"/>
                <w:szCs w:val="22"/>
              </w:rPr>
            </w:pPr>
            <w:r>
              <w:rPr>
                <w:rFonts w:ascii="Trebuchet MS" w:eastAsia="Trebuchet MS" w:hAnsi="Trebuchet MS" w:cs="Trebuchet MS"/>
                <w:b/>
                <w:bCs/>
                <w:color w:val="000000"/>
                <w:sz w:val="22"/>
                <w:szCs w:val="22"/>
              </w:rPr>
              <w:t>COUNTRY OF ORIGIN:</w:t>
            </w:r>
          </w:p>
          <w:p w14:paraId="32DE6B4A" w14:textId="77777777" w:rsidR="00592C29" w:rsidRDefault="00592C29" w:rsidP="000B2F38">
            <w:pPr>
              <w:spacing w:line="276" w:lineRule="auto"/>
              <w:rPr>
                <w:color w:val="000000"/>
                <w:sz w:val="22"/>
                <w:szCs w:val="22"/>
              </w:rPr>
            </w:pPr>
          </w:p>
          <w:p w14:paraId="19C6C05D" w14:textId="77777777" w:rsidR="00592C29" w:rsidRDefault="00592C29" w:rsidP="000B2F38">
            <w:pPr>
              <w:spacing w:line="276" w:lineRule="auto"/>
              <w:rPr>
                <w:color w:val="000000"/>
                <w:sz w:val="22"/>
                <w:szCs w:val="22"/>
              </w:rPr>
            </w:pPr>
          </w:p>
        </w:tc>
        <w:tc>
          <w:tcPr>
            <w:tcW w:w="7371" w:type="dxa"/>
            <w:tcMar>
              <w:top w:w="5" w:type="dxa"/>
              <w:left w:w="113" w:type="dxa"/>
              <w:bottom w:w="5" w:type="dxa"/>
              <w:right w:w="113" w:type="dxa"/>
            </w:tcMar>
            <w:hideMark/>
          </w:tcPr>
          <w:p w14:paraId="78CE7863" w14:textId="77777777" w:rsidR="00592C29" w:rsidRDefault="0048296D" w:rsidP="000B2F38">
            <w:pPr>
              <w:spacing w:after="120" w:line="276" w:lineRule="auto"/>
              <w:rPr>
                <w:color w:val="000000"/>
                <w:sz w:val="22"/>
                <w:szCs w:val="22"/>
              </w:rPr>
            </w:pPr>
            <w:r>
              <w:rPr>
                <w:rFonts w:ascii="Trebuchet MS" w:eastAsia="Trebuchet MS" w:hAnsi="Trebuchet MS" w:cs="Trebuchet MS"/>
                <w:color w:val="000000"/>
                <w:sz w:val="22"/>
                <w:szCs w:val="22"/>
              </w:rPr>
              <w:t>UK</w:t>
            </w:r>
          </w:p>
          <w:p w14:paraId="66B698A5" w14:textId="77777777" w:rsidR="00592C29" w:rsidRDefault="00592C29" w:rsidP="000B2F38">
            <w:pPr>
              <w:spacing w:after="120" w:line="276" w:lineRule="auto"/>
              <w:rPr>
                <w:color w:val="000000"/>
                <w:sz w:val="22"/>
                <w:szCs w:val="22"/>
              </w:rPr>
            </w:pPr>
          </w:p>
          <w:p w14:paraId="060ADD18" w14:textId="77777777" w:rsidR="00592C29" w:rsidRDefault="00592C29" w:rsidP="000B2F38">
            <w:pPr>
              <w:spacing w:after="120" w:line="276" w:lineRule="auto"/>
              <w:rPr>
                <w:color w:val="000000"/>
                <w:sz w:val="22"/>
                <w:szCs w:val="22"/>
              </w:rPr>
            </w:pPr>
          </w:p>
        </w:tc>
      </w:tr>
      <w:tr w:rsidR="00592C29" w14:paraId="456B7ECF" w14:textId="77777777">
        <w:tc>
          <w:tcPr>
            <w:tcW w:w="2376" w:type="dxa"/>
            <w:tcMar>
              <w:top w:w="5" w:type="dxa"/>
              <w:left w:w="113" w:type="dxa"/>
              <w:bottom w:w="5" w:type="dxa"/>
              <w:right w:w="113" w:type="dxa"/>
            </w:tcMar>
            <w:hideMark/>
          </w:tcPr>
          <w:p w14:paraId="0082C1A7" w14:textId="77777777" w:rsidR="00592C29" w:rsidRDefault="0048296D" w:rsidP="000B2F38">
            <w:pPr>
              <w:spacing w:line="276" w:lineRule="auto"/>
              <w:rPr>
                <w:color w:val="000000"/>
                <w:sz w:val="22"/>
                <w:szCs w:val="22"/>
              </w:rPr>
            </w:pPr>
            <w:r>
              <w:rPr>
                <w:rFonts w:ascii="Trebuchet MS" w:eastAsia="Trebuchet MS" w:hAnsi="Trebuchet MS" w:cs="Trebuchet MS"/>
                <w:b/>
                <w:bCs/>
                <w:color w:val="000000"/>
                <w:sz w:val="22"/>
                <w:szCs w:val="22"/>
              </w:rPr>
              <w:t>REGULATORY RISK LOCATION:</w:t>
            </w:r>
          </w:p>
        </w:tc>
        <w:tc>
          <w:tcPr>
            <w:tcW w:w="7371" w:type="dxa"/>
            <w:tcMar>
              <w:top w:w="5" w:type="dxa"/>
              <w:left w:w="113" w:type="dxa"/>
              <w:bottom w:w="5" w:type="dxa"/>
              <w:right w:w="113" w:type="dxa"/>
            </w:tcMar>
            <w:hideMark/>
          </w:tcPr>
          <w:p w14:paraId="334BD559" w14:textId="77777777" w:rsidR="00592C29" w:rsidRDefault="0048296D" w:rsidP="000B2F38">
            <w:pPr>
              <w:spacing w:after="120" w:line="276" w:lineRule="auto"/>
              <w:rPr>
                <w:color w:val="000000"/>
                <w:sz w:val="22"/>
                <w:szCs w:val="22"/>
              </w:rPr>
            </w:pPr>
            <w:r>
              <w:rPr>
                <w:rFonts w:ascii="Trebuchet MS" w:eastAsia="Trebuchet MS" w:hAnsi="Trebuchet MS" w:cs="Trebuchet MS"/>
                <w:color w:val="000000"/>
                <w:sz w:val="22"/>
                <w:szCs w:val="22"/>
              </w:rPr>
              <w:t xml:space="preserve">UK </w:t>
            </w:r>
            <w:r>
              <w:rPr>
                <w:rFonts w:ascii="Trebuchet MS" w:eastAsia="Trebuchet MS" w:hAnsi="Trebuchet MS" w:cs="Trebuchet MS"/>
                <w:color w:val="000000"/>
                <w:sz w:val="22"/>
                <w:szCs w:val="22"/>
              </w:rPr>
              <w:tab/>
            </w:r>
            <w:r>
              <w:rPr>
                <w:rFonts w:ascii="Trebuchet MS" w:eastAsia="Trebuchet MS" w:hAnsi="Trebuchet MS" w:cs="Trebuchet MS"/>
                <w:color w:val="000000"/>
                <w:sz w:val="22"/>
                <w:szCs w:val="22"/>
              </w:rPr>
              <w:tab/>
            </w:r>
            <w:r>
              <w:rPr>
                <w:rFonts w:ascii="Trebuchet MS" w:eastAsia="Trebuchet MS" w:hAnsi="Trebuchet MS" w:cs="Trebuchet MS"/>
                <w:color w:val="000000"/>
                <w:sz w:val="22"/>
                <w:szCs w:val="22"/>
              </w:rPr>
              <w:tab/>
            </w:r>
          </w:p>
          <w:p w14:paraId="7F447B37" w14:textId="77777777" w:rsidR="00592C29" w:rsidRDefault="0048296D" w:rsidP="000B2F38">
            <w:pPr>
              <w:spacing w:after="120" w:line="276" w:lineRule="auto"/>
              <w:rPr>
                <w:color w:val="000000"/>
                <w:sz w:val="22"/>
                <w:szCs w:val="22"/>
              </w:rPr>
            </w:pPr>
            <w:r>
              <w:rPr>
                <w:rFonts w:ascii="Trebuchet MS" w:eastAsia="Trebuchet MS" w:hAnsi="Trebuchet MS" w:cs="Trebuchet MS"/>
                <w:color w:val="000000"/>
                <w:sz w:val="22"/>
                <w:szCs w:val="22"/>
              </w:rPr>
              <w:t xml:space="preserve">Spain </w:t>
            </w:r>
            <w:r>
              <w:rPr>
                <w:rFonts w:ascii="Trebuchet MS" w:eastAsia="Trebuchet MS" w:hAnsi="Trebuchet MS" w:cs="Trebuchet MS"/>
                <w:color w:val="000000"/>
                <w:sz w:val="22"/>
                <w:szCs w:val="22"/>
              </w:rPr>
              <w:tab/>
            </w:r>
            <w:r>
              <w:rPr>
                <w:rFonts w:ascii="Trebuchet MS" w:eastAsia="Trebuchet MS" w:hAnsi="Trebuchet MS" w:cs="Trebuchet MS"/>
                <w:color w:val="000000"/>
                <w:sz w:val="22"/>
                <w:szCs w:val="22"/>
              </w:rPr>
              <w:tab/>
            </w:r>
          </w:p>
          <w:p w14:paraId="0137E80E" w14:textId="77777777" w:rsidR="00592C29" w:rsidRDefault="0048296D" w:rsidP="000B2F38">
            <w:pPr>
              <w:spacing w:after="120" w:line="276" w:lineRule="auto"/>
              <w:rPr>
                <w:color w:val="000000"/>
                <w:sz w:val="22"/>
                <w:szCs w:val="22"/>
              </w:rPr>
            </w:pPr>
            <w:r>
              <w:rPr>
                <w:rFonts w:ascii="Trebuchet MS" w:eastAsia="Trebuchet MS" w:hAnsi="Trebuchet MS" w:cs="Trebuchet MS"/>
                <w:color w:val="000000"/>
                <w:sz w:val="22"/>
                <w:szCs w:val="22"/>
              </w:rPr>
              <w:t xml:space="preserve">Austria </w:t>
            </w:r>
            <w:r>
              <w:rPr>
                <w:rFonts w:ascii="Trebuchet MS" w:eastAsia="Trebuchet MS" w:hAnsi="Trebuchet MS" w:cs="Trebuchet MS"/>
                <w:color w:val="000000"/>
                <w:sz w:val="22"/>
                <w:szCs w:val="22"/>
              </w:rPr>
              <w:tab/>
              <w:t xml:space="preserve">  </w:t>
            </w:r>
            <w:r>
              <w:rPr>
                <w:rFonts w:ascii="Trebuchet MS" w:eastAsia="Trebuchet MS" w:hAnsi="Trebuchet MS" w:cs="Trebuchet MS"/>
                <w:color w:val="000000"/>
                <w:sz w:val="22"/>
                <w:szCs w:val="22"/>
              </w:rPr>
              <w:tab/>
              <w:t xml:space="preserve"> </w:t>
            </w:r>
          </w:p>
          <w:p w14:paraId="58CE0EB7" w14:textId="757F2870" w:rsidR="00592C29" w:rsidRDefault="0048296D" w:rsidP="000B2F38">
            <w:pPr>
              <w:spacing w:after="120" w:line="276" w:lineRule="auto"/>
              <w:rPr>
                <w:color w:val="000000"/>
                <w:sz w:val="22"/>
                <w:szCs w:val="22"/>
              </w:rPr>
            </w:pPr>
            <w:r>
              <w:rPr>
                <w:rFonts w:ascii="Trebuchet MS" w:eastAsia="Trebuchet MS" w:hAnsi="Trebuchet MS" w:cs="Trebuchet MS"/>
                <w:color w:val="000000"/>
                <w:sz w:val="22"/>
                <w:szCs w:val="22"/>
              </w:rPr>
              <w:t>New Zealand</w:t>
            </w:r>
          </w:p>
          <w:p w14:paraId="42CCC9EE" w14:textId="77777777" w:rsidR="00592C29" w:rsidRDefault="00592C29" w:rsidP="000B2F38">
            <w:pPr>
              <w:spacing w:after="120" w:line="276" w:lineRule="auto"/>
              <w:rPr>
                <w:color w:val="000000"/>
                <w:sz w:val="22"/>
                <w:szCs w:val="22"/>
              </w:rPr>
            </w:pPr>
          </w:p>
        </w:tc>
      </w:tr>
      <w:tr w:rsidR="00592C29" w14:paraId="6B093DEF" w14:textId="77777777">
        <w:tc>
          <w:tcPr>
            <w:tcW w:w="2376" w:type="dxa"/>
            <w:tcMar>
              <w:top w:w="5" w:type="dxa"/>
              <w:left w:w="113" w:type="dxa"/>
              <w:bottom w:w="5" w:type="dxa"/>
              <w:right w:w="113" w:type="dxa"/>
            </w:tcMar>
            <w:hideMark/>
          </w:tcPr>
          <w:p w14:paraId="47ECB2C0" w14:textId="77777777" w:rsidR="00592C29" w:rsidRDefault="0048296D" w:rsidP="000B2F38">
            <w:pPr>
              <w:spacing w:line="276" w:lineRule="auto"/>
              <w:rPr>
                <w:color w:val="000000"/>
                <w:sz w:val="22"/>
                <w:szCs w:val="22"/>
              </w:rPr>
            </w:pPr>
            <w:r>
              <w:rPr>
                <w:rFonts w:ascii="Trebuchet MS" w:eastAsia="Trebuchet MS" w:hAnsi="Trebuchet MS" w:cs="Trebuchet MS"/>
                <w:b/>
                <w:bCs/>
                <w:color w:val="000000"/>
                <w:sz w:val="22"/>
                <w:szCs w:val="22"/>
              </w:rPr>
              <w:t>OVERSEAS BROKER:</w:t>
            </w:r>
          </w:p>
          <w:p w14:paraId="5E924AA3" w14:textId="77777777" w:rsidR="00592C29" w:rsidRDefault="00592C29" w:rsidP="000B2F38">
            <w:pPr>
              <w:spacing w:line="276" w:lineRule="auto"/>
              <w:rPr>
                <w:color w:val="000000"/>
                <w:sz w:val="22"/>
                <w:szCs w:val="22"/>
              </w:rPr>
            </w:pPr>
          </w:p>
          <w:p w14:paraId="2D4635B8" w14:textId="77777777" w:rsidR="00592C29" w:rsidRDefault="00592C29" w:rsidP="000B2F38">
            <w:pPr>
              <w:spacing w:line="276" w:lineRule="auto"/>
              <w:rPr>
                <w:color w:val="000000"/>
                <w:sz w:val="22"/>
                <w:szCs w:val="22"/>
              </w:rPr>
            </w:pPr>
          </w:p>
        </w:tc>
        <w:tc>
          <w:tcPr>
            <w:tcW w:w="7371" w:type="dxa"/>
            <w:tcMar>
              <w:top w:w="5" w:type="dxa"/>
              <w:left w:w="113" w:type="dxa"/>
              <w:bottom w:w="5" w:type="dxa"/>
              <w:right w:w="113" w:type="dxa"/>
            </w:tcMar>
            <w:hideMark/>
          </w:tcPr>
          <w:p w14:paraId="798799E6" w14:textId="77777777" w:rsidR="00592C29" w:rsidRDefault="0048296D" w:rsidP="000B2F38">
            <w:pPr>
              <w:spacing w:after="120" w:line="276" w:lineRule="auto"/>
              <w:rPr>
                <w:color w:val="000000"/>
                <w:sz w:val="22"/>
                <w:szCs w:val="22"/>
              </w:rPr>
            </w:pPr>
            <w:r>
              <w:rPr>
                <w:rFonts w:ascii="Trebuchet MS" w:eastAsia="Trebuchet MS" w:hAnsi="Trebuchet MS" w:cs="Trebuchet MS"/>
                <w:color w:val="000000"/>
                <w:sz w:val="22"/>
                <w:szCs w:val="22"/>
              </w:rPr>
              <w:t>None</w:t>
            </w:r>
          </w:p>
          <w:p w14:paraId="62280663" w14:textId="77777777" w:rsidR="00592C29" w:rsidRDefault="00592C29" w:rsidP="000B2F38">
            <w:pPr>
              <w:spacing w:after="120" w:line="276" w:lineRule="auto"/>
              <w:rPr>
                <w:color w:val="000000"/>
                <w:sz w:val="22"/>
                <w:szCs w:val="22"/>
              </w:rPr>
            </w:pPr>
          </w:p>
          <w:p w14:paraId="2A14623B" w14:textId="77777777" w:rsidR="00592C29" w:rsidRDefault="00592C29" w:rsidP="000B2F38">
            <w:pPr>
              <w:spacing w:after="120" w:line="276" w:lineRule="auto"/>
              <w:rPr>
                <w:color w:val="000000"/>
                <w:sz w:val="22"/>
                <w:szCs w:val="22"/>
              </w:rPr>
            </w:pPr>
          </w:p>
        </w:tc>
      </w:tr>
      <w:tr w:rsidR="00592C29" w14:paraId="2807B7D6" w14:textId="77777777">
        <w:tc>
          <w:tcPr>
            <w:tcW w:w="2376" w:type="dxa"/>
            <w:tcMar>
              <w:top w:w="5" w:type="dxa"/>
              <w:left w:w="113" w:type="dxa"/>
              <w:bottom w:w="5" w:type="dxa"/>
              <w:right w:w="113" w:type="dxa"/>
            </w:tcMar>
            <w:hideMark/>
          </w:tcPr>
          <w:p w14:paraId="5C99E51F" w14:textId="77777777" w:rsidR="00592C29" w:rsidRDefault="0048296D" w:rsidP="000B2F38">
            <w:pPr>
              <w:spacing w:line="276" w:lineRule="auto"/>
              <w:rPr>
                <w:color w:val="000000"/>
                <w:sz w:val="22"/>
                <w:szCs w:val="22"/>
              </w:rPr>
            </w:pPr>
            <w:r>
              <w:rPr>
                <w:rFonts w:ascii="Trebuchet MS" w:eastAsia="Trebuchet MS" w:hAnsi="Trebuchet MS" w:cs="Trebuchet MS"/>
                <w:b/>
                <w:bCs/>
                <w:color w:val="000000"/>
                <w:sz w:val="22"/>
                <w:szCs w:val="22"/>
              </w:rPr>
              <w:t xml:space="preserve">SURPLUS LINES </w:t>
            </w:r>
          </w:p>
          <w:p w14:paraId="16F7B44D" w14:textId="77777777" w:rsidR="00592C29" w:rsidRDefault="0048296D" w:rsidP="000B2F38">
            <w:pPr>
              <w:spacing w:line="276" w:lineRule="auto"/>
              <w:rPr>
                <w:color w:val="000000"/>
                <w:sz w:val="22"/>
                <w:szCs w:val="22"/>
              </w:rPr>
            </w:pPr>
            <w:r>
              <w:rPr>
                <w:rFonts w:ascii="Trebuchet MS" w:eastAsia="Trebuchet MS" w:hAnsi="Trebuchet MS" w:cs="Trebuchet MS"/>
                <w:b/>
                <w:bCs/>
                <w:color w:val="000000"/>
                <w:sz w:val="22"/>
                <w:szCs w:val="22"/>
              </w:rPr>
              <w:t>BROKER:</w:t>
            </w:r>
          </w:p>
        </w:tc>
        <w:tc>
          <w:tcPr>
            <w:tcW w:w="7371" w:type="dxa"/>
            <w:tcMar>
              <w:top w:w="5" w:type="dxa"/>
              <w:left w:w="113" w:type="dxa"/>
              <w:bottom w:w="5" w:type="dxa"/>
              <w:right w:w="113" w:type="dxa"/>
            </w:tcMar>
            <w:hideMark/>
          </w:tcPr>
          <w:p w14:paraId="37CC9FE0" w14:textId="77777777" w:rsidR="00592C29" w:rsidRDefault="0048296D" w:rsidP="000B2F38">
            <w:pPr>
              <w:spacing w:after="120" w:line="276" w:lineRule="auto"/>
              <w:rPr>
                <w:color w:val="000000"/>
                <w:sz w:val="22"/>
                <w:szCs w:val="22"/>
              </w:rPr>
            </w:pPr>
            <w:r>
              <w:rPr>
                <w:rFonts w:ascii="Trebuchet MS" w:eastAsia="Trebuchet MS" w:hAnsi="Trebuchet MS" w:cs="Trebuchet MS"/>
                <w:color w:val="000000"/>
                <w:sz w:val="22"/>
                <w:szCs w:val="22"/>
              </w:rPr>
              <w:t>None</w:t>
            </w:r>
          </w:p>
          <w:p w14:paraId="60B78776" w14:textId="77777777" w:rsidR="00592C29" w:rsidRDefault="00592C29" w:rsidP="000B2F38">
            <w:pPr>
              <w:spacing w:after="120" w:line="276" w:lineRule="auto"/>
              <w:rPr>
                <w:color w:val="000000"/>
                <w:sz w:val="22"/>
                <w:szCs w:val="22"/>
              </w:rPr>
            </w:pPr>
          </w:p>
          <w:p w14:paraId="7BD4A696" w14:textId="77777777" w:rsidR="00592C29" w:rsidRDefault="00592C29" w:rsidP="000B2F38">
            <w:pPr>
              <w:spacing w:after="120" w:line="276" w:lineRule="auto"/>
              <w:rPr>
                <w:color w:val="000000"/>
                <w:sz w:val="22"/>
                <w:szCs w:val="22"/>
              </w:rPr>
            </w:pPr>
          </w:p>
        </w:tc>
      </w:tr>
      <w:tr w:rsidR="00592C29" w14:paraId="2CA18DB5" w14:textId="77777777">
        <w:tc>
          <w:tcPr>
            <w:tcW w:w="2376" w:type="dxa"/>
            <w:tcMar>
              <w:top w:w="5" w:type="dxa"/>
              <w:left w:w="113" w:type="dxa"/>
              <w:bottom w:w="5" w:type="dxa"/>
              <w:right w:w="113" w:type="dxa"/>
            </w:tcMar>
            <w:hideMark/>
          </w:tcPr>
          <w:p w14:paraId="4B246395" w14:textId="77777777" w:rsidR="00592C29" w:rsidRDefault="0048296D" w:rsidP="000B2F38">
            <w:pPr>
              <w:spacing w:line="276" w:lineRule="auto"/>
              <w:rPr>
                <w:color w:val="000000"/>
                <w:sz w:val="22"/>
                <w:szCs w:val="22"/>
              </w:rPr>
            </w:pPr>
            <w:r>
              <w:rPr>
                <w:rFonts w:ascii="Trebuchet MS" w:eastAsia="Trebuchet MS" w:hAnsi="Trebuchet MS" w:cs="Trebuchet MS"/>
                <w:b/>
                <w:bCs/>
                <w:color w:val="000000"/>
                <w:sz w:val="22"/>
                <w:szCs w:val="22"/>
              </w:rPr>
              <w:t>ALLOCATION OF PREMIUM TO CODING:</w:t>
            </w:r>
          </w:p>
        </w:tc>
        <w:tc>
          <w:tcPr>
            <w:tcW w:w="7371" w:type="dxa"/>
            <w:tcMar>
              <w:top w:w="5" w:type="dxa"/>
              <w:left w:w="113" w:type="dxa"/>
              <w:bottom w:w="5" w:type="dxa"/>
              <w:right w:w="113" w:type="dxa"/>
            </w:tcMar>
            <w:hideMark/>
          </w:tcPr>
          <w:p w14:paraId="4E0D38F9" w14:textId="77777777" w:rsidR="00592C29" w:rsidRDefault="0048296D" w:rsidP="000B2F38">
            <w:pPr>
              <w:spacing w:after="120" w:line="276" w:lineRule="auto"/>
              <w:rPr>
                <w:color w:val="000000"/>
                <w:sz w:val="22"/>
                <w:szCs w:val="22"/>
              </w:rPr>
            </w:pPr>
            <w:r>
              <w:rPr>
                <w:rFonts w:ascii="Trebuchet MS" w:eastAsia="Trebuchet MS" w:hAnsi="Trebuchet MS" w:cs="Trebuchet MS"/>
                <w:i/>
                <w:iCs/>
                <w:color w:val="000000"/>
                <w:sz w:val="22"/>
                <w:szCs w:val="22"/>
              </w:rPr>
              <w:t>(Enter Risk Code(s) and any allocation.)</w:t>
            </w:r>
          </w:p>
          <w:p w14:paraId="67AFE4B0" w14:textId="54881E95" w:rsidR="00592C29" w:rsidRDefault="0048296D" w:rsidP="000B2F38">
            <w:pPr>
              <w:spacing w:after="120" w:line="276" w:lineRule="auto"/>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P3(100%)</w:t>
            </w:r>
          </w:p>
          <w:p w14:paraId="15BD7D0E" w14:textId="77777777" w:rsidR="00592C29" w:rsidRDefault="00592C29" w:rsidP="000B2F38">
            <w:pPr>
              <w:spacing w:after="120" w:line="276" w:lineRule="auto"/>
              <w:rPr>
                <w:color w:val="000000"/>
                <w:sz w:val="22"/>
                <w:szCs w:val="22"/>
              </w:rPr>
            </w:pPr>
          </w:p>
          <w:p w14:paraId="61E5169E" w14:textId="72D2A2D3" w:rsidR="000B2F38" w:rsidRDefault="000B2F38" w:rsidP="000B2F38">
            <w:pPr>
              <w:spacing w:after="120" w:line="276" w:lineRule="auto"/>
              <w:rPr>
                <w:color w:val="000000"/>
                <w:sz w:val="22"/>
                <w:szCs w:val="22"/>
              </w:rPr>
            </w:pPr>
          </w:p>
        </w:tc>
      </w:tr>
      <w:tr w:rsidR="00592C29" w14:paraId="60BC2297" w14:textId="77777777">
        <w:tc>
          <w:tcPr>
            <w:tcW w:w="2376" w:type="dxa"/>
            <w:tcMar>
              <w:top w:w="5" w:type="dxa"/>
              <w:left w:w="113" w:type="dxa"/>
              <w:bottom w:w="5" w:type="dxa"/>
              <w:right w:w="113" w:type="dxa"/>
            </w:tcMar>
            <w:hideMark/>
          </w:tcPr>
          <w:p w14:paraId="4CC61838" w14:textId="77777777" w:rsidR="00592C29" w:rsidRDefault="0048296D">
            <w:pPr>
              <w:spacing w:after="200" w:line="276" w:lineRule="auto"/>
              <w:rPr>
                <w:color w:val="000000"/>
                <w:sz w:val="22"/>
                <w:szCs w:val="22"/>
              </w:rPr>
            </w:pPr>
            <w:r>
              <w:rPr>
                <w:rFonts w:ascii="Trebuchet MS" w:eastAsia="Trebuchet MS" w:hAnsi="Trebuchet MS" w:cs="Trebuchet MS"/>
                <w:b/>
                <w:bCs/>
                <w:color w:val="000000"/>
                <w:sz w:val="22"/>
                <w:szCs w:val="22"/>
              </w:rPr>
              <w:t>REGULATORY CLIENT CLASSIFICATION:</w:t>
            </w:r>
          </w:p>
        </w:tc>
        <w:tc>
          <w:tcPr>
            <w:tcW w:w="7371" w:type="dxa"/>
            <w:tcMar>
              <w:top w:w="5" w:type="dxa"/>
              <w:left w:w="113" w:type="dxa"/>
              <w:bottom w:w="5" w:type="dxa"/>
              <w:right w:w="113" w:type="dxa"/>
            </w:tcMar>
            <w:hideMark/>
          </w:tcPr>
          <w:p w14:paraId="669BF069" w14:textId="77777777" w:rsidR="00592C29" w:rsidRDefault="0048296D">
            <w:pPr>
              <w:spacing w:after="200" w:line="276" w:lineRule="auto"/>
              <w:rPr>
                <w:color w:val="000000"/>
                <w:sz w:val="22"/>
                <w:szCs w:val="22"/>
              </w:rPr>
            </w:pPr>
            <w:r>
              <w:rPr>
                <w:rFonts w:ascii="Trebuchet MS" w:eastAsia="Trebuchet MS" w:hAnsi="Trebuchet MS" w:cs="Trebuchet MS"/>
                <w:color w:val="000000"/>
                <w:sz w:val="22"/>
                <w:szCs w:val="22"/>
              </w:rPr>
              <w:t>Large Risk</w:t>
            </w:r>
          </w:p>
          <w:p w14:paraId="6CB46CBB" w14:textId="77777777" w:rsidR="00592C29" w:rsidRDefault="00592C29">
            <w:pPr>
              <w:spacing w:after="200" w:line="276" w:lineRule="auto"/>
              <w:rPr>
                <w:color w:val="000000"/>
                <w:sz w:val="22"/>
                <w:szCs w:val="22"/>
              </w:rPr>
            </w:pPr>
          </w:p>
        </w:tc>
      </w:tr>
    </w:tbl>
    <w:p w14:paraId="73CEED20" w14:textId="77777777" w:rsidR="00592C29" w:rsidRDefault="0048296D">
      <w:pPr>
        <w:spacing w:after="200" w:line="276" w:lineRule="auto"/>
        <w:rPr>
          <w:sz w:val="22"/>
          <w:szCs w:val="22"/>
        </w:rPr>
      </w:pPr>
      <w:r>
        <w:rPr>
          <w:sz w:val="22"/>
          <w:szCs w:val="22"/>
        </w:rPr>
        <w:br w:type="page"/>
      </w:r>
    </w:p>
    <w:tbl>
      <w:tblPr>
        <w:tblW w:w="0" w:type="auto"/>
        <w:tblInd w:w="113" w:type="dxa"/>
        <w:tblCellMar>
          <w:left w:w="0" w:type="dxa"/>
          <w:right w:w="0" w:type="dxa"/>
        </w:tblCellMar>
        <w:tblLook w:val="04A0" w:firstRow="1" w:lastRow="0" w:firstColumn="1" w:lastColumn="0" w:noHBand="0" w:noVBand="1"/>
      </w:tblPr>
      <w:tblGrid>
        <w:gridCol w:w="2376"/>
        <w:gridCol w:w="6840"/>
      </w:tblGrid>
      <w:tr w:rsidR="00592C29" w14:paraId="00196A69" w14:textId="77777777">
        <w:tc>
          <w:tcPr>
            <w:tcW w:w="9216" w:type="dxa"/>
            <w:gridSpan w:val="2"/>
            <w:tcMar>
              <w:top w:w="5" w:type="dxa"/>
              <w:left w:w="113" w:type="dxa"/>
              <w:bottom w:w="5" w:type="dxa"/>
              <w:right w:w="113" w:type="dxa"/>
            </w:tcMar>
            <w:hideMark/>
          </w:tcPr>
          <w:p w14:paraId="646BCCB3" w14:textId="3C177757" w:rsidR="00592C29" w:rsidRDefault="0048296D">
            <w:pPr>
              <w:spacing w:after="200" w:line="276" w:lineRule="auto"/>
              <w:rPr>
                <w:rFonts w:ascii="Trebuchet MS" w:eastAsia="Trebuchet MS" w:hAnsi="Trebuchet MS" w:cs="Trebuchet MS"/>
                <w:b/>
                <w:bCs/>
                <w:color w:val="000000"/>
                <w:sz w:val="40"/>
                <w:szCs w:val="40"/>
              </w:rPr>
            </w:pPr>
            <w:r>
              <w:rPr>
                <w:rFonts w:ascii="Trebuchet MS" w:eastAsia="Trebuchet MS" w:hAnsi="Trebuchet MS" w:cs="Trebuchet MS"/>
                <w:b/>
                <w:bCs/>
                <w:color w:val="000000"/>
                <w:sz w:val="40"/>
                <w:szCs w:val="40"/>
              </w:rPr>
              <w:lastRenderedPageBreak/>
              <w:t xml:space="preserve">Broker Remuneration &amp; Deductions </w:t>
            </w:r>
          </w:p>
          <w:p w14:paraId="6B4A1FA4" w14:textId="77777777" w:rsidR="005E403C" w:rsidRDefault="005E403C">
            <w:pPr>
              <w:spacing w:after="200" w:line="276" w:lineRule="auto"/>
              <w:rPr>
                <w:color w:val="000000"/>
                <w:sz w:val="40"/>
                <w:szCs w:val="40"/>
              </w:rPr>
            </w:pPr>
          </w:p>
          <w:p w14:paraId="1698D468" w14:textId="77777777" w:rsidR="00592C29" w:rsidRDefault="00592C29">
            <w:pPr>
              <w:spacing w:after="200" w:line="276" w:lineRule="auto"/>
              <w:rPr>
                <w:color w:val="000000"/>
                <w:sz w:val="22"/>
                <w:szCs w:val="22"/>
              </w:rPr>
            </w:pPr>
          </w:p>
        </w:tc>
      </w:tr>
      <w:tr w:rsidR="00592C29" w14:paraId="572434C1" w14:textId="77777777">
        <w:tc>
          <w:tcPr>
            <w:tcW w:w="2376" w:type="dxa"/>
            <w:tcMar>
              <w:top w:w="5" w:type="dxa"/>
              <w:left w:w="113" w:type="dxa"/>
              <w:bottom w:w="5" w:type="dxa"/>
              <w:right w:w="113" w:type="dxa"/>
            </w:tcMar>
            <w:hideMark/>
          </w:tcPr>
          <w:p w14:paraId="6A13DC57" w14:textId="77777777" w:rsidR="00592C29" w:rsidRDefault="0048296D" w:rsidP="005E403C">
            <w:pPr>
              <w:spacing w:line="276" w:lineRule="auto"/>
              <w:rPr>
                <w:color w:val="000000"/>
                <w:sz w:val="22"/>
                <w:szCs w:val="22"/>
              </w:rPr>
            </w:pPr>
            <w:r>
              <w:rPr>
                <w:rFonts w:ascii="Trebuchet MS" w:eastAsia="Trebuchet MS" w:hAnsi="Trebuchet MS" w:cs="Trebuchet MS"/>
                <w:b/>
                <w:bCs/>
                <w:color w:val="000000"/>
                <w:sz w:val="22"/>
                <w:szCs w:val="22"/>
              </w:rPr>
              <w:t>FEE PAYABLE BY CLIENT?:</w:t>
            </w:r>
          </w:p>
        </w:tc>
        <w:tc>
          <w:tcPr>
            <w:tcW w:w="6840" w:type="dxa"/>
            <w:tcMar>
              <w:top w:w="5" w:type="dxa"/>
              <w:left w:w="113" w:type="dxa"/>
              <w:bottom w:w="5" w:type="dxa"/>
              <w:right w:w="113" w:type="dxa"/>
            </w:tcMar>
            <w:hideMark/>
          </w:tcPr>
          <w:p w14:paraId="16F8D72B" w14:textId="2899B4FD" w:rsidR="00592C29" w:rsidRPr="008844DD" w:rsidRDefault="0048296D" w:rsidP="005E403C">
            <w:pPr>
              <w:spacing w:after="120" w:line="276" w:lineRule="auto"/>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No</w:t>
            </w:r>
          </w:p>
          <w:p w14:paraId="63633A67" w14:textId="77777777" w:rsidR="00592C29" w:rsidRDefault="00592C29" w:rsidP="005E403C">
            <w:pPr>
              <w:spacing w:after="120" w:line="276" w:lineRule="auto"/>
              <w:rPr>
                <w:color w:val="000000"/>
                <w:sz w:val="22"/>
                <w:szCs w:val="22"/>
              </w:rPr>
            </w:pPr>
          </w:p>
          <w:p w14:paraId="70C45A94" w14:textId="77777777" w:rsidR="00592C29" w:rsidRDefault="00592C29" w:rsidP="005E403C">
            <w:pPr>
              <w:spacing w:after="120" w:line="276" w:lineRule="auto"/>
              <w:rPr>
                <w:color w:val="000000"/>
                <w:sz w:val="22"/>
                <w:szCs w:val="22"/>
              </w:rPr>
            </w:pPr>
          </w:p>
          <w:p w14:paraId="37D3E5D0" w14:textId="77777777" w:rsidR="00592C29" w:rsidRDefault="00592C29" w:rsidP="005E403C">
            <w:pPr>
              <w:spacing w:after="120" w:line="276" w:lineRule="auto"/>
              <w:rPr>
                <w:color w:val="000000"/>
                <w:sz w:val="22"/>
                <w:szCs w:val="22"/>
              </w:rPr>
            </w:pPr>
          </w:p>
        </w:tc>
      </w:tr>
      <w:tr w:rsidR="00592C29" w14:paraId="5E4A84E8" w14:textId="77777777">
        <w:tc>
          <w:tcPr>
            <w:tcW w:w="2376" w:type="dxa"/>
            <w:tcMar>
              <w:top w:w="5" w:type="dxa"/>
              <w:left w:w="113" w:type="dxa"/>
              <w:bottom w:w="5" w:type="dxa"/>
              <w:right w:w="113" w:type="dxa"/>
            </w:tcMar>
            <w:hideMark/>
          </w:tcPr>
          <w:p w14:paraId="2308A1F0" w14:textId="77777777" w:rsidR="00592C29" w:rsidRDefault="0048296D" w:rsidP="005E403C">
            <w:pPr>
              <w:spacing w:line="276" w:lineRule="auto"/>
              <w:rPr>
                <w:color w:val="000000"/>
                <w:sz w:val="22"/>
                <w:szCs w:val="22"/>
              </w:rPr>
            </w:pPr>
            <w:r>
              <w:rPr>
                <w:rFonts w:ascii="Trebuchet MS" w:eastAsia="Trebuchet MS" w:hAnsi="Trebuchet MS" w:cs="Trebuchet MS"/>
                <w:b/>
                <w:bCs/>
                <w:color w:val="000000"/>
                <w:sz w:val="22"/>
                <w:szCs w:val="22"/>
              </w:rPr>
              <w:t>TOTAL BROKERAGE:</w:t>
            </w:r>
          </w:p>
        </w:tc>
        <w:tc>
          <w:tcPr>
            <w:tcW w:w="6840" w:type="dxa"/>
            <w:tcMar>
              <w:top w:w="5" w:type="dxa"/>
              <w:left w:w="113" w:type="dxa"/>
              <w:bottom w:w="5" w:type="dxa"/>
              <w:right w:w="113" w:type="dxa"/>
            </w:tcMar>
            <w:hideMark/>
          </w:tcPr>
          <w:p w14:paraId="1D393527" w14:textId="77777777" w:rsidR="00592C29" w:rsidRDefault="0048296D" w:rsidP="005E403C">
            <w:pPr>
              <w:spacing w:after="120" w:line="276" w:lineRule="auto"/>
              <w:rPr>
                <w:color w:val="000000"/>
                <w:sz w:val="22"/>
                <w:szCs w:val="22"/>
              </w:rPr>
            </w:pPr>
            <w:r>
              <w:rPr>
                <w:rFonts w:ascii="Trebuchet MS" w:eastAsia="Trebuchet MS" w:hAnsi="Trebuchet MS" w:cs="Trebuchet MS"/>
                <w:color w:val="000000"/>
                <w:sz w:val="22"/>
                <w:szCs w:val="22"/>
              </w:rPr>
              <w:t>10%</w:t>
            </w:r>
          </w:p>
          <w:p w14:paraId="36B8DF27" w14:textId="77777777" w:rsidR="00592C29" w:rsidRDefault="00592C29" w:rsidP="005E403C">
            <w:pPr>
              <w:spacing w:after="120" w:line="276" w:lineRule="auto"/>
              <w:rPr>
                <w:color w:val="000000"/>
                <w:sz w:val="22"/>
                <w:szCs w:val="22"/>
              </w:rPr>
            </w:pPr>
          </w:p>
          <w:p w14:paraId="6D55A7AB" w14:textId="77777777" w:rsidR="00592C29" w:rsidRDefault="00592C29" w:rsidP="005E403C">
            <w:pPr>
              <w:spacing w:after="120" w:line="276" w:lineRule="auto"/>
              <w:rPr>
                <w:color w:val="000000"/>
                <w:sz w:val="22"/>
                <w:szCs w:val="22"/>
              </w:rPr>
            </w:pPr>
          </w:p>
          <w:p w14:paraId="0A0E366C" w14:textId="77777777" w:rsidR="00592C29" w:rsidRDefault="00592C29" w:rsidP="005E403C">
            <w:pPr>
              <w:spacing w:after="120" w:line="276" w:lineRule="auto"/>
              <w:rPr>
                <w:color w:val="000000"/>
                <w:sz w:val="22"/>
                <w:szCs w:val="22"/>
              </w:rPr>
            </w:pPr>
          </w:p>
        </w:tc>
      </w:tr>
      <w:tr w:rsidR="00592C29" w14:paraId="5533D226" w14:textId="77777777">
        <w:tc>
          <w:tcPr>
            <w:tcW w:w="2376" w:type="dxa"/>
            <w:tcMar>
              <w:top w:w="5" w:type="dxa"/>
              <w:left w:w="113" w:type="dxa"/>
              <w:bottom w:w="5" w:type="dxa"/>
              <w:right w:w="113" w:type="dxa"/>
            </w:tcMar>
            <w:hideMark/>
          </w:tcPr>
          <w:p w14:paraId="6BD9908B" w14:textId="77777777" w:rsidR="00592C29" w:rsidRDefault="0048296D" w:rsidP="005E403C">
            <w:pPr>
              <w:spacing w:line="276" w:lineRule="auto"/>
              <w:rPr>
                <w:color w:val="000000"/>
                <w:sz w:val="22"/>
                <w:szCs w:val="22"/>
              </w:rPr>
            </w:pPr>
            <w:r>
              <w:rPr>
                <w:rFonts w:ascii="Trebuchet MS" w:eastAsia="Trebuchet MS" w:hAnsi="Trebuchet MS" w:cs="Trebuchet MS"/>
                <w:b/>
                <w:bCs/>
                <w:color w:val="000000"/>
                <w:sz w:val="22"/>
                <w:szCs w:val="22"/>
              </w:rPr>
              <w:t>OTHER DEDUCTIONS FROM PREMIUM:</w:t>
            </w:r>
          </w:p>
        </w:tc>
        <w:tc>
          <w:tcPr>
            <w:tcW w:w="6840" w:type="dxa"/>
            <w:tcMar>
              <w:top w:w="5" w:type="dxa"/>
              <w:left w:w="113" w:type="dxa"/>
              <w:bottom w:w="5" w:type="dxa"/>
              <w:right w:w="113" w:type="dxa"/>
            </w:tcMar>
            <w:hideMark/>
          </w:tcPr>
          <w:p w14:paraId="148B23A7" w14:textId="77777777" w:rsidR="00592C29" w:rsidRDefault="0048296D" w:rsidP="005E403C">
            <w:pPr>
              <w:spacing w:after="120" w:line="276" w:lineRule="auto"/>
              <w:rPr>
                <w:color w:val="000000"/>
                <w:sz w:val="22"/>
                <w:szCs w:val="22"/>
              </w:rPr>
            </w:pPr>
            <w:r>
              <w:rPr>
                <w:rFonts w:ascii="Trebuchet MS" w:eastAsia="Trebuchet MS" w:hAnsi="Trebuchet MS" w:cs="Trebuchet MS"/>
                <w:color w:val="000000"/>
                <w:sz w:val="22"/>
                <w:szCs w:val="22"/>
              </w:rPr>
              <w:t xml:space="preserve">5% Survey fee payable to XYZ Inc </w:t>
            </w:r>
          </w:p>
          <w:p w14:paraId="38E37A96" w14:textId="77777777" w:rsidR="00592C29" w:rsidRDefault="00592C29" w:rsidP="005E403C">
            <w:pPr>
              <w:spacing w:after="120" w:line="276" w:lineRule="auto"/>
              <w:ind w:left="1985" w:hanging="1985"/>
              <w:rPr>
                <w:color w:val="000000"/>
                <w:sz w:val="22"/>
                <w:szCs w:val="22"/>
              </w:rPr>
            </w:pPr>
          </w:p>
          <w:p w14:paraId="09E299D2" w14:textId="77777777" w:rsidR="00592C29" w:rsidRDefault="00592C29" w:rsidP="005E403C">
            <w:pPr>
              <w:spacing w:after="120" w:line="276" w:lineRule="auto"/>
              <w:rPr>
                <w:color w:val="000000"/>
                <w:sz w:val="22"/>
                <w:szCs w:val="22"/>
              </w:rPr>
            </w:pPr>
          </w:p>
        </w:tc>
      </w:tr>
    </w:tbl>
    <w:p w14:paraId="4011D2DF" w14:textId="77777777" w:rsidR="00592C29" w:rsidRDefault="00592C29">
      <w:pPr>
        <w:spacing w:after="200" w:line="276" w:lineRule="auto"/>
        <w:rPr>
          <w:sz w:val="22"/>
          <w:szCs w:val="22"/>
        </w:rPr>
      </w:pPr>
    </w:p>
    <w:p w14:paraId="06D39167" w14:textId="77777777" w:rsidR="00592C29" w:rsidRDefault="0048296D">
      <w:pPr>
        <w:spacing w:before="120"/>
        <w:jc w:val="both"/>
        <w:rPr>
          <w:sz w:val="22"/>
          <w:szCs w:val="22"/>
        </w:rPr>
      </w:pPr>
      <w:r>
        <w:rPr>
          <w:sz w:val="22"/>
          <w:szCs w:val="22"/>
        </w:rPr>
        <w:br w:type="page"/>
      </w:r>
    </w:p>
    <w:p w14:paraId="7D7DCE77" w14:textId="77777777" w:rsidR="00592C29" w:rsidRDefault="0048296D">
      <w:pPr>
        <w:spacing w:after="200" w:line="276" w:lineRule="auto"/>
        <w:rPr>
          <w:sz w:val="72"/>
          <w:szCs w:val="72"/>
        </w:rPr>
      </w:pPr>
      <w:r>
        <w:rPr>
          <w:rFonts w:ascii="Trebuchet MS" w:eastAsia="Trebuchet MS" w:hAnsi="Trebuchet MS" w:cs="Trebuchet MS"/>
          <w:b/>
          <w:bCs/>
          <w:sz w:val="72"/>
          <w:szCs w:val="72"/>
        </w:rPr>
        <w:lastRenderedPageBreak/>
        <w:t>Section Approach</w:t>
      </w:r>
    </w:p>
    <w:p w14:paraId="5E66B852" w14:textId="77777777" w:rsidR="00592C29" w:rsidRDefault="00592C29">
      <w:pPr>
        <w:spacing w:after="200" w:line="276" w:lineRule="auto"/>
        <w:rPr>
          <w:sz w:val="40"/>
          <w:szCs w:val="40"/>
        </w:rPr>
      </w:pPr>
    </w:p>
    <w:p w14:paraId="25B9FCD4" w14:textId="77777777" w:rsidR="00592C29" w:rsidRDefault="0048296D">
      <w:pPr>
        <w:spacing w:after="200" w:line="276" w:lineRule="auto"/>
        <w:rPr>
          <w:sz w:val="40"/>
          <w:szCs w:val="40"/>
        </w:rPr>
      </w:pPr>
      <w:r>
        <w:rPr>
          <w:rFonts w:ascii="Trebuchet MS" w:eastAsia="Trebuchet MS" w:hAnsi="Trebuchet MS" w:cs="Trebuchet MS"/>
          <w:b/>
          <w:bCs/>
          <w:sz w:val="40"/>
          <w:szCs w:val="40"/>
        </w:rPr>
        <w:t xml:space="preserve">Risk Details: </w:t>
      </w:r>
    </w:p>
    <w:p w14:paraId="6B251F17" w14:textId="77777777" w:rsidR="00592C29" w:rsidRDefault="00592C29">
      <w:pPr>
        <w:spacing w:after="200" w:line="276" w:lineRule="auto"/>
        <w:rPr>
          <w:sz w:val="22"/>
          <w:szCs w:val="22"/>
        </w:rPr>
      </w:pPr>
    </w:p>
    <w:tbl>
      <w:tblPr>
        <w:tblW w:w="9747" w:type="dxa"/>
        <w:tblInd w:w="113" w:type="dxa"/>
        <w:tblCellMar>
          <w:left w:w="0" w:type="dxa"/>
          <w:right w:w="0" w:type="dxa"/>
        </w:tblCellMar>
        <w:tblLook w:val="04A0" w:firstRow="1" w:lastRow="0" w:firstColumn="1" w:lastColumn="0" w:noHBand="0" w:noVBand="1"/>
      </w:tblPr>
      <w:tblGrid>
        <w:gridCol w:w="2376"/>
        <w:gridCol w:w="7371"/>
      </w:tblGrid>
      <w:tr w:rsidR="00592C29" w14:paraId="21D2520D" w14:textId="77777777">
        <w:tc>
          <w:tcPr>
            <w:tcW w:w="2376" w:type="dxa"/>
            <w:tcMar>
              <w:top w:w="5" w:type="dxa"/>
              <w:left w:w="113" w:type="dxa"/>
              <w:bottom w:w="5" w:type="dxa"/>
              <w:right w:w="113" w:type="dxa"/>
            </w:tcMar>
            <w:hideMark/>
          </w:tcPr>
          <w:p w14:paraId="05DCF111" w14:textId="77777777" w:rsidR="00592C29" w:rsidRDefault="0048296D" w:rsidP="005E403C">
            <w:pPr>
              <w:spacing w:line="276" w:lineRule="auto"/>
              <w:ind w:left="1980" w:hanging="1980"/>
              <w:rPr>
                <w:color w:val="000000"/>
                <w:sz w:val="22"/>
                <w:szCs w:val="22"/>
              </w:rPr>
            </w:pPr>
            <w:r>
              <w:rPr>
                <w:rFonts w:ascii="Trebuchet MS" w:eastAsia="Trebuchet MS" w:hAnsi="Trebuchet MS" w:cs="Trebuchet MS"/>
                <w:b/>
                <w:bCs/>
                <w:color w:val="000000"/>
                <w:sz w:val="22"/>
                <w:szCs w:val="22"/>
              </w:rPr>
              <w:t>UNIQUE MARKET</w:t>
            </w:r>
          </w:p>
          <w:p w14:paraId="0818D9EB" w14:textId="77777777" w:rsidR="00592C29" w:rsidRDefault="0048296D" w:rsidP="005E403C">
            <w:pPr>
              <w:spacing w:line="276" w:lineRule="auto"/>
              <w:rPr>
                <w:color w:val="000000"/>
                <w:sz w:val="22"/>
                <w:szCs w:val="22"/>
              </w:rPr>
            </w:pPr>
            <w:r>
              <w:rPr>
                <w:rFonts w:ascii="Trebuchet MS" w:eastAsia="Trebuchet MS" w:hAnsi="Trebuchet MS" w:cs="Trebuchet MS"/>
                <w:b/>
                <w:bCs/>
                <w:color w:val="000000"/>
                <w:sz w:val="22"/>
                <w:szCs w:val="22"/>
              </w:rPr>
              <w:t>REFERENCE :</w:t>
            </w:r>
          </w:p>
        </w:tc>
        <w:tc>
          <w:tcPr>
            <w:tcW w:w="7371" w:type="dxa"/>
            <w:tcMar>
              <w:top w:w="5" w:type="dxa"/>
              <w:left w:w="113" w:type="dxa"/>
              <w:bottom w:w="5" w:type="dxa"/>
              <w:right w:w="113" w:type="dxa"/>
            </w:tcMar>
            <w:hideMark/>
          </w:tcPr>
          <w:p w14:paraId="3C6CBD73" w14:textId="77777777" w:rsidR="00592C29" w:rsidRDefault="0048296D" w:rsidP="005E403C">
            <w:pPr>
              <w:spacing w:after="120" w:line="276" w:lineRule="auto"/>
              <w:rPr>
                <w:color w:val="000000"/>
                <w:sz w:val="22"/>
                <w:szCs w:val="22"/>
              </w:rPr>
            </w:pPr>
            <w:r>
              <w:rPr>
                <w:rFonts w:ascii="Trebuchet MS" w:eastAsia="Trebuchet MS" w:hAnsi="Trebuchet MS" w:cs="Trebuchet MS"/>
                <w:color w:val="000000"/>
                <w:sz w:val="22"/>
                <w:szCs w:val="22"/>
              </w:rPr>
              <w:t>B0999ABC123456789</w:t>
            </w:r>
          </w:p>
          <w:p w14:paraId="27F426C1" w14:textId="77777777" w:rsidR="00592C29" w:rsidRDefault="00592C29" w:rsidP="005E403C">
            <w:pPr>
              <w:spacing w:after="120" w:line="276" w:lineRule="auto"/>
              <w:rPr>
                <w:color w:val="000000"/>
                <w:sz w:val="22"/>
                <w:szCs w:val="22"/>
              </w:rPr>
            </w:pPr>
          </w:p>
          <w:p w14:paraId="5C7F7C59" w14:textId="77777777" w:rsidR="00592C29" w:rsidRDefault="00592C29" w:rsidP="005E403C">
            <w:pPr>
              <w:spacing w:after="120" w:line="276" w:lineRule="auto"/>
              <w:rPr>
                <w:color w:val="000000"/>
                <w:sz w:val="22"/>
                <w:szCs w:val="22"/>
              </w:rPr>
            </w:pPr>
          </w:p>
        </w:tc>
      </w:tr>
      <w:tr w:rsidR="00592C29" w14:paraId="37BA4A6C" w14:textId="77777777">
        <w:tc>
          <w:tcPr>
            <w:tcW w:w="2376" w:type="dxa"/>
            <w:tcMar>
              <w:top w:w="5" w:type="dxa"/>
              <w:left w:w="113" w:type="dxa"/>
              <w:bottom w:w="5" w:type="dxa"/>
              <w:right w:w="113" w:type="dxa"/>
            </w:tcMar>
            <w:hideMark/>
          </w:tcPr>
          <w:p w14:paraId="1CA28FE5" w14:textId="77777777" w:rsidR="00592C29" w:rsidRDefault="0048296D" w:rsidP="005E403C">
            <w:pPr>
              <w:spacing w:line="276" w:lineRule="auto"/>
              <w:rPr>
                <w:color w:val="000000"/>
                <w:sz w:val="22"/>
                <w:szCs w:val="22"/>
              </w:rPr>
            </w:pPr>
            <w:r>
              <w:rPr>
                <w:rFonts w:ascii="Trebuchet MS" w:eastAsia="Trebuchet MS" w:hAnsi="Trebuchet MS" w:cs="Trebuchet MS"/>
                <w:b/>
                <w:bCs/>
                <w:color w:val="000000"/>
                <w:sz w:val="22"/>
                <w:szCs w:val="22"/>
              </w:rPr>
              <w:t>TYPE:</w:t>
            </w:r>
          </w:p>
        </w:tc>
        <w:tc>
          <w:tcPr>
            <w:tcW w:w="7371" w:type="dxa"/>
            <w:tcMar>
              <w:top w:w="5" w:type="dxa"/>
              <w:left w:w="113" w:type="dxa"/>
              <w:bottom w:w="5" w:type="dxa"/>
              <w:right w:w="113" w:type="dxa"/>
            </w:tcMar>
            <w:hideMark/>
          </w:tcPr>
          <w:p w14:paraId="23770F7F" w14:textId="77777777" w:rsidR="00592C29" w:rsidRDefault="0048296D" w:rsidP="005E403C">
            <w:pPr>
              <w:spacing w:after="120" w:line="276" w:lineRule="auto"/>
              <w:rPr>
                <w:color w:val="000000"/>
                <w:sz w:val="22"/>
                <w:szCs w:val="22"/>
              </w:rPr>
            </w:pPr>
            <w:r>
              <w:rPr>
                <w:rFonts w:ascii="Trebuchet MS" w:eastAsia="Trebuchet MS" w:hAnsi="Trebuchet MS" w:cs="Trebuchet MS"/>
                <w:color w:val="000000"/>
                <w:sz w:val="22"/>
                <w:szCs w:val="22"/>
              </w:rPr>
              <w:t>All Risks of Direct Physical Loss or Damage including Boiler Explosion and Machinery Breakdown insurance.</w:t>
            </w:r>
          </w:p>
          <w:p w14:paraId="299A43AB" w14:textId="77777777" w:rsidR="00592C29" w:rsidRDefault="00592C29" w:rsidP="005E403C">
            <w:pPr>
              <w:spacing w:after="120" w:line="276" w:lineRule="auto"/>
              <w:rPr>
                <w:color w:val="000000"/>
                <w:sz w:val="22"/>
                <w:szCs w:val="22"/>
              </w:rPr>
            </w:pPr>
          </w:p>
          <w:p w14:paraId="1E22CA5E" w14:textId="77777777" w:rsidR="00592C29" w:rsidRDefault="00592C29" w:rsidP="005E403C">
            <w:pPr>
              <w:spacing w:after="120" w:line="276" w:lineRule="auto"/>
              <w:rPr>
                <w:color w:val="000000"/>
                <w:sz w:val="22"/>
                <w:szCs w:val="22"/>
              </w:rPr>
            </w:pPr>
          </w:p>
        </w:tc>
      </w:tr>
      <w:tr w:rsidR="00592C29" w14:paraId="31650EE4" w14:textId="77777777">
        <w:tc>
          <w:tcPr>
            <w:tcW w:w="2376" w:type="dxa"/>
            <w:tcMar>
              <w:top w:w="5" w:type="dxa"/>
              <w:left w:w="113" w:type="dxa"/>
              <w:bottom w:w="5" w:type="dxa"/>
              <w:right w:w="113" w:type="dxa"/>
            </w:tcMar>
            <w:hideMark/>
          </w:tcPr>
          <w:p w14:paraId="00C5D5A6" w14:textId="77777777" w:rsidR="00592C29" w:rsidRDefault="0048296D" w:rsidP="005E403C">
            <w:pPr>
              <w:spacing w:line="276" w:lineRule="auto"/>
              <w:rPr>
                <w:color w:val="000000"/>
                <w:sz w:val="22"/>
                <w:szCs w:val="22"/>
              </w:rPr>
            </w:pPr>
            <w:r>
              <w:rPr>
                <w:rFonts w:ascii="Trebuchet MS" w:eastAsia="Trebuchet MS" w:hAnsi="Trebuchet MS" w:cs="Trebuchet MS"/>
                <w:b/>
                <w:bCs/>
                <w:color w:val="000000"/>
                <w:sz w:val="22"/>
                <w:szCs w:val="22"/>
              </w:rPr>
              <w:t>INSURED:</w:t>
            </w:r>
          </w:p>
        </w:tc>
        <w:tc>
          <w:tcPr>
            <w:tcW w:w="7371" w:type="dxa"/>
            <w:tcMar>
              <w:top w:w="5" w:type="dxa"/>
              <w:left w:w="113" w:type="dxa"/>
              <w:bottom w:w="5" w:type="dxa"/>
              <w:right w:w="113" w:type="dxa"/>
            </w:tcMar>
            <w:hideMark/>
          </w:tcPr>
          <w:p w14:paraId="40A1EE90" w14:textId="77777777" w:rsidR="00592C29" w:rsidRDefault="0048296D" w:rsidP="005E403C">
            <w:pPr>
              <w:spacing w:after="120" w:line="276" w:lineRule="auto"/>
              <w:rPr>
                <w:color w:val="000000"/>
                <w:sz w:val="22"/>
                <w:szCs w:val="22"/>
              </w:rPr>
            </w:pPr>
            <w:r>
              <w:rPr>
                <w:rFonts w:ascii="Trebuchet MS" w:eastAsia="Trebuchet MS" w:hAnsi="Trebuchet MS" w:cs="Trebuchet MS"/>
                <w:color w:val="000000"/>
                <w:sz w:val="22"/>
                <w:szCs w:val="22"/>
              </w:rPr>
              <w:t>XXXX England Plc.</w:t>
            </w:r>
          </w:p>
          <w:p w14:paraId="1F49D911" w14:textId="77777777" w:rsidR="00592C29" w:rsidRDefault="00592C29" w:rsidP="005E403C">
            <w:pPr>
              <w:spacing w:after="120" w:line="276" w:lineRule="auto"/>
              <w:rPr>
                <w:color w:val="000000"/>
                <w:sz w:val="22"/>
                <w:szCs w:val="22"/>
              </w:rPr>
            </w:pPr>
          </w:p>
          <w:p w14:paraId="6F191C71" w14:textId="77777777" w:rsidR="00592C29" w:rsidRDefault="00592C29" w:rsidP="005E403C">
            <w:pPr>
              <w:spacing w:after="120" w:line="276" w:lineRule="auto"/>
              <w:rPr>
                <w:color w:val="000000"/>
                <w:sz w:val="22"/>
                <w:szCs w:val="22"/>
              </w:rPr>
            </w:pPr>
          </w:p>
        </w:tc>
      </w:tr>
      <w:tr w:rsidR="00592C29" w14:paraId="0364864A" w14:textId="77777777">
        <w:tc>
          <w:tcPr>
            <w:tcW w:w="2376" w:type="dxa"/>
            <w:tcMar>
              <w:top w:w="5" w:type="dxa"/>
              <w:left w:w="113" w:type="dxa"/>
              <w:bottom w:w="5" w:type="dxa"/>
              <w:right w:w="113" w:type="dxa"/>
            </w:tcMar>
            <w:hideMark/>
          </w:tcPr>
          <w:p w14:paraId="0CF913C7" w14:textId="77777777" w:rsidR="00592C29" w:rsidRDefault="0048296D" w:rsidP="005E403C">
            <w:pPr>
              <w:spacing w:line="276" w:lineRule="auto"/>
              <w:rPr>
                <w:color w:val="000000"/>
                <w:sz w:val="22"/>
                <w:szCs w:val="22"/>
              </w:rPr>
            </w:pPr>
            <w:r>
              <w:rPr>
                <w:rFonts w:ascii="Trebuchet MS" w:eastAsia="Trebuchet MS" w:hAnsi="Trebuchet MS" w:cs="Trebuchet MS"/>
                <w:b/>
                <w:bCs/>
                <w:color w:val="000000"/>
                <w:sz w:val="22"/>
                <w:szCs w:val="22"/>
              </w:rPr>
              <w:t>ADDRESS:</w:t>
            </w:r>
          </w:p>
        </w:tc>
        <w:tc>
          <w:tcPr>
            <w:tcW w:w="7371" w:type="dxa"/>
            <w:tcMar>
              <w:top w:w="5" w:type="dxa"/>
              <w:left w:w="113" w:type="dxa"/>
              <w:bottom w:w="5" w:type="dxa"/>
              <w:right w:w="113" w:type="dxa"/>
            </w:tcMar>
            <w:hideMark/>
          </w:tcPr>
          <w:p w14:paraId="4A786FB1" w14:textId="77777777" w:rsidR="00592C29" w:rsidRDefault="0048296D" w:rsidP="005E403C">
            <w:pPr>
              <w:widowControl w:val="0"/>
              <w:spacing w:after="120" w:line="276" w:lineRule="auto"/>
              <w:rPr>
                <w:color w:val="000000"/>
                <w:sz w:val="22"/>
                <w:szCs w:val="22"/>
              </w:rPr>
            </w:pPr>
            <w:r>
              <w:rPr>
                <w:rFonts w:ascii="Trebuchet MS" w:eastAsia="Trebuchet MS" w:hAnsi="Trebuchet MS" w:cs="Trebuchet MS"/>
                <w:color w:val="000000"/>
                <w:sz w:val="22"/>
                <w:szCs w:val="22"/>
              </w:rPr>
              <w:t>Number 1, Big Boulevard, Milton Keynes, UK</w:t>
            </w:r>
          </w:p>
          <w:p w14:paraId="1CDAD281" w14:textId="77777777" w:rsidR="00592C29" w:rsidRDefault="00592C29" w:rsidP="005E403C">
            <w:pPr>
              <w:widowControl w:val="0"/>
              <w:spacing w:after="120" w:line="276" w:lineRule="auto"/>
              <w:rPr>
                <w:color w:val="000000"/>
                <w:sz w:val="22"/>
                <w:szCs w:val="22"/>
              </w:rPr>
            </w:pPr>
          </w:p>
          <w:p w14:paraId="0961AE33" w14:textId="1C41A16F" w:rsidR="005E403C" w:rsidRDefault="005E403C" w:rsidP="005E403C">
            <w:pPr>
              <w:widowControl w:val="0"/>
              <w:spacing w:after="120" w:line="276" w:lineRule="auto"/>
              <w:rPr>
                <w:color w:val="000000"/>
                <w:sz w:val="22"/>
                <w:szCs w:val="22"/>
              </w:rPr>
            </w:pPr>
          </w:p>
        </w:tc>
      </w:tr>
      <w:tr w:rsidR="00592C29" w14:paraId="4131666F" w14:textId="77777777">
        <w:tc>
          <w:tcPr>
            <w:tcW w:w="2376" w:type="dxa"/>
            <w:tcMar>
              <w:top w:w="5" w:type="dxa"/>
              <w:left w:w="113" w:type="dxa"/>
              <w:bottom w:w="5" w:type="dxa"/>
              <w:right w:w="113" w:type="dxa"/>
            </w:tcMar>
            <w:hideMark/>
          </w:tcPr>
          <w:p w14:paraId="42807B5B" w14:textId="77777777" w:rsidR="00592C29" w:rsidRDefault="0048296D" w:rsidP="005E403C">
            <w:pPr>
              <w:spacing w:line="276" w:lineRule="auto"/>
              <w:rPr>
                <w:color w:val="000000"/>
                <w:sz w:val="22"/>
                <w:szCs w:val="22"/>
              </w:rPr>
            </w:pPr>
            <w:r>
              <w:rPr>
                <w:rFonts w:ascii="Trebuchet MS" w:eastAsia="Trebuchet MS" w:hAnsi="Trebuchet MS" w:cs="Trebuchet MS"/>
                <w:b/>
                <w:bCs/>
                <w:color w:val="000000"/>
                <w:sz w:val="22"/>
                <w:szCs w:val="22"/>
              </w:rPr>
              <w:t>PERIOD:</w:t>
            </w:r>
          </w:p>
        </w:tc>
        <w:tc>
          <w:tcPr>
            <w:tcW w:w="7371" w:type="dxa"/>
            <w:tcMar>
              <w:top w:w="5" w:type="dxa"/>
              <w:left w:w="113" w:type="dxa"/>
              <w:bottom w:w="5" w:type="dxa"/>
              <w:right w:w="113" w:type="dxa"/>
            </w:tcMar>
            <w:hideMark/>
          </w:tcPr>
          <w:p w14:paraId="56092DEB" w14:textId="77777777" w:rsidR="00592C29" w:rsidRDefault="0048296D" w:rsidP="005E403C">
            <w:pPr>
              <w:tabs>
                <w:tab w:val="left" w:pos="1980"/>
              </w:tabs>
              <w:spacing w:after="120" w:line="276" w:lineRule="auto"/>
              <w:ind w:left="3969" w:hanging="3969"/>
              <w:rPr>
                <w:color w:val="000000"/>
                <w:sz w:val="22"/>
                <w:szCs w:val="22"/>
              </w:rPr>
            </w:pPr>
            <w:r>
              <w:rPr>
                <w:rFonts w:ascii="Trebuchet MS" w:eastAsia="Trebuchet MS" w:hAnsi="Trebuchet MS" w:cs="Trebuchet MS"/>
                <w:color w:val="000000"/>
                <w:sz w:val="22"/>
                <w:szCs w:val="22"/>
              </w:rPr>
              <w:t xml:space="preserve">Effective from: </w:t>
            </w:r>
            <w:r>
              <w:rPr>
                <w:rFonts w:ascii="Trebuchet MS" w:eastAsia="Trebuchet MS" w:hAnsi="Trebuchet MS" w:cs="Trebuchet MS"/>
                <w:color w:val="000000"/>
                <w:sz w:val="22"/>
                <w:szCs w:val="22"/>
              </w:rPr>
              <w:tab/>
              <w:t xml:space="preserve">1 January YYYY at 12:01pm GMT </w:t>
            </w:r>
          </w:p>
          <w:p w14:paraId="393384BC" w14:textId="77777777" w:rsidR="00592C29" w:rsidRDefault="0048296D" w:rsidP="005E403C">
            <w:pPr>
              <w:tabs>
                <w:tab w:val="left" w:pos="1980"/>
              </w:tabs>
              <w:spacing w:after="120" w:line="276" w:lineRule="auto"/>
              <w:ind w:left="3969" w:hanging="3969"/>
              <w:rPr>
                <w:color w:val="000000"/>
                <w:sz w:val="22"/>
                <w:szCs w:val="22"/>
              </w:rPr>
            </w:pPr>
            <w:r>
              <w:rPr>
                <w:rFonts w:ascii="Trebuchet MS" w:eastAsia="Trebuchet MS" w:hAnsi="Trebuchet MS" w:cs="Trebuchet MS"/>
                <w:color w:val="000000"/>
                <w:sz w:val="22"/>
                <w:szCs w:val="22"/>
              </w:rPr>
              <w:t xml:space="preserve">To: </w:t>
            </w:r>
            <w:r>
              <w:rPr>
                <w:rFonts w:ascii="Trebuchet MS" w:eastAsia="Trebuchet MS" w:hAnsi="Trebuchet MS" w:cs="Trebuchet MS"/>
                <w:color w:val="000000"/>
                <w:sz w:val="22"/>
                <w:szCs w:val="22"/>
              </w:rPr>
              <w:tab/>
              <w:t>1 January YYYY at 12:01pm GMT</w:t>
            </w:r>
          </w:p>
          <w:p w14:paraId="0877FD83" w14:textId="77777777" w:rsidR="00592C29" w:rsidRDefault="00592C29" w:rsidP="005E403C">
            <w:pPr>
              <w:spacing w:after="120" w:line="276" w:lineRule="auto"/>
              <w:ind w:left="3969" w:hanging="3969"/>
              <w:rPr>
                <w:color w:val="000000"/>
                <w:sz w:val="22"/>
                <w:szCs w:val="22"/>
              </w:rPr>
            </w:pPr>
          </w:p>
          <w:p w14:paraId="7E453C90" w14:textId="77777777" w:rsidR="00592C29" w:rsidRDefault="00592C29" w:rsidP="005E403C">
            <w:pPr>
              <w:spacing w:after="120" w:line="276" w:lineRule="auto"/>
              <w:ind w:left="3969" w:hanging="3969"/>
              <w:rPr>
                <w:color w:val="000000"/>
                <w:sz w:val="22"/>
                <w:szCs w:val="22"/>
              </w:rPr>
            </w:pPr>
          </w:p>
        </w:tc>
      </w:tr>
      <w:tr w:rsidR="00592C29" w14:paraId="2EDFFF5A" w14:textId="77777777">
        <w:tc>
          <w:tcPr>
            <w:tcW w:w="2376" w:type="dxa"/>
            <w:tcMar>
              <w:top w:w="5" w:type="dxa"/>
              <w:left w:w="113" w:type="dxa"/>
              <w:bottom w:w="5" w:type="dxa"/>
              <w:right w:w="113" w:type="dxa"/>
            </w:tcMar>
            <w:hideMark/>
          </w:tcPr>
          <w:p w14:paraId="1F338F8F" w14:textId="77777777" w:rsidR="00592C29" w:rsidRDefault="0048296D" w:rsidP="005E403C">
            <w:pPr>
              <w:spacing w:line="276" w:lineRule="auto"/>
              <w:rPr>
                <w:color w:val="000000"/>
                <w:sz w:val="22"/>
                <w:szCs w:val="22"/>
              </w:rPr>
            </w:pPr>
            <w:r>
              <w:rPr>
                <w:rFonts w:ascii="Trebuchet MS" w:eastAsia="Trebuchet MS" w:hAnsi="Trebuchet MS" w:cs="Trebuchet MS"/>
                <w:b/>
                <w:bCs/>
                <w:color w:val="000000"/>
                <w:sz w:val="22"/>
                <w:szCs w:val="22"/>
              </w:rPr>
              <w:t>INTEREST:</w:t>
            </w:r>
          </w:p>
        </w:tc>
        <w:tc>
          <w:tcPr>
            <w:tcW w:w="7371" w:type="dxa"/>
            <w:tcMar>
              <w:top w:w="5" w:type="dxa"/>
              <w:left w:w="113" w:type="dxa"/>
              <w:bottom w:w="5" w:type="dxa"/>
              <w:right w:w="113" w:type="dxa"/>
            </w:tcMar>
            <w:hideMark/>
          </w:tcPr>
          <w:p w14:paraId="1817359F" w14:textId="77777777" w:rsidR="00592C29" w:rsidRDefault="0048296D" w:rsidP="005E403C">
            <w:pPr>
              <w:spacing w:after="120" w:line="276" w:lineRule="auto"/>
              <w:rPr>
                <w:color w:val="000000"/>
                <w:sz w:val="22"/>
                <w:szCs w:val="22"/>
              </w:rPr>
            </w:pPr>
            <w:r>
              <w:rPr>
                <w:rFonts w:ascii="Trebuchet MS" w:eastAsia="Trebuchet MS" w:hAnsi="Trebuchet MS" w:cs="Trebuchet MS"/>
                <w:color w:val="000000"/>
                <w:sz w:val="22"/>
                <w:szCs w:val="22"/>
              </w:rPr>
              <w:t>Real and Personal Property at the offices of the insured in the UK, Austria, New Zealand and Spain, including the additional coverages defined below:</w:t>
            </w:r>
          </w:p>
          <w:p w14:paraId="7C344D04" w14:textId="77777777" w:rsidR="00592C29" w:rsidRDefault="0048296D" w:rsidP="005E403C">
            <w:pPr>
              <w:spacing w:after="120" w:line="276" w:lineRule="auto"/>
              <w:rPr>
                <w:color w:val="000000"/>
                <w:sz w:val="22"/>
                <w:szCs w:val="22"/>
              </w:rPr>
            </w:pPr>
            <w:r>
              <w:rPr>
                <w:rFonts w:ascii="Trebuchet MS" w:eastAsia="Trebuchet MS" w:hAnsi="Trebuchet MS" w:cs="Trebuchet MS"/>
                <w:color w:val="000000"/>
                <w:sz w:val="22"/>
                <w:szCs w:val="22"/>
              </w:rPr>
              <w:t xml:space="preserve">Personal Property of the Insured's Officials and Employees while on the Premises of the Insured </w:t>
            </w:r>
          </w:p>
          <w:p w14:paraId="7D7B938D" w14:textId="77777777" w:rsidR="00592C29" w:rsidRDefault="0048296D" w:rsidP="005E403C">
            <w:pPr>
              <w:spacing w:after="120" w:line="276" w:lineRule="auto"/>
              <w:rPr>
                <w:color w:val="000000"/>
                <w:sz w:val="22"/>
                <w:szCs w:val="22"/>
              </w:rPr>
            </w:pPr>
            <w:r>
              <w:rPr>
                <w:rFonts w:ascii="Trebuchet MS" w:eastAsia="Trebuchet MS" w:hAnsi="Trebuchet MS" w:cs="Trebuchet MS"/>
                <w:color w:val="000000"/>
                <w:sz w:val="22"/>
                <w:szCs w:val="22"/>
              </w:rPr>
              <w:t>Improvements and Betterments</w:t>
            </w:r>
          </w:p>
          <w:p w14:paraId="08D8873B" w14:textId="77777777" w:rsidR="00592C29" w:rsidRDefault="0048296D" w:rsidP="005E403C">
            <w:pPr>
              <w:spacing w:after="120" w:line="276" w:lineRule="auto"/>
              <w:rPr>
                <w:color w:val="000000"/>
                <w:sz w:val="22"/>
                <w:szCs w:val="22"/>
              </w:rPr>
            </w:pPr>
            <w:r>
              <w:rPr>
                <w:rFonts w:ascii="Trebuchet MS" w:eastAsia="Trebuchet MS" w:hAnsi="Trebuchet MS" w:cs="Trebuchet MS"/>
                <w:color w:val="000000"/>
                <w:sz w:val="22"/>
                <w:szCs w:val="22"/>
              </w:rPr>
              <w:t>Business Interruption (Net Profits and / or Fixed Charges)</w:t>
            </w:r>
          </w:p>
          <w:p w14:paraId="75C89169" w14:textId="77777777" w:rsidR="00592C29" w:rsidRDefault="0048296D" w:rsidP="005E403C">
            <w:pPr>
              <w:spacing w:after="120" w:line="276" w:lineRule="auto"/>
              <w:rPr>
                <w:color w:val="000000"/>
                <w:sz w:val="22"/>
                <w:szCs w:val="22"/>
              </w:rPr>
            </w:pPr>
            <w:r>
              <w:rPr>
                <w:rFonts w:ascii="Trebuchet MS" w:eastAsia="Trebuchet MS" w:hAnsi="Trebuchet MS" w:cs="Trebuchet MS"/>
                <w:color w:val="000000"/>
                <w:sz w:val="22"/>
                <w:szCs w:val="22"/>
              </w:rPr>
              <w:t>Ordinary Payroll</w:t>
            </w:r>
          </w:p>
          <w:p w14:paraId="2A7F6514" w14:textId="77777777" w:rsidR="00592C29" w:rsidRDefault="0048296D" w:rsidP="005E403C">
            <w:pPr>
              <w:spacing w:after="120" w:line="276" w:lineRule="auto"/>
              <w:rPr>
                <w:color w:val="000000"/>
                <w:sz w:val="22"/>
                <w:szCs w:val="22"/>
              </w:rPr>
            </w:pPr>
            <w:r>
              <w:rPr>
                <w:rFonts w:ascii="Trebuchet MS" w:eastAsia="Trebuchet MS" w:hAnsi="Trebuchet MS" w:cs="Trebuchet MS"/>
                <w:color w:val="000000"/>
                <w:sz w:val="22"/>
                <w:szCs w:val="22"/>
              </w:rPr>
              <w:t>Rental Value / Rental Income</w:t>
            </w:r>
          </w:p>
          <w:p w14:paraId="74557486" w14:textId="77777777" w:rsidR="00592C29" w:rsidRDefault="0048296D" w:rsidP="005E403C">
            <w:pPr>
              <w:spacing w:after="120" w:line="276" w:lineRule="auto"/>
              <w:rPr>
                <w:color w:val="000000"/>
                <w:sz w:val="22"/>
                <w:szCs w:val="22"/>
              </w:rPr>
            </w:pPr>
            <w:r>
              <w:rPr>
                <w:rFonts w:ascii="Trebuchet MS" w:eastAsia="Trebuchet MS" w:hAnsi="Trebuchet MS" w:cs="Trebuchet MS"/>
                <w:color w:val="000000"/>
                <w:sz w:val="22"/>
                <w:szCs w:val="22"/>
              </w:rPr>
              <w:t>Electronic Data Processing Equipment and Machinery</w:t>
            </w:r>
          </w:p>
          <w:p w14:paraId="55E1CAB6" w14:textId="705A9807" w:rsidR="00592C29" w:rsidRPr="005E403C" w:rsidRDefault="0048296D" w:rsidP="005E403C">
            <w:pPr>
              <w:spacing w:after="120" w:line="276" w:lineRule="auto"/>
              <w:rPr>
                <w:rFonts w:ascii="Trebuchet MS" w:eastAsia="Trebuchet MS" w:hAnsi="Trebuchet MS" w:cs="Trebuchet MS"/>
                <w:sz w:val="22"/>
                <w:szCs w:val="22"/>
              </w:rPr>
            </w:pPr>
            <w:r>
              <w:rPr>
                <w:rFonts w:ascii="Trebuchet MS" w:eastAsia="Trebuchet MS" w:hAnsi="Trebuchet MS" w:cs="Trebuchet MS"/>
                <w:color w:val="000000"/>
                <w:sz w:val="22"/>
                <w:szCs w:val="22"/>
              </w:rPr>
              <w:t>and</w:t>
            </w:r>
            <w:r>
              <w:rPr>
                <w:rFonts w:ascii="Trebuchet MS" w:eastAsia="Trebuchet MS" w:hAnsi="Trebuchet MS" w:cs="Trebuchet MS"/>
                <w:color w:val="FF0000"/>
                <w:sz w:val="22"/>
                <w:szCs w:val="22"/>
              </w:rPr>
              <w:t xml:space="preserve"> </w:t>
            </w:r>
            <w:r>
              <w:rPr>
                <w:rFonts w:ascii="Trebuchet MS" w:eastAsia="Trebuchet MS" w:hAnsi="Trebuchet MS" w:cs="Trebuchet MS"/>
                <w:color w:val="000000"/>
                <w:sz w:val="22"/>
                <w:szCs w:val="22"/>
              </w:rPr>
              <w:t>as fully defined in the contract wording and clauses referenced herein.</w:t>
            </w:r>
            <w:r>
              <w:rPr>
                <w:rFonts w:ascii="Trebuchet MS" w:eastAsia="Trebuchet MS" w:hAnsi="Trebuchet MS" w:cs="Trebuchet MS"/>
                <w:color w:val="0000FF"/>
                <w:sz w:val="22"/>
                <w:szCs w:val="22"/>
              </w:rPr>
              <w:t xml:space="preserve"> </w:t>
            </w:r>
          </w:p>
          <w:p w14:paraId="5E8732C3" w14:textId="77777777" w:rsidR="005E403C" w:rsidRDefault="005E403C" w:rsidP="005E403C">
            <w:pPr>
              <w:spacing w:after="120" w:line="276" w:lineRule="auto"/>
              <w:rPr>
                <w:color w:val="000000"/>
                <w:sz w:val="22"/>
                <w:szCs w:val="22"/>
              </w:rPr>
            </w:pPr>
          </w:p>
          <w:p w14:paraId="45357540" w14:textId="77777777" w:rsidR="00592C29" w:rsidRDefault="00592C29" w:rsidP="005E403C">
            <w:pPr>
              <w:spacing w:after="120" w:line="276" w:lineRule="auto"/>
              <w:rPr>
                <w:color w:val="000000"/>
                <w:sz w:val="22"/>
                <w:szCs w:val="22"/>
              </w:rPr>
            </w:pPr>
          </w:p>
        </w:tc>
      </w:tr>
      <w:tr w:rsidR="00592C29" w14:paraId="0106400C" w14:textId="77777777">
        <w:tc>
          <w:tcPr>
            <w:tcW w:w="2376" w:type="dxa"/>
            <w:tcMar>
              <w:top w:w="5" w:type="dxa"/>
              <w:left w:w="113" w:type="dxa"/>
              <w:bottom w:w="5" w:type="dxa"/>
              <w:right w:w="113" w:type="dxa"/>
            </w:tcMar>
            <w:hideMark/>
          </w:tcPr>
          <w:p w14:paraId="6253F723" w14:textId="77777777" w:rsidR="00592C29" w:rsidRDefault="0048296D" w:rsidP="005E403C">
            <w:pPr>
              <w:spacing w:line="276" w:lineRule="auto"/>
              <w:rPr>
                <w:color w:val="000000"/>
                <w:sz w:val="22"/>
                <w:szCs w:val="22"/>
              </w:rPr>
            </w:pPr>
            <w:r>
              <w:rPr>
                <w:rFonts w:ascii="Trebuchet MS" w:eastAsia="Trebuchet MS" w:hAnsi="Trebuchet MS" w:cs="Trebuchet MS"/>
                <w:b/>
                <w:bCs/>
                <w:color w:val="000000"/>
                <w:sz w:val="22"/>
                <w:szCs w:val="22"/>
              </w:rPr>
              <w:t>LIMITS:</w:t>
            </w:r>
          </w:p>
        </w:tc>
        <w:tc>
          <w:tcPr>
            <w:tcW w:w="7371" w:type="dxa"/>
            <w:tcMar>
              <w:top w:w="5" w:type="dxa"/>
              <w:left w:w="113" w:type="dxa"/>
              <w:bottom w:w="5" w:type="dxa"/>
              <w:right w:w="113" w:type="dxa"/>
            </w:tcMar>
            <w:hideMark/>
          </w:tcPr>
          <w:p w14:paraId="4A3CD294" w14:textId="668E81AF" w:rsidR="00592C29" w:rsidRPr="00115642" w:rsidRDefault="0048296D" w:rsidP="00115642">
            <w:pPr>
              <w:spacing w:line="276" w:lineRule="auto"/>
              <w:rPr>
                <w:rFonts w:ascii="Trebuchet MS" w:eastAsia="Trebuchet MS" w:hAnsi="Trebuchet MS" w:cs="Trebuchet MS"/>
                <w:b/>
                <w:bCs/>
                <w:color w:val="000000"/>
                <w:sz w:val="22"/>
                <w:szCs w:val="22"/>
              </w:rPr>
            </w:pPr>
            <w:r>
              <w:rPr>
                <w:rFonts w:ascii="Trebuchet MS" w:eastAsia="Trebuchet MS" w:hAnsi="Trebuchet MS" w:cs="Trebuchet MS"/>
                <w:b/>
                <w:bCs/>
                <w:color w:val="000000"/>
                <w:sz w:val="22"/>
                <w:szCs w:val="22"/>
              </w:rPr>
              <w:t xml:space="preserve">Section 1 and 3: Property </w:t>
            </w:r>
            <w:r w:rsidR="00115642">
              <w:rPr>
                <w:rFonts w:ascii="Trebuchet MS" w:eastAsia="Trebuchet MS" w:hAnsi="Trebuchet MS" w:cs="Trebuchet MS"/>
                <w:b/>
                <w:bCs/>
                <w:color w:val="000000"/>
                <w:sz w:val="22"/>
                <w:szCs w:val="22"/>
              </w:rPr>
              <w:t xml:space="preserve"> </w:t>
            </w:r>
            <w:r>
              <w:rPr>
                <w:rFonts w:ascii="Trebuchet MS" w:eastAsia="Trebuchet MS" w:hAnsi="Trebuchet MS" w:cs="Trebuchet MS"/>
                <w:b/>
                <w:bCs/>
                <w:color w:val="000000"/>
                <w:sz w:val="22"/>
                <w:szCs w:val="22"/>
              </w:rPr>
              <w:t xml:space="preserve">(Section 1 EEA / UK / Monaco, Section 3 Rest of the World excluding EEA / UK / Monaco) </w:t>
            </w:r>
          </w:p>
          <w:p w14:paraId="30A96319" w14:textId="77777777" w:rsidR="00115642" w:rsidRDefault="00115642" w:rsidP="00115642">
            <w:pPr>
              <w:spacing w:line="276" w:lineRule="auto"/>
              <w:rPr>
                <w:rFonts w:ascii="Trebuchet MS" w:eastAsia="Trebuchet MS" w:hAnsi="Trebuchet MS" w:cs="Trebuchet MS"/>
                <w:color w:val="000000"/>
                <w:sz w:val="22"/>
                <w:szCs w:val="22"/>
              </w:rPr>
            </w:pPr>
          </w:p>
          <w:p w14:paraId="0B251CCA" w14:textId="24B436DC" w:rsidR="00592C29" w:rsidRDefault="0048296D" w:rsidP="00115642">
            <w:pPr>
              <w:spacing w:line="276" w:lineRule="auto"/>
              <w:rPr>
                <w:color w:val="000000"/>
                <w:sz w:val="22"/>
                <w:szCs w:val="22"/>
              </w:rPr>
            </w:pPr>
            <w:r>
              <w:rPr>
                <w:rFonts w:ascii="Trebuchet MS" w:eastAsia="Trebuchet MS" w:hAnsi="Trebuchet MS" w:cs="Trebuchet MS"/>
                <w:color w:val="000000"/>
                <w:sz w:val="22"/>
                <w:szCs w:val="22"/>
              </w:rPr>
              <w:t>GBP 10,000,000 any one occurrence and in the annual aggregate</w:t>
            </w:r>
          </w:p>
          <w:p w14:paraId="15B83EF2" w14:textId="77777777" w:rsidR="00115642" w:rsidRDefault="00115642" w:rsidP="00115642">
            <w:pPr>
              <w:spacing w:line="276" w:lineRule="auto"/>
              <w:rPr>
                <w:rFonts w:ascii="Trebuchet MS" w:eastAsia="Trebuchet MS" w:hAnsi="Trebuchet MS" w:cs="Trebuchet MS"/>
                <w:color w:val="000000"/>
                <w:sz w:val="22"/>
                <w:szCs w:val="22"/>
              </w:rPr>
            </w:pPr>
          </w:p>
          <w:p w14:paraId="67B037D4" w14:textId="78F62361" w:rsidR="00592C29" w:rsidRDefault="0048296D" w:rsidP="00115642">
            <w:pPr>
              <w:spacing w:line="276" w:lineRule="auto"/>
              <w:rPr>
                <w:color w:val="000000"/>
                <w:sz w:val="22"/>
                <w:szCs w:val="22"/>
              </w:rPr>
            </w:pPr>
            <w:r>
              <w:rPr>
                <w:rFonts w:ascii="Trebuchet MS" w:eastAsia="Trebuchet MS" w:hAnsi="Trebuchet MS" w:cs="Trebuchet MS"/>
                <w:color w:val="000000"/>
                <w:sz w:val="22"/>
                <w:szCs w:val="22"/>
              </w:rPr>
              <w:lastRenderedPageBreak/>
              <w:t xml:space="preserve">Program </w:t>
            </w:r>
            <w:proofErr w:type="spellStart"/>
            <w:r>
              <w:rPr>
                <w:rFonts w:ascii="Trebuchet MS" w:eastAsia="Trebuchet MS" w:hAnsi="Trebuchet MS" w:cs="Trebuchet MS"/>
                <w:color w:val="000000"/>
                <w:sz w:val="22"/>
                <w:szCs w:val="22"/>
              </w:rPr>
              <w:t>Sublimits</w:t>
            </w:r>
            <w:proofErr w:type="spellEnd"/>
            <w:r>
              <w:rPr>
                <w:rFonts w:ascii="Trebuchet MS" w:eastAsia="Trebuchet MS" w:hAnsi="Trebuchet MS" w:cs="Trebuchet MS"/>
                <w:color w:val="000000"/>
                <w:sz w:val="22"/>
                <w:szCs w:val="22"/>
              </w:rPr>
              <w:t xml:space="preserve"> schedule:</w:t>
            </w:r>
          </w:p>
          <w:p w14:paraId="6E5AB1AE" w14:textId="77777777" w:rsidR="00592C29" w:rsidRDefault="0048296D" w:rsidP="00115642">
            <w:pPr>
              <w:spacing w:line="276" w:lineRule="auto"/>
              <w:rPr>
                <w:color w:val="000000"/>
                <w:sz w:val="22"/>
                <w:szCs w:val="22"/>
              </w:rPr>
            </w:pPr>
            <w:r>
              <w:rPr>
                <w:rFonts w:ascii="Trebuchet MS" w:eastAsia="Trebuchet MS" w:hAnsi="Trebuchet MS" w:cs="Trebuchet MS"/>
                <w:color w:val="000000"/>
                <w:sz w:val="22"/>
                <w:szCs w:val="22"/>
              </w:rPr>
              <w:t>Flood:</w:t>
            </w:r>
            <w:r>
              <w:rPr>
                <w:rFonts w:ascii="Trebuchet MS" w:eastAsia="Trebuchet MS" w:hAnsi="Trebuchet MS" w:cs="Trebuchet MS"/>
                <w:color w:val="000000"/>
                <w:sz w:val="22"/>
                <w:szCs w:val="22"/>
              </w:rPr>
              <w:tab/>
            </w:r>
            <w:r>
              <w:rPr>
                <w:rFonts w:ascii="Trebuchet MS" w:eastAsia="Trebuchet MS" w:hAnsi="Trebuchet MS" w:cs="Trebuchet MS"/>
                <w:color w:val="000000"/>
                <w:sz w:val="22"/>
                <w:szCs w:val="22"/>
              </w:rPr>
              <w:tab/>
            </w:r>
            <w:r>
              <w:rPr>
                <w:rFonts w:ascii="Trebuchet MS" w:eastAsia="Trebuchet MS" w:hAnsi="Trebuchet MS" w:cs="Trebuchet MS"/>
                <w:color w:val="000000"/>
                <w:sz w:val="22"/>
                <w:szCs w:val="22"/>
              </w:rPr>
              <w:tab/>
              <w:t>GBP 2,000,000  any one occurrence</w:t>
            </w:r>
          </w:p>
          <w:p w14:paraId="285F4F1B" w14:textId="77777777" w:rsidR="00592C29" w:rsidRDefault="0048296D" w:rsidP="00115642">
            <w:pPr>
              <w:spacing w:line="276" w:lineRule="auto"/>
              <w:rPr>
                <w:color w:val="000000"/>
                <w:sz w:val="22"/>
                <w:szCs w:val="22"/>
              </w:rPr>
            </w:pPr>
            <w:r>
              <w:rPr>
                <w:rFonts w:ascii="Trebuchet MS" w:eastAsia="Trebuchet MS" w:hAnsi="Trebuchet MS" w:cs="Trebuchet MS"/>
                <w:color w:val="000000"/>
                <w:sz w:val="22"/>
                <w:szCs w:val="22"/>
              </w:rPr>
              <w:t>Boiler &amp; Machinery:</w:t>
            </w:r>
            <w:r>
              <w:rPr>
                <w:rFonts w:ascii="Trebuchet MS" w:eastAsia="Trebuchet MS" w:hAnsi="Trebuchet MS" w:cs="Trebuchet MS"/>
                <w:color w:val="000000"/>
                <w:sz w:val="22"/>
                <w:szCs w:val="22"/>
              </w:rPr>
              <w:tab/>
              <w:t>GBP 2,000,000 any one accident</w:t>
            </w:r>
          </w:p>
          <w:p w14:paraId="6B6A920D" w14:textId="77777777" w:rsidR="00592C29" w:rsidRDefault="00592C29" w:rsidP="00115642">
            <w:pPr>
              <w:spacing w:line="276" w:lineRule="auto"/>
              <w:rPr>
                <w:color w:val="000000"/>
                <w:sz w:val="22"/>
                <w:szCs w:val="22"/>
              </w:rPr>
            </w:pPr>
          </w:p>
          <w:p w14:paraId="7271F55B" w14:textId="77777777" w:rsidR="00592C29" w:rsidRDefault="0048296D" w:rsidP="00115642">
            <w:pPr>
              <w:spacing w:line="276" w:lineRule="auto"/>
              <w:rPr>
                <w:color w:val="000000"/>
                <w:sz w:val="22"/>
                <w:szCs w:val="22"/>
              </w:rPr>
            </w:pPr>
            <w:r>
              <w:rPr>
                <w:rFonts w:ascii="Trebuchet MS" w:eastAsia="Trebuchet MS" w:hAnsi="Trebuchet MS" w:cs="Trebuchet MS"/>
                <w:color w:val="000000"/>
                <w:sz w:val="22"/>
                <w:szCs w:val="22"/>
              </w:rPr>
              <w:t>Program Deductibles schedule:</w:t>
            </w:r>
          </w:p>
          <w:p w14:paraId="18DE8EFC" w14:textId="77777777" w:rsidR="00592C29" w:rsidRDefault="0048296D" w:rsidP="00115642">
            <w:pPr>
              <w:spacing w:line="276" w:lineRule="auto"/>
              <w:rPr>
                <w:color w:val="000000"/>
                <w:sz w:val="22"/>
                <w:szCs w:val="22"/>
              </w:rPr>
            </w:pPr>
            <w:r>
              <w:rPr>
                <w:rFonts w:ascii="Trebuchet MS" w:eastAsia="Trebuchet MS" w:hAnsi="Trebuchet MS" w:cs="Trebuchet MS"/>
                <w:color w:val="000000"/>
                <w:sz w:val="22"/>
                <w:szCs w:val="22"/>
              </w:rPr>
              <w:t>Each claim for loss or damage shall be subject to a combined Property Damage and Time Element deductible as follows:</w:t>
            </w:r>
          </w:p>
          <w:p w14:paraId="42CB6367" w14:textId="77777777" w:rsidR="00592C29" w:rsidRDefault="0048296D" w:rsidP="00115642">
            <w:pPr>
              <w:spacing w:line="276" w:lineRule="auto"/>
              <w:rPr>
                <w:color w:val="000000"/>
                <w:sz w:val="22"/>
                <w:szCs w:val="22"/>
              </w:rPr>
            </w:pPr>
            <w:r>
              <w:rPr>
                <w:rFonts w:ascii="Trebuchet MS" w:eastAsia="Trebuchet MS" w:hAnsi="Trebuchet MS" w:cs="Trebuchet MS"/>
                <w:color w:val="000000"/>
                <w:sz w:val="22"/>
                <w:szCs w:val="22"/>
              </w:rPr>
              <w:t>Windstorm / Flood:</w:t>
            </w:r>
            <w:r>
              <w:rPr>
                <w:rFonts w:ascii="Trebuchet MS" w:eastAsia="Trebuchet MS" w:hAnsi="Trebuchet MS" w:cs="Trebuchet MS"/>
                <w:color w:val="000000"/>
                <w:sz w:val="22"/>
                <w:szCs w:val="22"/>
              </w:rPr>
              <w:tab/>
              <w:t>GBP   2,000,000</w:t>
            </w:r>
          </w:p>
          <w:p w14:paraId="0FB13938" w14:textId="77777777" w:rsidR="00592C29" w:rsidRDefault="00592C29" w:rsidP="00115642">
            <w:pPr>
              <w:spacing w:line="276" w:lineRule="auto"/>
              <w:rPr>
                <w:color w:val="000000"/>
                <w:sz w:val="22"/>
                <w:szCs w:val="22"/>
              </w:rPr>
            </w:pPr>
          </w:p>
          <w:p w14:paraId="1CECC1CF" w14:textId="3D998F92" w:rsidR="00592C29" w:rsidRDefault="0048296D" w:rsidP="00115642">
            <w:pPr>
              <w:spacing w:line="276" w:lineRule="auto"/>
              <w:rPr>
                <w:color w:val="000000"/>
                <w:sz w:val="22"/>
                <w:szCs w:val="22"/>
              </w:rPr>
            </w:pPr>
            <w:r>
              <w:rPr>
                <w:rFonts w:ascii="Trebuchet MS" w:eastAsia="Trebuchet MS" w:hAnsi="Trebuchet MS" w:cs="Trebuchet MS"/>
                <w:b/>
                <w:bCs/>
                <w:color w:val="000000"/>
                <w:sz w:val="22"/>
                <w:szCs w:val="22"/>
              </w:rPr>
              <w:t xml:space="preserve">Section 2 and 4: Business Interruption </w:t>
            </w:r>
            <w:r w:rsidR="00115642">
              <w:rPr>
                <w:rFonts w:ascii="Trebuchet MS" w:eastAsia="Trebuchet MS" w:hAnsi="Trebuchet MS" w:cs="Trebuchet MS"/>
                <w:b/>
                <w:bCs/>
                <w:color w:val="000000"/>
                <w:sz w:val="22"/>
                <w:szCs w:val="22"/>
              </w:rPr>
              <w:t xml:space="preserve"> </w:t>
            </w:r>
            <w:r>
              <w:rPr>
                <w:rFonts w:ascii="Trebuchet MS" w:eastAsia="Trebuchet MS" w:hAnsi="Trebuchet MS" w:cs="Trebuchet MS"/>
                <w:b/>
                <w:bCs/>
                <w:color w:val="000000"/>
                <w:sz w:val="22"/>
                <w:szCs w:val="22"/>
              </w:rPr>
              <w:t xml:space="preserve">(Section 2 EEA / UK / Monaco, Section 4 Rest of the World excluding EEA / UK / Monaco) </w:t>
            </w:r>
          </w:p>
          <w:p w14:paraId="07615C76" w14:textId="77777777" w:rsidR="00115642" w:rsidRDefault="00115642" w:rsidP="00115642">
            <w:pPr>
              <w:spacing w:line="276" w:lineRule="auto"/>
              <w:rPr>
                <w:rFonts w:ascii="Trebuchet MS" w:eastAsia="Trebuchet MS" w:hAnsi="Trebuchet MS" w:cs="Trebuchet MS"/>
                <w:color w:val="000000"/>
                <w:sz w:val="22"/>
                <w:szCs w:val="22"/>
              </w:rPr>
            </w:pPr>
          </w:p>
          <w:p w14:paraId="773799D3" w14:textId="6D4B935E" w:rsidR="00592C29" w:rsidRDefault="0048296D" w:rsidP="00115642">
            <w:pPr>
              <w:spacing w:line="276" w:lineRule="auto"/>
              <w:rPr>
                <w:color w:val="000000"/>
                <w:sz w:val="22"/>
                <w:szCs w:val="22"/>
              </w:rPr>
            </w:pPr>
            <w:r>
              <w:rPr>
                <w:rFonts w:ascii="Trebuchet MS" w:eastAsia="Trebuchet MS" w:hAnsi="Trebuchet MS" w:cs="Trebuchet MS"/>
                <w:color w:val="000000"/>
                <w:sz w:val="22"/>
                <w:szCs w:val="22"/>
              </w:rPr>
              <w:t>GBP 60,000,000 each occurrence and in the aggregate</w:t>
            </w:r>
          </w:p>
          <w:p w14:paraId="4851D489" w14:textId="77777777" w:rsidR="00115642" w:rsidRDefault="00115642" w:rsidP="00115642">
            <w:pPr>
              <w:spacing w:line="276" w:lineRule="auto"/>
              <w:rPr>
                <w:color w:val="000000"/>
                <w:sz w:val="22"/>
                <w:szCs w:val="22"/>
              </w:rPr>
            </w:pPr>
          </w:p>
          <w:p w14:paraId="68F458F9" w14:textId="77777777" w:rsidR="00592C29" w:rsidRDefault="00592C29" w:rsidP="005E403C">
            <w:pPr>
              <w:spacing w:after="120" w:line="276" w:lineRule="auto"/>
              <w:rPr>
                <w:color w:val="000000"/>
                <w:sz w:val="22"/>
                <w:szCs w:val="22"/>
              </w:rPr>
            </w:pPr>
          </w:p>
        </w:tc>
      </w:tr>
      <w:tr w:rsidR="00592C29" w14:paraId="03765393" w14:textId="77777777">
        <w:tc>
          <w:tcPr>
            <w:tcW w:w="2376" w:type="dxa"/>
            <w:tcMar>
              <w:top w:w="5" w:type="dxa"/>
              <w:left w:w="113" w:type="dxa"/>
              <w:bottom w:w="5" w:type="dxa"/>
              <w:right w:w="113" w:type="dxa"/>
            </w:tcMar>
            <w:hideMark/>
          </w:tcPr>
          <w:p w14:paraId="67D3BBF0" w14:textId="77777777" w:rsidR="00592C29" w:rsidRDefault="0048296D" w:rsidP="00115642">
            <w:pPr>
              <w:spacing w:line="276" w:lineRule="auto"/>
              <w:ind w:left="1980" w:hanging="1980"/>
              <w:rPr>
                <w:color w:val="000000"/>
                <w:sz w:val="22"/>
                <w:szCs w:val="22"/>
              </w:rPr>
            </w:pPr>
            <w:r>
              <w:rPr>
                <w:rFonts w:ascii="Trebuchet MS" w:eastAsia="Trebuchet MS" w:hAnsi="Trebuchet MS" w:cs="Trebuchet MS"/>
                <w:b/>
                <w:bCs/>
                <w:color w:val="000000"/>
                <w:sz w:val="22"/>
                <w:szCs w:val="22"/>
              </w:rPr>
              <w:lastRenderedPageBreak/>
              <w:t xml:space="preserve">INSURED’S </w:t>
            </w:r>
          </w:p>
          <w:p w14:paraId="40DDCD24" w14:textId="77777777" w:rsidR="00592C29" w:rsidRDefault="0048296D" w:rsidP="00115642">
            <w:pPr>
              <w:spacing w:line="276" w:lineRule="auto"/>
              <w:rPr>
                <w:color w:val="000000"/>
                <w:sz w:val="22"/>
                <w:szCs w:val="22"/>
              </w:rPr>
            </w:pPr>
            <w:r>
              <w:rPr>
                <w:rFonts w:ascii="Trebuchet MS" w:eastAsia="Trebuchet MS" w:hAnsi="Trebuchet MS" w:cs="Trebuchet MS"/>
                <w:b/>
                <w:bCs/>
                <w:color w:val="000000"/>
                <w:sz w:val="22"/>
                <w:szCs w:val="22"/>
              </w:rPr>
              <w:t>RETENTION</w:t>
            </w:r>
            <w:r>
              <w:rPr>
                <w:rFonts w:ascii="Trebuchet MS" w:eastAsia="Trebuchet MS" w:hAnsi="Trebuchet MS" w:cs="Trebuchet MS"/>
                <w:color w:val="000000"/>
                <w:sz w:val="22"/>
                <w:szCs w:val="22"/>
              </w:rPr>
              <w:t>:</w:t>
            </w:r>
          </w:p>
        </w:tc>
        <w:tc>
          <w:tcPr>
            <w:tcW w:w="7371" w:type="dxa"/>
            <w:tcMar>
              <w:top w:w="5" w:type="dxa"/>
              <w:left w:w="113" w:type="dxa"/>
              <w:bottom w:w="5" w:type="dxa"/>
              <w:right w:w="113" w:type="dxa"/>
            </w:tcMar>
            <w:hideMark/>
          </w:tcPr>
          <w:p w14:paraId="1813B30D" w14:textId="77777777" w:rsidR="00592C29" w:rsidRDefault="0048296D" w:rsidP="00115642">
            <w:pPr>
              <w:spacing w:after="120" w:line="276" w:lineRule="auto"/>
              <w:rPr>
                <w:color w:val="000000"/>
                <w:sz w:val="22"/>
                <w:szCs w:val="22"/>
              </w:rPr>
            </w:pPr>
            <w:r>
              <w:rPr>
                <w:rFonts w:ascii="Trebuchet MS" w:eastAsia="Trebuchet MS" w:hAnsi="Trebuchet MS" w:cs="Trebuchet MS"/>
                <w:color w:val="000000"/>
                <w:sz w:val="22"/>
                <w:szCs w:val="22"/>
              </w:rPr>
              <w:t>20% of 100%.</w:t>
            </w:r>
          </w:p>
          <w:p w14:paraId="1B8C907F" w14:textId="77777777" w:rsidR="00592C29" w:rsidRDefault="00592C29" w:rsidP="00115642">
            <w:pPr>
              <w:spacing w:after="120" w:line="276" w:lineRule="auto"/>
              <w:rPr>
                <w:color w:val="000000"/>
                <w:sz w:val="22"/>
                <w:szCs w:val="22"/>
              </w:rPr>
            </w:pPr>
          </w:p>
          <w:p w14:paraId="7A900E02" w14:textId="77777777" w:rsidR="00592C29" w:rsidRDefault="00592C29" w:rsidP="00115642">
            <w:pPr>
              <w:spacing w:after="120" w:line="276" w:lineRule="auto"/>
              <w:rPr>
                <w:color w:val="000000"/>
                <w:sz w:val="22"/>
                <w:szCs w:val="22"/>
              </w:rPr>
            </w:pPr>
          </w:p>
        </w:tc>
      </w:tr>
      <w:tr w:rsidR="00592C29" w14:paraId="4831581E" w14:textId="77777777">
        <w:tc>
          <w:tcPr>
            <w:tcW w:w="2376" w:type="dxa"/>
            <w:tcMar>
              <w:top w:w="5" w:type="dxa"/>
              <w:left w:w="113" w:type="dxa"/>
              <w:bottom w:w="5" w:type="dxa"/>
              <w:right w:w="113" w:type="dxa"/>
            </w:tcMar>
            <w:hideMark/>
          </w:tcPr>
          <w:p w14:paraId="6D70D0CB" w14:textId="77777777" w:rsidR="00592C29" w:rsidRDefault="0048296D" w:rsidP="00115642">
            <w:pPr>
              <w:spacing w:line="276" w:lineRule="auto"/>
              <w:rPr>
                <w:color w:val="000000"/>
                <w:sz w:val="22"/>
                <w:szCs w:val="22"/>
              </w:rPr>
            </w:pPr>
            <w:r>
              <w:rPr>
                <w:rFonts w:ascii="Trebuchet MS" w:eastAsia="Trebuchet MS" w:hAnsi="Trebuchet MS" w:cs="Trebuchet MS"/>
                <w:b/>
                <w:bCs/>
                <w:color w:val="000000"/>
                <w:sz w:val="22"/>
                <w:szCs w:val="22"/>
              </w:rPr>
              <w:t>SITUATION:</w:t>
            </w:r>
          </w:p>
        </w:tc>
        <w:tc>
          <w:tcPr>
            <w:tcW w:w="7371" w:type="dxa"/>
            <w:tcMar>
              <w:top w:w="5" w:type="dxa"/>
              <w:left w:w="113" w:type="dxa"/>
              <w:bottom w:w="5" w:type="dxa"/>
              <w:right w:w="113" w:type="dxa"/>
            </w:tcMar>
            <w:hideMark/>
          </w:tcPr>
          <w:p w14:paraId="1C06E3E6" w14:textId="77777777" w:rsidR="00592C29" w:rsidRDefault="0048296D" w:rsidP="00115642">
            <w:pPr>
              <w:spacing w:after="120" w:line="276" w:lineRule="auto"/>
              <w:rPr>
                <w:color w:val="000000"/>
                <w:sz w:val="22"/>
                <w:szCs w:val="22"/>
              </w:rPr>
            </w:pPr>
            <w:r>
              <w:rPr>
                <w:rFonts w:ascii="Trebuchet MS" w:eastAsia="Trebuchet MS" w:hAnsi="Trebuchet MS" w:cs="Trebuchet MS"/>
                <w:color w:val="000000"/>
                <w:sz w:val="22"/>
                <w:szCs w:val="22"/>
              </w:rPr>
              <w:t>Offices of the insured in the UK, Spain, New Zealand and Austria.</w:t>
            </w:r>
          </w:p>
          <w:p w14:paraId="725ABE81" w14:textId="77777777" w:rsidR="00592C29" w:rsidRDefault="00592C29" w:rsidP="00115642">
            <w:pPr>
              <w:spacing w:after="120" w:line="276" w:lineRule="auto"/>
              <w:rPr>
                <w:color w:val="000000"/>
                <w:sz w:val="22"/>
                <w:szCs w:val="22"/>
              </w:rPr>
            </w:pPr>
          </w:p>
          <w:p w14:paraId="1E4B420B" w14:textId="77777777" w:rsidR="00592C29" w:rsidRDefault="00592C29" w:rsidP="00115642">
            <w:pPr>
              <w:spacing w:after="120" w:line="276" w:lineRule="auto"/>
              <w:rPr>
                <w:color w:val="000000"/>
                <w:sz w:val="22"/>
                <w:szCs w:val="22"/>
              </w:rPr>
            </w:pPr>
          </w:p>
        </w:tc>
      </w:tr>
      <w:tr w:rsidR="00592C29" w14:paraId="778BE699" w14:textId="77777777">
        <w:tc>
          <w:tcPr>
            <w:tcW w:w="2376" w:type="dxa"/>
            <w:tcMar>
              <w:top w:w="5" w:type="dxa"/>
              <w:left w:w="113" w:type="dxa"/>
              <w:bottom w:w="5" w:type="dxa"/>
              <w:right w:w="113" w:type="dxa"/>
            </w:tcMar>
            <w:hideMark/>
          </w:tcPr>
          <w:p w14:paraId="280E529D" w14:textId="77777777" w:rsidR="00592C29" w:rsidRDefault="0048296D" w:rsidP="00115642">
            <w:pPr>
              <w:spacing w:line="276" w:lineRule="auto"/>
              <w:rPr>
                <w:color w:val="000000"/>
                <w:sz w:val="22"/>
                <w:szCs w:val="22"/>
              </w:rPr>
            </w:pPr>
            <w:r>
              <w:rPr>
                <w:rFonts w:ascii="Trebuchet MS" w:eastAsia="Trebuchet MS" w:hAnsi="Trebuchet MS" w:cs="Trebuchet MS"/>
                <w:b/>
                <w:bCs/>
                <w:color w:val="000000"/>
                <w:sz w:val="22"/>
                <w:szCs w:val="22"/>
              </w:rPr>
              <w:t>CONDITIONS:</w:t>
            </w:r>
          </w:p>
        </w:tc>
        <w:tc>
          <w:tcPr>
            <w:tcW w:w="7371" w:type="dxa"/>
            <w:tcMar>
              <w:top w:w="5" w:type="dxa"/>
              <w:left w:w="113" w:type="dxa"/>
              <w:bottom w:w="5" w:type="dxa"/>
              <w:right w:w="113" w:type="dxa"/>
            </w:tcMar>
            <w:hideMark/>
          </w:tcPr>
          <w:p w14:paraId="48841119" w14:textId="77777777" w:rsidR="00592C29" w:rsidRDefault="0048296D" w:rsidP="00115642">
            <w:pPr>
              <w:spacing w:after="120" w:line="240" w:lineRule="atLeast"/>
              <w:rPr>
                <w:color w:val="000000"/>
              </w:rPr>
            </w:pPr>
            <w:r>
              <w:rPr>
                <w:rFonts w:ascii="Trebuchet MS" w:eastAsia="Trebuchet MS" w:hAnsi="Trebuchet MS" w:cs="Trebuchet MS"/>
                <w:color w:val="000000"/>
                <w:sz w:val="22"/>
                <w:szCs w:val="22"/>
              </w:rPr>
              <w:t>XYZ Insurer - Primary Property wording CPROP192 - dated January 2005</w:t>
            </w:r>
          </w:p>
          <w:p w14:paraId="0D90D18A" w14:textId="77777777" w:rsidR="00592C29" w:rsidRDefault="0048296D" w:rsidP="00115642">
            <w:pPr>
              <w:spacing w:after="120" w:line="240" w:lineRule="atLeast"/>
              <w:rPr>
                <w:color w:val="000000"/>
              </w:rPr>
            </w:pPr>
            <w:r>
              <w:rPr>
                <w:rFonts w:ascii="Trebuchet MS" w:eastAsia="Trebuchet MS" w:hAnsi="Trebuchet MS" w:cs="Trebuchet MS"/>
                <w:color w:val="000000"/>
                <w:sz w:val="22"/>
                <w:szCs w:val="22"/>
              </w:rPr>
              <w:t>NMA 2914 (Amended Perils) Electronic Data Endorsement A (Section two sub-limit USD 100,000,000)</w:t>
            </w:r>
          </w:p>
          <w:p w14:paraId="07C34C5D" w14:textId="77777777" w:rsidR="00592C29" w:rsidRDefault="0048296D" w:rsidP="00115642">
            <w:pPr>
              <w:spacing w:after="120" w:line="240" w:lineRule="atLeast"/>
              <w:rPr>
                <w:color w:val="000000"/>
              </w:rPr>
            </w:pPr>
            <w:r>
              <w:rPr>
                <w:rFonts w:ascii="Trebuchet MS" w:eastAsia="Trebuchet MS" w:hAnsi="Trebuchet MS" w:cs="Trebuchet MS"/>
                <w:color w:val="000000"/>
                <w:sz w:val="22"/>
                <w:szCs w:val="22"/>
              </w:rPr>
              <w:t>LMA 5019 Asbestos Endorsement</w:t>
            </w:r>
          </w:p>
          <w:p w14:paraId="6A554C39" w14:textId="77777777" w:rsidR="00592C29" w:rsidRDefault="0048296D" w:rsidP="00115642">
            <w:pPr>
              <w:spacing w:after="120" w:line="240" w:lineRule="atLeast"/>
              <w:rPr>
                <w:color w:val="000000"/>
              </w:rPr>
            </w:pPr>
            <w:r>
              <w:rPr>
                <w:rFonts w:ascii="Trebuchet MS" w:eastAsia="Trebuchet MS" w:hAnsi="Trebuchet MS" w:cs="Trebuchet MS"/>
                <w:color w:val="000000"/>
                <w:sz w:val="22"/>
                <w:szCs w:val="22"/>
              </w:rPr>
              <w:t>NMA 2962 Biological or Chemical Materials Exclusion</w:t>
            </w:r>
          </w:p>
          <w:p w14:paraId="655A08A3" w14:textId="77777777" w:rsidR="00592C29" w:rsidRDefault="0048296D" w:rsidP="00115642">
            <w:pPr>
              <w:spacing w:after="120" w:line="276" w:lineRule="auto"/>
              <w:rPr>
                <w:color w:val="000000"/>
                <w:sz w:val="22"/>
                <w:szCs w:val="22"/>
              </w:rPr>
            </w:pPr>
            <w:r>
              <w:rPr>
                <w:rFonts w:ascii="Trebuchet MS" w:eastAsia="Trebuchet MS" w:hAnsi="Trebuchet MS" w:cs="Trebuchet MS"/>
                <w:color w:val="000000"/>
                <w:sz w:val="22"/>
                <w:szCs w:val="22"/>
              </w:rPr>
              <w:t>LSW 3001 Premium Payment Clause</w:t>
            </w:r>
          </w:p>
          <w:p w14:paraId="4A0A3E90" w14:textId="77777777" w:rsidR="00592C29" w:rsidRDefault="0048296D" w:rsidP="00115642">
            <w:pPr>
              <w:spacing w:after="120" w:line="240" w:lineRule="atLeast"/>
              <w:rPr>
                <w:color w:val="000000"/>
              </w:rPr>
            </w:pPr>
            <w:r>
              <w:rPr>
                <w:rFonts w:ascii="Trebuchet MS" w:eastAsia="Trebuchet MS" w:hAnsi="Trebuchet MS" w:cs="Trebuchet MS"/>
                <w:color w:val="000000"/>
                <w:sz w:val="22"/>
                <w:szCs w:val="22"/>
              </w:rPr>
              <w:t xml:space="preserve">Shared Limits Endorsement </w:t>
            </w:r>
            <w:proofErr w:type="spellStart"/>
            <w:r>
              <w:rPr>
                <w:rFonts w:ascii="Trebuchet MS" w:eastAsia="Trebuchet MS" w:hAnsi="Trebuchet MS" w:cs="Trebuchet MS"/>
                <w:color w:val="000000"/>
                <w:sz w:val="22"/>
                <w:szCs w:val="22"/>
              </w:rPr>
              <w:t>LMAxxxx</w:t>
            </w:r>
            <w:proofErr w:type="spellEnd"/>
            <w:r>
              <w:rPr>
                <w:rFonts w:ascii="Trebuchet MS" w:eastAsia="Trebuchet MS" w:hAnsi="Trebuchet MS" w:cs="Trebuchet MS"/>
                <w:color w:val="000000"/>
                <w:sz w:val="22"/>
                <w:szCs w:val="22"/>
              </w:rPr>
              <w:t xml:space="preserve"> </w:t>
            </w:r>
            <w:r>
              <w:rPr>
                <w:rFonts w:ascii="Trebuchet MS" w:eastAsia="Trebuchet MS" w:hAnsi="Trebuchet MS" w:cs="Trebuchet MS"/>
                <w:i/>
                <w:iCs/>
                <w:color w:val="000000"/>
                <w:sz w:val="22"/>
                <w:szCs w:val="22"/>
              </w:rPr>
              <w:t>(“Interlocking language”)</w:t>
            </w:r>
          </w:p>
          <w:p w14:paraId="060F02FE" w14:textId="77777777" w:rsidR="00592C29" w:rsidRDefault="0048296D" w:rsidP="00115642">
            <w:pPr>
              <w:spacing w:after="120" w:line="240" w:lineRule="atLeast"/>
              <w:rPr>
                <w:color w:val="000000"/>
              </w:rPr>
            </w:pPr>
            <w:r>
              <w:rPr>
                <w:rFonts w:ascii="Trebuchet MS" w:eastAsia="Trebuchet MS" w:hAnsi="Trebuchet MS" w:cs="Trebuchet MS"/>
                <w:color w:val="000000"/>
                <w:sz w:val="22"/>
                <w:szCs w:val="22"/>
              </w:rPr>
              <w:t xml:space="preserve">Shared Aggregate Deductible Endorsement </w:t>
            </w:r>
            <w:proofErr w:type="spellStart"/>
            <w:r>
              <w:rPr>
                <w:rFonts w:ascii="Trebuchet MS" w:eastAsia="Trebuchet MS" w:hAnsi="Trebuchet MS" w:cs="Trebuchet MS"/>
                <w:color w:val="000000"/>
                <w:sz w:val="22"/>
                <w:szCs w:val="22"/>
              </w:rPr>
              <w:t>LMAxxxx</w:t>
            </w:r>
            <w:proofErr w:type="spellEnd"/>
            <w:r>
              <w:rPr>
                <w:rFonts w:ascii="Trebuchet MS" w:eastAsia="Trebuchet MS" w:hAnsi="Trebuchet MS" w:cs="Trebuchet MS"/>
                <w:color w:val="000000"/>
                <w:sz w:val="22"/>
                <w:szCs w:val="22"/>
              </w:rPr>
              <w:t xml:space="preserve"> </w:t>
            </w:r>
            <w:r>
              <w:rPr>
                <w:rFonts w:ascii="Trebuchet MS" w:eastAsia="Trebuchet MS" w:hAnsi="Trebuchet MS" w:cs="Trebuchet MS"/>
                <w:i/>
                <w:iCs/>
                <w:color w:val="000000"/>
                <w:sz w:val="22"/>
                <w:szCs w:val="22"/>
              </w:rPr>
              <w:t>(“Interlocking language”)</w:t>
            </w:r>
          </w:p>
          <w:p w14:paraId="08F2743D" w14:textId="77777777" w:rsidR="00592C29" w:rsidRDefault="0048296D" w:rsidP="00115642">
            <w:pPr>
              <w:spacing w:after="120" w:line="240" w:lineRule="atLeast"/>
              <w:rPr>
                <w:color w:val="000000"/>
              </w:rPr>
            </w:pPr>
            <w:r>
              <w:rPr>
                <w:rFonts w:ascii="Trebuchet MS" w:eastAsia="Trebuchet MS" w:hAnsi="Trebuchet MS" w:cs="Trebuchet MS"/>
                <w:color w:val="000000"/>
                <w:sz w:val="22"/>
                <w:szCs w:val="22"/>
              </w:rPr>
              <w:t>Service of Suit and Jurisdiction Clause  LBS0006</w:t>
            </w:r>
          </w:p>
          <w:p w14:paraId="1E2792C5" w14:textId="77777777" w:rsidR="00592C29" w:rsidRDefault="00592C29" w:rsidP="00115642">
            <w:pPr>
              <w:spacing w:after="120" w:line="276" w:lineRule="auto"/>
              <w:rPr>
                <w:color w:val="000000"/>
                <w:sz w:val="22"/>
                <w:szCs w:val="22"/>
              </w:rPr>
            </w:pPr>
          </w:p>
          <w:p w14:paraId="40618083" w14:textId="218FA131" w:rsidR="00FE6544" w:rsidRDefault="00FE6544" w:rsidP="00115642">
            <w:pPr>
              <w:spacing w:after="120" w:line="276" w:lineRule="auto"/>
              <w:rPr>
                <w:color w:val="000000"/>
                <w:sz w:val="22"/>
                <w:szCs w:val="22"/>
              </w:rPr>
            </w:pPr>
          </w:p>
        </w:tc>
      </w:tr>
      <w:tr w:rsidR="00592C29" w14:paraId="0A4FD9DB" w14:textId="77777777">
        <w:tc>
          <w:tcPr>
            <w:tcW w:w="2376" w:type="dxa"/>
            <w:tcMar>
              <w:top w:w="5" w:type="dxa"/>
              <w:left w:w="113" w:type="dxa"/>
              <w:bottom w:w="5" w:type="dxa"/>
              <w:right w:w="113" w:type="dxa"/>
            </w:tcMar>
            <w:hideMark/>
          </w:tcPr>
          <w:p w14:paraId="4D1A6096" w14:textId="77777777" w:rsidR="00592C29" w:rsidRDefault="0048296D" w:rsidP="00115642">
            <w:pPr>
              <w:spacing w:line="276" w:lineRule="auto"/>
              <w:rPr>
                <w:color w:val="000000"/>
                <w:sz w:val="22"/>
                <w:szCs w:val="22"/>
              </w:rPr>
            </w:pPr>
            <w:r>
              <w:rPr>
                <w:rFonts w:ascii="Trebuchet MS" w:eastAsia="Trebuchet MS" w:hAnsi="Trebuchet MS" w:cs="Trebuchet MS"/>
                <w:b/>
                <w:bCs/>
                <w:color w:val="000000"/>
                <w:sz w:val="22"/>
                <w:szCs w:val="22"/>
              </w:rPr>
              <w:t>LOSS PAYEE:</w:t>
            </w:r>
          </w:p>
        </w:tc>
        <w:tc>
          <w:tcPr>
            <w:tcW w:w="7371" w:type="dxa"/>
            <w:tcMar>
              <w:top w:w="5" w:type="dxa"/>
              <w:left w:w="113" w:type="dxa"/>
              <w:bottom w:w="5" w:type="dxa"/>
              <w:right w:w="113" w:type="dxa"/>
            </w:tcMar>
            <w:hideMark/>
          </w:tcPr>
          <w:p w14:paraId="5721FC61" w14:textId="4D940D0A" w:rsidR="00592C29" w:rsidRDefault="0048296D" w:rsidP="00115642">
            <w:pPr>
              <w:spacing w:after="120" w:line="240" w:lineRule="atLeast"/>
              <w:rPr>
                <w:color w:val="000000"/>
              </w:rPr>
            </w:pPr>
            <w:r>
              <w:rPr>
                <w:rFonts w:ascii="Trebuchet MS" w:eastAsia="Trebuchet MS" w:hAnsi="Trebuchet MS" w:cs="Trebuchet MS"/>
                <w:color w:val="000000"/>
                <w:sz w:val="22"/>
                <w:szCs w:val="22"/>
              </w:rPr>
              <w:t>XXXX Inc. Number 2 Boulevard, Milton Keynes, UK</w:t>
            </w:r>
          </w:p>
          <w:p w14:paraId="10F5E051" w14:textId="77777777" w:rsidR="00592C29" w:rsidRDefault="00592C29" w:rsidP="00115642">
            <w:pPr>
              <w:spacing w:after="120" w:line="240" w:lineRule="atLeast"/>
              <w:rPr>
                <w:color w:val="000000"/>
              </w:rPr>
            </w:pPr>
          </w:p>
          <w:p w14:paraId="4DDBF4EC" w14:textId="6F364B5B" w:rsidR="00FE6544" w:rsidRDefault="00FE6544" w:rsidP="00115642">
            <w:pPr>
              <w:spacing w:after="120" w:line="240" w:lineRule="atLeast"/>
              <w:rPr>
                <w:color w:val="000000"/>
              </w:rPr>
            </w:pPr>
          </w:p>
        </w:tc>
      </w:tr>
      <w:tr w:rsidR="00592C29" w14:paraId="3E4A3E86" w14:textId="77777777">
        <w:tc>
          <w:tcPr>
            <w:tcW w:w="2376" w:type="dxa"/>
            <w:tcMar>
              <w:top w:w="5" w:type="dxa"/>
              <w:left w:w="113" w:type="dxa"/>
              <w:bottom w:w="5" w:type="dxa"/>
              <w:right w:w="113" w:type="dxa"/>
            </w:tcMar>
            <w:hideMark/>
          </w:tcPr>
          <w:p w14:paraId="34654B0D" w14:textId="77777777" w:rsidR="00592C29" w:rsidRDefault="0048296D" w:rsidP="00115642">
            <w:pPr>
              <w:spacing w:line="276" w:lineRule="auto"/>
              <w:rPr>
                <w:color w:val="000000"/>
                <w:sz w:val="22"/>
                <w:szCs w:val="22"/>
              </w:rPr>
            </w:pPr>
            <w:r>
              <w:rPr>
                <w:rFonts w:ascii="Trebuchet MS" w:eastAsia="Trebuchet MS" w:hAnsi="Trebuchet MS" w:cs="Trebuchet MS"/>
                <w:b/>
                <w:bCs/>
                <w:color w:val="000000"/>
                <w:sz w:val="22"/>
                <w:szCs w:val="22"/>
              </w:rPr>
              <w:t>SUBJECTIVITIES:</w:t>
            </w:r>
          </w:p>
        </w:tc>
        <w:tc>
          <w:tcPr>
            <w:tcW w:w="7371" w:type="dxa"/>
            <w:tcMar>
              <w:top w:w="5" w:type="dxa"/>
              <w:left w:w="113" w:type="dxa"/>
              <w:bottom w:w="5" w:type="dxa"/>
              <w:right w:w="113" w:type="dxa"/>
            </w:tcMar>
            <w:hideMark/>
          </w:tcPr>
          <w:p w14:paraId="2CFCF6CF" w14:textId="77777777" w:rsidR="00592C29" w:rsidRDefault="0048296D" w:rsidP="00115642">
            <w:pPr>
              <w:spacing w:after="120" w:line="264" w:lineRule="auto"/>
              <w:ind w:right="238"/>
              <w:rPr>
                <w:color w:val="000000"/>
                <w:sz w:val="22"/>
                <w:szCs w:val="22"/>
              </w:rPr>
            </w:pPr>
            <w:r>
              <w:rPr>
                <w:rFonts w:ascii="Trebuchet MS" w:eastAsia="Trebuchet MS" w:hAnsi="Trebuchet MS" w:cs="Trebuchet MS"/>
                <w:color w:val="000000"/>
                <w:sz w:val="22"/>
                <w:szCs w:val="22"/>
              </w:rPr>
              <w:t>The Insured shall provide to the Insurer a property survey report on the insured addresses such report to be prepared by MNO Surveyors (“the Survey”). The Survey shall be so provided by 12:01p.m.GMT on 31 January YYYY (“the Survey Deadline”).</w:t>
            </w:r>
          </w:p>
          <w:p w14:paraId="7F9528CE" w14:textId="77777777" w:rsidR="00592C29" w:rsidRDefault="0048296D" w:rsidP="00115642">
            <w:pPr>
              <w:spacing w:after="120" w:line="264" w:lineRule="auto"/>
              <w:ind w:right="238"/>
              <w:rPr>
                <w:color w:val="000000"/>
                <w:sz w:val="22"/>
                <w:szCs w:val="22"/>
              </w:rPr>
            </w:pPr>
            <w:r>
              <w:rPr>
                <w:rFonts w:ascii="Trebuchet MS" w:eastAsia="Trebuchet MS" w:hAnsi="Trebuchet MS" w:cs="Trebuchet MS"/>
                <w:color w:val="000000"/>
                <w:sz w:val="22"/>
                <w:szCs w:val="22"/>
              </w:rPr>
              <w:t>Between inception and the Survey Deadline, cover is provided by the Insurer on the terms and conditions specified in the contract to which this condition is attached (“the Contract Terms”).</w:t>
            </w:r>
          </w:p>
          <w:p w14:paraId="184B5D3A" w14:textId="77777777" w:rsidR="00592C29" w:rsidRDefault="0048296D" w:rsidP="00115642">
            <w:pPr>
              <w:spacing w:after="120" w:line="264" w:lineRule="auto"/>
              <w:ind w:right="238"/>
              <w:rPr>
                <w:color w:val="000000"/>
                <w:sz w:val="22"/>
                <w:szCs w:val="22"/>
              </w:rPr>
            </w:pPr>
            <w:r>
              <w:rPr>
                <w:rFonts w:ascii="Trebuchet MS" w:eastAsia="Trebuchet MS" w:hAnsi="Trebuchet MS" w:cs="Trebuchet MS"/>
                <w:color w:val="000000"/>
                <w:sz w:val="22"/>
                <w:szCs w:val="22"/>
              </w:rPr>
              <w:t xml:space="preserve">Where the Survey is not submitted to the Insurer by the Survey Deadline, cover shall terminate at the Survey Deadline. </w:t>
            </w:r>
          </w:p>
          <w:p w14:paraId="1E442D40" w14:textId="77777777" w:rsidR="00592C29" w:rsidRDefault="0048296D" w:rsidP="00115642">
            <w:pPr>
              <w:spacing w:after="120" w:line="264" w:lineRule="auto"/>
              <w:ind w:right="238"/>
              <w:rPr>
                <w:color w:val="000000"/>
                <w:sz w:val="22"/>
                <w:szCs w:val="22"/>
              </w:rPr>
            </w:pPr>
            <w:r>
              <w:rPr>
                <w:rFonts w:ascii="Trebuchet MS" w:eastAsia="Trebuchet MS" w:hAnsi="Trebuchet MS" w:cs="Trebuchet MS"/>
                <w:color w:val="000000"/>
                <w:sz w:val="22"/>
                <w:szCs w:val="22"/>
              </w:rPr>
              <w:t xml:space="preserve">Where the Survey is submitted to the Insurer by the Survey Deadline, cover shall continue from the Survey Deadline on the Contract Terms until expiry of the period of the contract unless and until terminated </w:t>
            </w:r>
            <w:r>
              <w:rPr>
                <w:rFonts w:ascii="Trebuchet MS" w:eastAsia="Trebuchet MS" w:hAnsi="Trebuchet MS" w:cs="Trebuchet MS"/>
                <w:color w:val="000000"/>
                <w:sz w:val="22"/>
                <w:szCs w:val="22"/>
              </w:rPr>
              <w:lastRenderedPageBreak/>
              <w:t xml:space="preserve">in accordance with the following paragraph. </w:t>
            </w:r>
          </w:p>
          <w:p w14:paraId="3888A60D" w14:textId="77777777" w:rsidR="00592C29" w:rsidRDefault="0048296D" w:rsidP="00115642">
            <w:pPr>
              <w:spacing w:after="120" w:line="264" w:lineRule="auto"/>
              <w:ind w:right="238"/>
              <w:rPr>
                <w:color w:val="000000"/>
                <w:sz w:val="22"/>
                <w:szCs w:val="22"/>
              </w:rPr>
            </w:pPr>
            <w:r>
              <w:rPr>
                <w:rFonts w:ascii="Trebuchet MS" w:eastAsia="Trebuchet MS" w:hAnsi="Trebuchet MS" w:cs="Trebuchet MS"/>
                <w:color w:val="000000"/>
                <w:sz w:val="22"/>
                <w:szCs w:val="22"/>
              </w:rPr>
              <w:t xml:space="preserve">In the event that the Survey is unsatisfactory to the Insurer, the Insurer shall have the right, within 14 days of its receipt, to terminate the contract by serving not less than 14 </w:t>
            </w:r>
            <w:proofErr w:type="spellStart"/>
            <w:r>
              <w:rPr>
                <w:rFonts w:ascii="Trebuchet MS" w:eastAsia="Trebuchet MS" w:hAnsi="Trebuchet MS" w:cs="Trebuchet MS"/>
                <w:color w:val="000000"/>
                <w:sz w:val="22"/>
                <w:szCs w:val="22"/>
              </w:rPr>
              <w:t>days notice</w:t>
            </w:r>
            <w:proofErr w:type="spellEnd"/>
            <w:r>
              <w:rPr>
                <w:rFonts w:ascii="Trebuchet MS" w:eastAsia="Trebuchet MS" w:hAnsi="Trebuchet MS" w:cs="Trebuchet MS"/>
                <w:color w:val="000000"/>
                <w:sz w:val="22"/>
                <w:szCs w:val="22"/>
              </w:rPr>
              <w:t xml:space="preserve"> in writing to the Insured at its address shown in the contract, such notice expiring no earlier than the Survey Deadline.</w:t>
            </w:r>
          </w:p>
          <w:p w14:paraId="337B4DB5" w14:textId="77777777" w:rsidR="00592C29" w:rsidRDefault="00592C29" w:rsidP="00115642">
            <w:pPr>
              <w:spacing w:after="120" w:line="240" w:lineRule="atLeast"/>
              <w:rPr>
                <w:color w:val="000000"/>
              </w:rPr>
            </w:pPr>
          </w:p>
          <w:p w14:paraId="6D57043B" w14:textId="54CC0F7F" w:rsidR="00FE6544" w:rsidRDefault="00FE6544" w:rsidP="00115642">
            <w:pPr>
              <w:spacing w:after="120" w:line="240" w:lineRule="atLeast"/>
              <w:rPr>
                <w:color w:val="000000"/>
              </w:rPr>
            </w:pPr>
          </w:p>
        </w:tc>
      </w:tr>
      <w:tr w:rsidR="00592C29" w14:paraId="10964002" w14:textId="77777777">
        <w:tc>
          <w:tcPr>
            <w:tcW w:w="2376" w:type="dxa"/>
            <w:tcMar>
              <w:top w:w="5" w:type="dxa"/>
              <w:left w:w="113" w:type="dxa"/>
              <w:bottom w:w="5" w:type="dxa"/>
              <w:right w:w="113" w:type="dxa"/>
            </w:tcMar>
            <w:hideMark/>
          </w:tcPr>
          <w:p w14:paraId="414D7485" w14:textId="77777777" w:rsidR="00592C29" w:rsidRDefault="0048296D" w:rsidP="00115642">
            <w:pPr>
              <w:spacing w:line="276" w:lineRule="auto"/>
              <w:ind w:left="1985" w:hanging="1985"/>
              <w:rPr>
                <w:color w:val="000000"/>
                <w:sz w:val="22"/>
                <w:szCs w:val="22"/>
              </w:rPr>
            </w:pPr>
            <w:r>
              <w:rPr>
                <w:rFonts w:ascii="Trebuchet MS" w:eastAsia="Trebuchet MS" w:hAnsi="Trebuchet MS" w:cs="Trebuchet MS"/>
                <w:b/>
                <w:bCs/>
                <w:color w:val="000000"/>
                <w:sz w:val="22"/>
                <w:szCs w:val="22"/>
              </w:rPr>
              <w:lastRenderedPageBreak/>
              <w:t xml:space="preserve">CHOICE OF </w:t>
            </w:r>
          </w:p>
          <w:p w14:paraId="537BE3FD" w14:textId="77777777" w:rsidR="00592C29" w:rsidRDefault="0048296D" w:rsidP="00115642">
            <w:pPr>
              <w:spacing w:line="276" w:lineRule="auto"/>
              <w:ind w:left="1985" w:hanging="1985"/>
              <w:rPr>
                <w:color w:val="000000"/>
                <w:sz w:val="22"/>
                <w:szCs w:val="22"/>
              </w:rPr>
            </w:pPr>
            <w:r>
              <w:rPr>
                <w:rFonts w:ascii="Trebuchet MS" w:eastAsia="Trebuchet MS" w:hAnsi="Trebuchet MS" w:cs="Trebuchet MS"/>
                <w:b/>
                <w:bCs/>
                <w:color w:val="000000"/>
                <w:sz w:val="22"/>
                <w:szCs w:val="22"/>
              </w:rPr>
              <w:t xml:space="preserve">LAW AND </w:t>
            </w:r>
          </w:p>
          <w:p w14:paraId="52E63A4C" w14:textId="77777777" w:rsidR="00592C29" w:rsidRDefault="0048296D" w:rsidP="00115642">
            <w:pPr>
              <w:spacing w:line="276" w:lineRule="auto"/>
              <w:rPr>
                <w:color w:val="000000"/>
                <w:sz w:val="22"/>
                <w:szCs w:val="22"/>
              </w:rPr>
            </w:pPr>
            <w:r>
              <w:rPr>
                <w:rFonts w:ascii="Trebuchet MS" w:eastAsia="Trebuchet MS" w:hAnsi="Trebuchet MS" w:cs="Trebuchet MS"/>
                <w:b/>
                <w:bCs/>
                <w:color w:val="000000"/>
                <w:sz w:val="22"/>
                <w:szCs w:val="22"/>
              </w:rPr>
              <w:t>JURISDICTION:</w:t>
            </w:r>
          </w:p>
        </w:tc>
        <w:tc>
          <w:tcPr>
            <w:tcW w:w="7371" w:type="dxa"/>
            <w:tcMar>
              <w:top w:w="5" w:type="dxa"/>
              <w:left w:w="113" w:type="dxa"/>
              <w:bottom w:w="5" w:type="dxa"/>
              <w:right w:w="113" w:type="dxa"/>
            </w:tcMar>
            <w:hideMark/>
          </w:tcPr>
          <w:p w14:paraId="65576A32" w14:textId="77777777" w:rsidR="00592C29" w:rsidRDefault="0048296D" w:rsidP="00115642">
            <w:pPr>
              <w:spacing w:after="120" w:line="276" w:lineRule="auto"/>
              <w:rPr>
                <w:color w:val="000000"/>
                <w:sz w:val="22"/>
                <w:szCs w:val="22"/>
              </w:rPr>
            </w:pPr>
            <w:r>
              <w:rPr>
                <w:rFonts w:ascii="Trebuchet MS" w:eastAsia="Trebuchet MS" w:hAnsi="Trebuchet MS" w:cs="Trebuchet MS"/>
                <w:color w:val="000000"/>
                <w:sz w:val="22"/>
                <w:szCs w:val="22"/>
              </w:rPr>
              <w:t>This insurance shall be governed by and construed in accordance with the law of England and Wales. Each party agrees to submit to the exclusive jurisdiction of any competent court within England and Wales.</w:t>
            </w:r>
          </w:p>
          <w:p w14:paraId="2B088023" w14:textId="77777777" w:rsidR="00592C29" w:rsidRDefault="0048296D" w:rsidP="00115642">
            <w:pPr>
              <w:spacing w:after="120" w:line="276" w:lineRule="auto"/>
              <w:rPr>
                <w:color w:val="000000"/>
                <w:sz w:val="22"/>
                <w:szCs w:val="22"/>
              </w:rPr>
            </w:pPr>
            <w:r>
              <w:rPr>
                <w:rFonts w:ascii="Trebuchet MS" w:eastAsia="Trebuchet MS" w:hAnsi="Trebuchet MS" w:cs="Trebuchet MS"/>
                <w:i/>
                <w:iCs/>
                <w:color w:val="000000"/>
                <w:sz w:val="22"/>
                <w:szCs w:val="22"/>
              </w:rPr>
              <w:t xml:space="preserve">(Ensure the appropriate Service of Suit and Jurisdiction Clause is included, e.g. LBS0006 for risk underwritten by Lloyd’s Brussels.) </w:t>
            </w:r>
          </w:p>
          <w:p w14:paraId="2BBFC751" w14:textId="77777777" w:rsidR="00592C29" w:rsidRDefault="00592C29" w:rsidP="00115642">
            <w:pPr>
              <w:spacing w:after="120" w:line="240" w:lineRule="atLeast"/>
              <w:rPr>
                <w:color w:val="000000"/>
              </w:rPr>
            </w:pPr>
          </w:p>
          <w:p w14:paraId="774E4411" w14:textId="77777777" w:rsidR="00592C29" w:rsidRDefault="00592C29" w:rsidP="00115642">
            <w:pPr>
              <w:spacing w:after="120" w:line="240" w:lineRule="atLeast"/>
              <w:rPr>
                <w:color w:val="000000"/>
              </w:rPr>
            </w:pPr>
          </w:p>
        </w:tc>
      </w:tr>
      <w:tr w:rsidR="00592C29" w14:paraId="328544FC" w14:textId="77777777">
        <w:tc>
          <w:tcPr>
            <w:tcW w:w="2376" w:type="dxa"/>
            <w:tcMar>
              <w:top w:w="5" w:type="dxa"/>
              <w:left w:w="113" w:type="dxa"/>
              <w:bottom w:w="5" w:type="dxa"/>
              <w:right w:w="113" w:type="dxa"/>
            </w:tcMar>
            <w:hideMark/>
          </w:tcPr>
          <w:p w14:paraId="6F223BB4" w14:textId="77777777" w:rsidR="00592C29" w:rsidRDefault="0048296D" w:rsidP="00115642">
            <w:pPr>
              <w:spacing w:line="276" w:lineRule="auto"/>
              <w:ind w:left="1985" w:hanging="1985"/>
              <w:rPr>
                <w:color w:val="000000"/>
                <w:sz w:val="22"/>
                <w:szCs w:val="22"/>
              </w:rPr>
            </w:pPr>
            <w:r>
              <w:rPr>
                <w:rFonts w:ascii="Trebuchet MS" w:eastAsia="Trebuchet MS" w:hAnsi="Trebuchet MS" w:cs="Trebuchet MS"/>
                <w:b/>
                <w:bCs/>
                <w:color w:val="000000"/>
                <w:sz w:val="22"/>
                <w:szCs w:val="22"/>
              </w:rPr>
              <w:t>PREMIUM:</w:t>
            </w:r>
          </w:p>
        </w:tc>
        <w:tc>
          <w:tcPr>
            <w:tcW w:w="7371" w:type="dxa"/>
            <w:tcMar>
              <w:top w:w="5" w:type="dxa"/>
              <w:left w:w="113" w:type="dxa"/>
              <w:bottom w:w="5" w:type="dxa"/>
              <w:right w:w="113" w:type="dxa"/>
            </w:tcMar>
            <w:hideMark/>
          </w:tcPr>
          <w:p w14:paraId="0F596453" w14:textId="57EBD5F2" w:rsidR="00592C29" w:rsidRDefault="0048296D" w:rsidP="00FE6544">
            <w:pPr>
              <w:spacing w:line="276" w:lineRule="auto"/>
              <w:ind w:left="1985" w:hanging="1985"/>
              <w:rPr>
                <w:color w:val="000000"/>
                <w:sz w:val="22"/>
                <w:szCs w:val="22"/>
              </w:rPr>
            </w:pPr>
            <w:r>
              <w:rPr>
                <w:rFonts w:ascii="Trebuchet MS" w:eastAsia="Trebuchet MS" w:hAnsi="Trebuchet MS" w:cs="Trebuchet MS"/>
                <w:b/>
                <w:bCs/>
                <w:color w:val="000000"/>
                <w:sz w:val="22"/>
                <w:szCs w:val="22"/>
              </w:rPr>
              <w:t>Section 1 (EEA / UK / Monaco)</w:t>
            </w:r>
          </w:p>
          <w:p w14:paraId="59001031" w14:textId="77777777" w:rsidR="00592C29" w:rsidRDefault="0048296D" w:rsidP="00FE6544">
            <w:pPr>
              <w:spacing w:line="276" w:lineRule="auto"/>
              <w:rPr>
                <w:color w:val="000000"/>
                <w:sz w:val="22"/>
                <w:szCs w:val="22"/>
              </w:rPr>
            </w:pPr>
            <w:r>
              <w:rPr>
                <w:rFonts w:ascii="Trebuchet MS" w:eastAsia="Trebuchet MS" w:hAnsi="Trebuchet MS" w:cs="Trebuchet MS"/>
                <w:color w:val="000000"/>
                <w:sz w:val="22"/>
                <w:szCs w:val="22"/>
              </w:rPr>
              <w:t xml:space="preserve">GBP 250,000 </w:t>
            </w:r>
          </w:p>
          <w:p w14:paraId="7279FEF1" w14:textId="77777777" w:rsidR="00592C29" w:rsidRDefault="00592C29" w:rsidP="00FE6544">
            <w:pPr>
              <w:spacing w:line="276" w:lineRule="auto"/>
              <w:rPr>
                <w:color w:val="000000"/>
                <w:sz w:val="22"/>
                <w:szCs w:val="22"/>
              </w:rPr>
            </w:pPr>
          </w:p>
          <w:p w14:paraId="4D3646E8" w14:textId="0D7B8B58" w:rsidR="00592C29" w:rsidRDefault="0048296D" w:rsidP="00FE6544">
            <w:pPr>
              <w:spacing w:line="276" w:lineRule="auto"/>
              <w:ind w:left="1985" w:hanging="1985"/>
              <w:rPr>
                <w:color w:val="000000"/>
                <w:sz w:val="22"/>
                <w:szCs w:val="22"/>
              </w:rPr>
            </w:pPr>
            <w:r>
              <w:rPr>
                <w:rFonts w:ascii="Trebuchet MS" w:eastAsia="Trebuchet MS" w:hAnsi="Trebuchet MS" w:cs="Trebuchet MS"/>
                <w:b/>
                <w:bCs/>
                <w:color w:val="000000"/>
                <w:sz w:val="22"/>
                <w:szCs w:val="22"/>
              </w:rPr>
              <w:t>Section 2 (EEA / UK / Monaco)</w:t>
            </w:r>
          </w:p>
          <w:p w14:paraId="774DDC3E" w14:textId="77777777" w:rsidR="00592C29" w:rsidRDefault="0048296D" w:rsidP="00FE6544">
            <w:pPr>
              <w:spacing w:line="276" w:lineRule="auto"/>
              <w:rPr>
                <w:color w:val="000000"/>
                <w:sz w:val="22"/>
                <w:szCs w:val="22"/>
              </w:rPr>
            </w:pPr>
            <w:r>
              <w:rPr>
                <w:rFonts w:ascii="Trebuchet MS" w:eastAsia="Trebuchet MS" w:hAnsi="Trebuchet MS" w:cs="Trebuchet MS"/>
                <w:color w:val="000000"/>
                <w:sz w:val="22"/>
                <w:szCs w:val="22"/>
              </w:rPr>
              <w:t>GBP 750,000</w:t>
            </w:r>
          </w:p>
          <w:p w14:paraId="01072C17" w14:textId="77777777" w:rsidR="00592C29" w:rsidRDefault="00592C29" w:rsidP="00FE6544">
            <w:pPr>
              <w:spacing w:line="276" w:lineRule="auto"/>
              <w:rPr>
                <w:color w:val="000000"/>
                <w:sz w:val="22"/>
                <w:szCs w:val="22"/>
              </w:rPr>
            </w:pPr>
          </w:p>
          <w:p w14:paraId="0B3321AF" w14:textId="579D6E0F" w:rsidR="00592C29" w:rsidRDefault="0048296D" w:rsidP="00FE6544">
            <w:pPr>
              <w:spacing w:line="276" w:lineRule="auto"/>
              <w:ind w:left="34" w:hanging="34"/>
              <w:rPr>
                <w:color w:val="000000"/>
                <w:sz w:val="22"/>
                <w:szCs w:val="22"/>
              </w:rPr>
            </w:pPr>
            <w:r>
              <w:rPr>
                <w:rFonts w:ascii="Trebuchet MS" w:eastAsia="Trebuchet MS" w:hAnsi="Trebuchet MS" w:cs="Trebuchet MS"/>
                <w:b/>
                <w:bCs/>
                <w:color w:val="000000"/>
                <w:sz w:val="22"/>
                <w:szCs w:val="22"/>
              </w:rPr>
              <w:t>Section 3 (Rest of the World excluding EEA / UK / Monaco)</w:t>
            </w:r>
          </w:p>
          <w:p w14:paraId="6B5295D4" w14:textId="77777777" w:rsidR="00592C29" w:rsidRDefault="0048296D" w:rsidP="00FE6544">
            <w:pPr>
              <w:spacing w:line="276" w:lineRule="auto"/>
              <w:rPr>
                <w:color w:val="000000"/>
                <w:sz w:val="22"/>
                <w:szCs w:val="22"/>
              </w:rPr>
            </w:pPr>
            <w:r>
              <w:rPr>
                <w:rFonts w:ascii="Trebuchet MS" w:eastAsia="Trebuchet MS" w:hAnsi="Trebuchet MS" w:cs="Trebuchet MS"/>
                <w:color w:val="000000"/>
                <w:sz w:val="22"/>
                <w:szCs w:val="22"/>
              </w:rPr>
              <w:t xml:space="preserve">GBP 25,000 </w:t>
            </w:r>
          </w:p>
          <w:p w14:paraId="5A4AE88A" w14:textId="77777777" w:rsidR="00592C29" w:rsidRDefault="00592C29" w:rsidP="00FE6544">
            <w:pPr>
              <w:spacing w:line="276" w:lineRule="auto"/>
              <w:ind w:left="1985" w:hanging="1985"/>
              <w:rPr>
                <w:color w:val="000000"/>
                <w:sz w:val="22"/>
                <w:szCs w:val="22"/>
              </w:rPr>
            </w:pPr>
          </w:p>
          <w:p w14:paraId="06C7E029" w14:textId="1BEFACFC" w:rsidR="00592C29" w:rsidRDefault="0048296D" w:rsidP="00FE6544">
            <w:pPr>
              <w:spacing w:line="276" w:lineRule="auto"/>
              <w:rPr>
                <w:color w:val="000000"/>
                <w:sz w:val="22"/>
                <w:szCs w:val="22"/>
              </w:rPr>
            </w:pPr>
            <w:r>
              <w:rPr>
                <w:rFonts w:ascii="Trebuchet MS" w:eastAsia="Trebuchet MS" w:hAnsi="Trebuchet MS" w:cs="Trebuchet MS"/>
                <w:b/>
                <w:bCs/>
                <w:color w:val="000000"/>
                <w:sz w:val="22"/>
                <w:szCs w:val="22"/>
              </w:rPr>
              <w:t>Section 4 (Rest of the World excluding EEA / UK / Monaco)</w:t>
            </w:r>
          </w:p>
          <w:p w14:paraId="407204C3" w14:textId="77777777" w:rsidR="00592C29" w:rsidRDefault="0048296D" w:rsidP="00FE6544">
            <w:pPr>
              <w:spacing w:line="276" w:lineRule="auto"/>
              <w:rPr>
                <w:color w:val="000000"/>
                <w:sz w:val="22"/>
                <w:szCs w:val="22"/>
              </w:rPr>
            </w:pPr>
            <w:r>
              <w:rPr>
                <w:rFonts w:ascii="Trebuchet MS" w:eastAsia="Trebuchet MS" w:hAnsi="Trebuchet MS" w:cs="Trebuchet MS"/>
                <w:color w:val="000000"/>
                <w:sz w:val="22"/>
                <w:szCs w:val="22"/>
              </w:rPr>
              <w:t xml:space="preserve">GBP 75,000 </w:t>
            </w:r>
          </w:p>
          <w:p w14:paraId="0B98CE65" w14:textId="1C60F90A" w:rsidR="00592C29" w:rsidRDefault="00592C29" w:rsidP="00FE6544">
            <w:pPr>
              <w:spacing w:line="276" w:lineRule="auto"/>
              <w:rPr>
                <w:color w:val="000000"/>
                <w:sz w:val="22"/>
                <w:szCs w:val="22"/>
              </w:rPr>
            </w:pPr>
          </w:p>
          <w:p w14:paraId="4F3EB7C5" w14:textId="77777777" w:rsidR="00FE6544" w:rsidRDefault="00FE6544" w:rsidP="00FE6544">
            <w:pPr>
              <w:spacing w:line="276" w:lineRule="auto"/>
              <w:rPr>
                <w:color w:val="000000"/>
                <w:sz w:val="22"/>
                <w:szCs w:val="22"/>
              </w:rPr>
            </w:pPr>
          </w:p>
          <w:p w14:paraId="0032A8E0" w14:textId="77777777" w:rsidR="00592C29" w:rsidRDefault="00592C29" w:rsidP="00FE6544">
            <w:pPr>
              <w:spacing w:line="276" w:lineRule="auto"/>
              <w:rPr>
                <w:color w:val="000000"/>
                <w:sz w:val="22"/>
                <w:szCs w:val="22"/>
              </w:rPr>
            </w:pPr>
          </w:p>
        </w:tc>
      </w:tr>
      <w:tr w:rsidR="00592C29" w14:paraId="0A3E504E" w14:textId="77777777">
        <w:tc>
          <w:tcPr>
            <w:tcW w:w="2376" w:type="dxa"/>
            <w:tcMar>
              <w:top w:w="5" w:type="dxa"/>
              <w:left w:w="113" w:type="dxa"/>
              <w:bottom w:w="5" w:type="dxa"/>
              <w:right w:w="113" w:type="dxa"/>
            </w:tcMar>
            <w:hideMark/>
          </w:tcPr>
          <w:p w14:paraId="3DB44673" w14:textId="77777777" w:rsidR="00592C29" w:rsidRDefault="0048296D" w:rsidP="00FE6544">
            <w:pPr>
              <w:spacing w:line="276" w:lineRule="auto"/>
              <w:ind w:left="1980" w:hanging="1980"/>
              <w:rPr>
                <w:color w:val="000000"/>
                <w:sz w:val="22"/>
                <w:szCs w:val="22"/>
              </w:rPr>
            </w:pPr>
            <w:r>
              <w:rPr>
                <w:rFonts w:ascii="Trebuchet MS" w:eastAsia="Trebuchet MS" w:hAnsi="Trebuchet MS" w:cs="Trebuchet MS"/>
                <w:b/>
                <w:bCs/>
                <w:color w:val="000000"/>
                <w:sz w:val="22"/>
                <w:szCs w:val="22"/>
              </w:rPr>
              <w:t xml:space="preserve">PREMIUM </w:t>
            </w:r>
          </w:p>
          <w:p w14:paraId="47FF75E8" w14:textId="77777777" w:rsidR="00592C29" w:rsidRDefault="0048296D" w:rsidP="00FE6544">
            <w:pPr>
              <w:spacing w:line="276" w:lineRule="auto"/>
              <w:ind w:left="1985" w:hanging="1985"/>
              <w:rPr>
                <w:color w:val="000000"/>
                <w:sz w:val="22"/>
                <w:szCs w:val="22"/>
              </w:rPr>
            </w:pPr>
            <w:r>
              <w:rPr>
                <w:rFonts w:ascii="Trebuchet MS" w:eastAsia="Trebuchet MS" w:hAnsi="Trebuchet MS" w:cs="Trebuchet MS"/>
                <w:b/>
                <w:bCs/>
                <w:color w:val="000000"/>
                <w:sz w:val="22"/>
                <w:szCs w:val="22"/>
              </w:rPr>
              <w:t>PAYMENT TERMS:</w:t>
            </w:r>
          </w:p>
        </w:tc>
        <w:tc>
          <w:tcPr>
            <w:tcW w:w="7371" w:type="dxa"/>
            <w:tcMar>
              <w:top w:w="5" w:type="dxa"/>
              <w:left w:w="113" w:type="dxa"/>
              <w:bottom w:w="5" w:type="dxa"/>
              <w:right w:w="113" w:type="dxa"/>
            </w:tcMar>
            <w:hideMark/>
          </w:tcPr>
          <w:p w14:paraId="2E5B0DBD" w14:textId="77777777" w:rsidR="00592C29" w:rsidRDefault="0048296D" w:rsidP="00FE6544">
            <w:pPr>
              <w:spacing w:after="120" w:line="276" w:lineRule="auto"/>
              <w:rPr>
                <w:color w:val="000000"/>
                <w:sz w:val="22"/>
                <w:szCs w:val="22"/>
              </w:rPr>
            </w:pPr>
            <w:r>
              <w:rPr>
                <w:rFonts w:ascii="Trebuchet MS" w:eastAsia="Trebuchet MS" w:hAnsi="Trebuchet MS" w:cs="Trebuchet MS"/>
                <w:color w:val="000000"/>
                <w:sz w:val="22"/>
                <w:szCs w:val="22"/>
              </w:rPr>
              <w:t>60 Day Payment condition – LSW 3001 Premium Payment Clause.</w:t>
            </w:r>
          </w:p>
          <w:p w14:paraId="762AD7EF" w14:textId="77777777" w:rsidR="00592C29" w:rsidRDefault="00592C29" w:rsidP="00FE6544">
            <w:pPr>
              <w:spacing w:after="120" w:line="276" w:lineRule="auto"/>
              <w:rPr>
                <w:color w:val="000000"/>
                <w:sz w:val="22"/>
                <w:szCs w:val="22"/>
              </w:rPr>
            </w:pPr>
          </w:p>
          <w:p w14:paraId="0BA9603E" w14:textId="77777777" w:rsidR="00592C29" w:rsidRDefault="00592C29" w:rsidP="00FE6544">
            <w:pPr>
              <w:spacing w:after="120" w:line="276" w:lineRule="auto"/>
              <w:rPr>
                <w:color w:val="000000"/>
                <w:sz w:val="22"/>
                <w:szCs w:val="22"/>
              </w:rPr>
            </w:pPr>
          </w:p>
          <w:p w14:paraId="7BDDE244" w14:textId="77777777" w:rsidR="00592C29" w:rsidRDefault="00592C29" w:rsidP="00FE6544">
            <w:pPr>
              <w:spacing w:after="120" w:line="276" w:lineRule="auto"/>
              <w:rPr>
                <w:color w:val="000000"/>
                <w:sz w:val="22"/>
                <w:szCs w:val="22"/>
              </w:rPr>
            </w:pPr>
          </w:p>
        </w:tc>
      </w:tr>
      <w:tr w:rsidR="00592C29" w14:paraId="6B69D5BB" w14:textId="77777777">
        <w:tc>
          <w:tcPr>
            <w:tcW w:w="2376" w:type="dxa"/>
            <w:tcMar>
              <w:top w:w="5" w:type="dxa"/>
              <w:left w:w="113" w:type="dxa"/>
              <w:bottom w:w="5" w:type="dxa"/>
              <w:right w:w="113" w:type="dxa"/>
            </w:tcMar>
            <w:hideMark/>
          </w:tcPr>
          <w:p w14:paraId="139B6EB8" w14:textId="77777777" w:rsidR="00592C29" w:rsidRDefault="0048296D" w:rsidP="00FE6544">
            <w:pPr>
              <w:spacing w:line="276" w:lineRule="auto"/>
              <w:rPr>
                <w:color w:val="000000"/>
                <w:sz w:val="22"/>
                <w:szCs w:val="22"/>
              </w:rPr>
            </w:pPr>
            <w:r>
              <w:rPr>
                <w:rFonts w:ascii="Trebuchet MS" w:eastAsia="Trebuchet MS" w:hAnsi="Trebuchet MS" w:cs="Trebuchet MS"/>
                <w:b/>
                <w:bCs/>
                <w:color w:val="000000"/>
                <w:sz w:val="22"/>
                <w:szCs w:val="22"/>
              </w:rPr>
              <w:t xml:space="preserve">TAXES PAYABLE </w:t>
            </w:r>
          </w:p>
          <w:p w14:paraId="4CF34D07" w14:textId="77777777" w:rsidR="00592C29" w:rsidRDefault="0048296D" w:rsidP="00FE6544">
            <w:pPr>
              <w:spacing w:line="276" w:lineRule="auto"/>
              <w:ind w:left="1985" w:hanging="1985"/>
              <w:rPr>
                <w:color w:val="000000"/>
                <w:sz w:val="22"/>
                <w:szCs w:val="22"/>
              </w:rPr>
            </w:pPr>
            <w:r>
              <w:rPr>
                <w:rFonts w:ascii="Trebuchet MS" w:eastAsia="Trebuchet MS" w:hAnsi="Trebuchet MS" w:cs="Trebuchet MS"/>
                <w:b/>
                <w:bCs/>
                <w:color w:val="000000"/>
                <w:sz w:val="22"/>
                <w:szCs w:val="22"/>
              </w:rPr>
              <w:t>BY INSURED AND</w:t>
            </w:r>
          </w:p>
          <w:p w14:paraId="2CDEEA9F" w14:textId="77777777" w:rsidR="00592C29" w:rsidRDefault="0048296D" w:rsidP="00FE6544">
            <w:pPr>
              <w:spacing w:line="276" w:lineRule="auto"/>
              <w:ind w:left="1985" w:hanging="1985"/>
              <w:rPr>
                <w:color w:val="000000"/>
                <w:sz w:val="22"/>
                <w:szCs w:val="22"/>
              </w:rPr>
            </w:pPr>
            <w:r>
              <w:rPr>
                <w:rFonts w:ascii="Trebuchet MS" w:eastAsia="Trebuchet MS" w:hAnsi="Trebuchet MS" w:cs="Trebuchet MS"/>
                <w:b/>
                <w:bCs/>
                <w:color w:val="000000"/>
                <w:sz w:val="22"/>
                <w:szCs w:val="22"/>
              </w:rPr>
              <w:t xml:space="preserve">ADMINISTERED </w:t>
            </w:r>
          </w:p>
          <w:p w14:paraId="7EDBB0DF" w14:textId="77777777" w:rsidR="00592C29" w:rsidRDefault="0048296D" w:rsidP="00FE6544">
            <w:pPr>
              <w:spacing w:line="276" w:lineRule="auto"/>
              <w:ind w:left="1980" w:hanging="1980"/>
              <w:rPr>
                <w:color w:val="000000"/>
                <w:sz w:val="22"/>
                <w:szCs w:val="22"/>
              </w:rPr>
            </w:pPr>
            <w:r>
              <w:rPr>
                <w:rFonts w:ascii="Trebuchet MS" w:eastAsia="Trebuchet MS" w:hAnsi="Trebuchet MS" w:cs="Trebuchet MS"/>
                <w:b/>
                <w:bCs/>
                <w:color w:val="000000"/>
                <w:sz w:val="22"/>
                <w:szCs w:val="22"/>
              </w:rPr>
              <w:t>BY INSURER(S):</w:t>
            </w:r>
          </w:p>
        </w:tc>
        <w:tc>
          <w:tcPr>
            <w:tcW w:w="7371" w:type="dxa"/>
            <w:tcMar>
              <w:top w:w="5" w:type="dxa"/>
              <w:left w:w="113" w:type="dxa"/>
              <w:bottom w:w="5" w:type="dxa"/>
              <w:right w:w="113" w:type="dxa"/>
            </w:tcMar>
            <w:hideMark/>
          </w:tcPr>
          <w:p w14:paraId="4D1D566B" w14:textId="77777777" w:rsidR="00592C29" w:rsidRDefault="0048296D" w:rsidP="00FE6544">
            <w:pPr>
              <w:spacing w:after="120" w:line="276" w:lineRule="auto"/>
              <w:ind w:left="1026" w:hanging="1026"/>
              <w:rPr>
                <w:color w:val="000000"/>
                <w:sz w:val="22"/>
                <w:szCs w:val="22"/>
              </w:rPr>
            </w:pPr>
            <w:r>
              <w:rPr>
                <w:rFonts w:ascii="Trebuchet MS" w:eastAsia="Trebuchet MS" w:hAnsi="Trebuchet MS" w:cs="Trebuchet MS"/>
                <w:color w:val="000000"/>
                <w:sz w:val="22"/>
                <w:szCs w:val="22"/>
              </w:rPr>
              <w:t>UK</w:t>
            </w:r>
            <w:r>
              <w:rPr>
                <w:rFonts w:ascii="Trebuchet MS" w:eastAsia="Trebuchet MS" w:hAnsi="Trebuchet MS" w:cs="Trebuchet MS"/>
                <w:color w:val="000000"/>
                <w:sz w:val="22"/>
                <w:szCs w:val="22"/>
              </w:rPr>
              <w:tab/>
              <w:t>IPT at 12% on UK Gross Premium (GBP 550,000)</w:t>
            </w:r>
          </w:p>
          <w:p w14:paraId="79892700" w14:textId="77777777" w:rsidR="00592C29" w:rsidRDefault="0048296D" w:rsidP="00FE6544">
            <w:pPr>
              <w:spacing w:after="120" w:line="276" w:lineRule="auto"/>
              <w:ind w:left="1026" w:hanging="1026"/>
              <w:rPr>
                <w:color w:val="000000"/>
                <w:sz w:val="22"/>
                <w:szCs w:val="22"/>
              </w:rPr>
            </w:pPr>
            <w:r>
              <w:rPr>
                <w:rFonts w:ascii="Trebuchet MS" w:eastAsia="Trebuchet MS" w:hAnsi="Trebuchet MS" w:cs="Trebuchet MS"/>
                <w:color w:val="000000"/>
                <w:sz w:val="22"/>
                <w:szCs w:val="22"/>
              </w:rPr>
              <w:t>Spain</w:t>
            </w:r>
            <w:r>
              <w:rPr>
                <w:rFonts w:ascii="Trebuchet MS" w:eastAsia="Trebuchet MS" w:hAnsi="Trebuchet MS" w:cs="Trebuchet MS"/>
                <w:color w:val="000000"/>
                <w:sz w:val="22"/>
                <w:szCs w:val="22"/>
              </w:rPr>
              <w:tab/>
              <w:t xml:space="preserve">Premium tax at 6% (on GBP 200,000 Gross Premium), </w:t>
            </w:r>
            <w:proofErr w:type="spellStart"/>
            <w:r>
              <w:rPr>
                <w:rFonts w:ascii="Trebuchet MS" w:eastAsia="Trebuchet MS" w:hAnsi="Trebuchet MS" w:cs="Trebuchet MS"/>
                <w:color w:val="000000"/>
                <w:sz w:val="22"/>
                <w:szCs w:val="22"/>
              </w:rPr>
              <w:t>Consorcio</w:t>
            </w:r>
            <w:proofErr w:type="spellEnd"/>
            <w:r>
              <w:rPr>
                <w:rFonts w:ascii="Trebuchet MS" w:eastAsia="Trebuchet MS" w:hAnsi="Trebuchet MS" w:cs="Trebuchet MS"/>
                <w:color w:val="000000"/>
                <w:sz w:val="22"/>
                <w:szCs w:val="22"/>
              </w:rPr>
              <w:t xml:space="preserve"> (formerly CLEA) at 1.5% (on GBP 200,000 Gross Premium) </w:t>
            </w:r>
          </w:p>
          <w:p w14:paraId="1DAA2CEE" w14:textId="77777777" w:rsidR="00592C29" w:rsidRDefault="0048296D" w:rsidP="00FE6544">
            <w:pPr>
              <w:spacing w:after="120" w:line="276" w:lineRule="auto"/>
              <w:ind w:left="1026"/>
              <w:rPr>
                <w:color w:val="000000"/>
                <w:sz w:val="22"/>
                <w:szCs w:val="22"/>
              </w:rPr>
            </w:pPr>
            <w:proofErr w:type="spellStart"/>
            <w:r>
              <w:rPr>
                <w:rFonts w:ascii="Trebuchet MS" w:eastAsia="Trebuchet MS" w:hAnsi="Trebuchet MS" w:cs="Trebuchet MS"/>
                <w:color w:val="000000"/>
                <w:sz w:val="22"/>
                <w:szCs w:val="22"/>
              </w:rPr>
              <w:t>Consorcio</w:t>
            </w:r>
            <w:proofErr w:type="spellEnd"/>
            <w:r>
              <w:rPr>
                <w:rFonts w:ascii="Trebuchet MS" w:eastAsia="Trebuchet MS" w:hAnsi="Trebuchet MS" w:cs="Trebuchet MS"/>
                <w:color w:val="000000"/>
                <w:sz w:val="22"/>
                <w:szCs w:val="22"/>
              </w:rPr>
              <w:t xml:space="preserve"> (extraordinary risks) at 0.021% of the Sum Insured (EUR 13,500,000)</w:t>
            </w:r>
          </w:p>
          <w:p w14:paraId="248A58BD" w14:textId="77777777" w:rsidR="00592C29" w:rsidRDefault="0048296D" w:rsidP="00FE6544">
            <w:pPr>
              <w:spacing w:after="120" w:line="276" w:lineRule="auto"/>
              <w:ind w:left="1026" w:hanging="1026"/>
              <w:rPr>
                <w:color w:val="000000"/>
                <w:sz w:val="22"/>
                <w:szCs w:val="22"/>
              </w:rPr>
            </w:pPr>
            <w:r>
              <w:rPr>
                <w:rFonts w:ascii="Trebuchet MS" w:eastAsia="Trebuchet MS" w:hAnsi="Trebuchet MS" w:cs="Trebuchet MS"/>
                <w:color w:val="000000"/>
                <w:sz w:val="22"/>
                <w:szCs w:val="22"/>
              </w:rPr>
              <w:t>Austria</w:t>
            </w:r>
            <w:r>
              <w:rPr>
                <w:rFonts w:ascii="Trebuchet MS" w:eastAsia="Trebuchet MS" w:hAnsi="Trebuchet MS" w:cs="Trebuchet MS"/>
                <w:color w:val="000000"/>
                <w:sz w:val="22"/>
                <w:szCs w:val="22"/>
              </w:rPr>
              <w:tab/>
              <w:t xml:space="preserve">Premium Tax at 11% (on GBP 50,000 Gross Premium), Fire Brigade Charge at 4% of 20% of Gross Premium apportioned to fire only risks (GBP 10,000) </w:t>
            </w:r>
          </w:p>
          <w:p w14:paraId="6A7B1FED" w14:textId="77777777" w:rsidR="00592C29" w:rsidRDefault="00592C29" w:rsidP="00FE6544">
            <w:pPr>
              <w:spacing w:after="120" w:line="276" w:lineRule="auto"/>
              <w:rPr>
                <w:color w:val="000000"/>
                <w:sz w:val="22"/>
                <w:szCs w:val="22"/>
              </w:rPr>
            </w:pPr>
          </w:p>
          <w:p w14:paraId="1084BC10" w14:textId="77777777" w:rsidR="00592C29" w:rsidRDefault="00592C29" w:rsidP="00FE6544">
            <w:pPr>
              <w:spacing w:after="120" w:line="276" w:lineRule="auto"/>
              <w:rPr>
                <w:color w:val="000000"/>
                <w:sz w:val="22"/>
                <w:szCs w:val="22"/>
              </w:rPr>
            </w:pPr>
          </w:p>
          <w:p w14:paraId="4F2F7A0B" w14:textId="77777777" w:rsidR="00592C29" w:rsidRDefault="00592C29" w:rsidP="00FE6544">
            <w:pPr>
              <w:spacing w:after="120" w:line="276" w:lineRule="auto"/>
              <w:rPr>
                <w:color w:val="000000"/>
                <w:sz w:val="22"/>
                <w:szCs w:val="22"/>
              </w:rPr>
            </w:pPr>
          </w:p>
        </w:tc>
      </w:tr>
    </w:tbl>
    <w:p w14:paraId="23F1D800" w14:textId="77777777" w:rsidR="00630EF8" w:rsidRDefault="00630EF8">
      <w:r>
        <w:br w:type="page"/>
      </w:r>
    </w:p>
    <w:tbl>
      <w:tblPr>
        <w:tblW w:w="9747" w:type="dxa"/>
        <w:tblInd w:w="113" w:type="dxa"/>
        <w:tblCellMar>
          <w:left w:w="0" w:type="dxa"/>
          <w:right w:w="0" w:type="dxa"/>
        </w:tblCellMar>
        <w:tblLook w:val="04A0" w:firstRow="1" w:lastRow="0" w:firstColumn="1" w:lastColumn="0" w:noHBand="0" w:noVBand="1"/>
      </w:tblPr>
      <w:tblGrid>
        <w:gridCol w:w="2376"/>
        <w:gridCol w:w="7371"/>
      </w:tblGrid>
      <w:tr w:rsidR="00592C29" w14:paraId="28E020A7" w14:textId="77777777">
        <w:tc>
          <w:tcPr>
            <w:tcW w:w="2376" w:type="dxa"/>
            <w:tcMar>
              <w:top w:w="5" w:type="dxa"/>
              <w:left w:w="113" w:type="dxa"/>
              <w:bottom w:w="5" w:type="dxa"/>
              <w:right w:w="113" w:type="dxa"/>
            </w:tcMar>
            <w:hideMark/>
          </w:tcPr>
          <w:p w14:paraId="563949B0" w14:textId="51DCF00C" w:rsidR="00592C29" w:rsidRDefault="0048296D" w:rsidP="00FE6544">
            <w:pPr>
              <w:spacing w:line="276" w:lineRule="auto"/>
              <w:rPr>
                <w:color w:val="000000"/>
                <w:sz w:val="22"/>
                <w:szCs w:val="22"/>
              </w:rPr>
            </w:pPr>
            <w:r>
              <w:rPr>
                <w:rFonts w:ascii="Trebuchet MS" w:eastAsia="Trebuchet MS" w:hAnsi="Trebuchet MS" w:cs="Trebuchet MS"/>
                <w:b/>
                <w:bCs/>
                <w:color w:val="000000"/>
                <w:sz w:val="22"/>
                <w:szCs w:val="22"/>
              </w:rPr>
              <w:lastRenderedPageBreak/>
              <w:t xml:space="preserve">TAXES PAYABLE </w:t>
            </w:r>
          </w:p>
          <w:p w14:paraId="6ECCCE5C" w14:textId="77777777" w:rsidR="00592C29" w:rsidRDefault="0048296D" w:rsidP="00FE6544">
            <w:pPr>
              <w:spacing w:line="276" w:lineRule="auto"/>
              <w:ind w:left="1985" w:hanging="1985"/>
              <w:rPr>
                <w:color w:val="000000"/>
                <w:sz w:val="22"/>
                <w:szCs w:val="22"/>
              </w:rPr>
            </w:pPr>
            <w:r>
              <w:rPr>
                <w:rFonts w:ascii="Trebuchet MS" w:eastAsia="Trebuchet MS" w:hAnsi="Trebuchet MS" w:cs="Trebuchet MS"/>
                <w:b/>
                <w:bCs/>
                <w:color w:val="000000"/>
                <w:sz w:val="22"/>
                <w:szCs w:val="22"/>
              </w:rPr>
              <w:t>BY INSURERS AND</w:t>
            </w:r>
          </w:p>
          <w:p w14:paraId="42158F11" w14:textId="77777777" w:rsidR="00592C29" w:rsidRDefault="0048296D" w:rsidP="00FE6544">
            <w:pPr>
              <w:spacing w:line="276" w:lineRule="auto"/>
              <w:ind w:left="1985" w:hanging="1985"/>
              <w:rPr>
                <w:color w:val="000000"/>
                <w:sz w:val="22"/>
                <w:szCs w:val="22"/>
              </w:rPr>
            </w:pPr>
            <w:r>
              <w:rPr>
                <w:rFonts w:ascii="Trebuchet MS" w:eastAsia="Trebuchet MS" w:hAnsi="Trebuchet MS" w:cs="Trebuchet MS"/>
                <w:b/>
                <w:bCs/>
                <w:color w:val="000000"/>
                <w:sz w:val="22"/>
                <w:szCs w:val="22"/>
              </w:rPr>
              <w:t xml:space="preserve">ADMINISTERED </w:t>
            </w:r>
          </w:p>
          <w:p w14:paraId="501E4B87" w14:textId="77777777" w:rsidR="00592C29" w:rsidRDefault="0048296D" w:rsidP="00FE6544">
            <w:pPr>
              <w:spacing w:line="276" w:lineRule="auto"/>
              <w:ind w:left="1985" w:hanging="1985"/>
              <w:rPr>
                <w:color w:val="000000"/>
                <w:sz w:val="22"/>
                <w:szCs w:val="22"/>
              </w:rPr>
            </w:pPr>
            <w:r>
              <w:rPr>
                <w:rFonts w:ascii="Trebuchet MS" w:eastAsia="Trebuchet MS" w:hAnsi="Trebuchet MS" w:cs="Trebuchet MS"/>
                <w:b/>
                <w:bCs/>
                <w:color w:val="000000"/>
                <w:sz w:val="22"/>
                <w:szCs w:val="22"/>
              </w:rPr>
              <w:t xml:space="preserve">BY INSURED, </w:t>
            </w:r>
          </w:p>
          <w:p w14:paraId="35445768" w14:textId="77777777" w:rsidR="00592C29" w:rsidRDefault="0048296D" w:rsidP="00FE6544">
            <w:pPr>
              <w:spacing w:line="276" w:lineRule="auto"/>
              <w:rPr>
                <w:color w:val="000000"/>
                <w:sz w:val="22"/>
                <w:szCs w:val="22"/>
              </w:rPr>
            </w:pPr>
            <w:r>
              <w:rPr>
                <w:rFonts w:ascii="Trebuchet MS" w:eastAsia="Trebuchet MS" w:hAnsi="Trebuchet MS" w:cs="Trebuchet MS"/>
                <w:b/>
                <w:bCs/>
                <w:color w:val="000000"/>
                <w:sz w:val="22"/>
                <w:szCs w:val="22"/>
              </w:rPr>
              <w:t>OR THEIR AGENT:</w:t>
            </w:r>
          </w:p>
        </w:tc>
        <w:tc>
          <w:tcPr>
            <w:tcW w:w="7371" w:type="dxa"/>
            <w:tcMar>
              <w:top w:w="5" w:type="dxa"/>
              <w:left w:w="113" w:type="dxa"/>
              <w:bottom w:w="5" w:type="dxa"/>
              <w:right w:w="113" w:type="dxa"/>
            </w:tcMar>
            <w:hideMark/>
          </w:tcPr>
          <w:p w14:paraId="19D9F0B3" w14:textId="77777777" w:rsidR="00592C29" w:rsidRDefault="0048296D" w:rsidP="00FE6544">
            <w:pPr>
              <w:spacing w:after="120" w:line="276" w:lineRule="auto"/>
              <w:ind w:left="1985" w:hanging="1985"/>
              <w:rPr>
                <w:color w:val="000000"/>
                <w:sz w:val="22"/>
                <w:szCs w:val="22"/>
              </w:rPr>
            </w:pPr>
            <w:r>
              <w:rPr>
                <w:rFonts w:ascii="Trebuchet MS" w:eastAsia="Trebuchet MS" w:hAnsi="Trebuchet MS" w:cs="Trebuchet MS"/>
                <w:color w:val="000000"/>
                <w:sz w:val="22"/>
                <w:szCs w:val="22"/>
              </w:rPr>
              <w:t>New Zealand</w:t>
            </w:r>
            <w:r>
              <w:rPr>
                <w:rFonts w:ascii="Trebuchet MS" w:eastAsia="Trebuchet MS" w:hAnsi="Trebuchet MS" w:cs="Trebuchet MS"/>
                <w:color w:val="000000"/>
                <w:sz w:val="22"/>
                <w:szCs w:val="22"/>
              </w:rPr>
              <w:tab/>
              <w:t>Income Tax at 2.8% (on GBP 200,000 Gross Premium)</w:t>
            </w:r>
          </w:p>
          <w:p w14:paraId="5D7C183F" w14:textId="4DB4A69F" w:rsidR="000B6964" w:rsidRPr="000B6964" w:rsidRDefault="0048296D" w:rsidP="000B6964">
            <w:pPr>
              <w:spacing w:after="120" w:line="276" w:lineRule="auto"/>
              <w:ind w:left="1985"/>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Fire Services Commission Levy 0.076% on New Zealand Sum Insured (NZD 500,000)</w:t>
            </w:r>
          </w:p>
          <w:p w14:paraId="6FA4428C" w14:textId="77777777" w:rsidR="00592C29" w:rsidRDefault="00592C29" w:rsidP="00FE6544">
            <w:pPr>
              <w:spacing w:after="120" w:line="276" w:lineRule="auto"/>
              <w:ind w:left="1026" w:hanging="1026"/>
              <w:rPr>
                <w:color w:val="000000"/>
                <w:sz w:val="22"/>
                <w:szCs w:val="22"/>
              </w:rPr>
            </w:pPr>
          </w:p>
          <w:p w14:paraId="0B99DDD6" w14:textId="77777777" w:rsidR="00592C29" w:rsidRDefault="00592C29" w:rsidP="00FE6544">
            <w:pPr>
              <w:spacing w:after="120" w:line="276" w:lineRule="auto"/>
              <w:ind w:left="1026" w:hanging="1026"/>
              <w:rPr>
                <w:color w:val="000000"/>
                <w:sz w:val="22"/>
                <w:szCs w:val="22"/>
              </w:rPr>
            </w:pPr>
          </w:p>
        </w:tc>
      </w:tr>
      <w:tr w:rsidR="00592C29" w14:paraId="4F2CA319" w14:textId="77777777">
        <w:tc>
          <w:tcPr>
            <w:tcW w:w="2376" w:type="dxa"/>
            <w:tcMar>
              <w:top w:w="5" w:type="dxa"/>
              <w:left w:w="113" w:type="dxa"/>
              <w:bottom w:w="5" w:type="dxa"/>
              <w:right w:w="113" w:type="dxa"/>
            </w:tcMar>
            <w:hideMark/>
          </w:tcPr>
          <w:p w14:paraId="39516C34" w14:textId="77777777" w:rsidR="00592C29" w:rsidRDefault="0048296D" w:rsidP="00FE6544">
            <w:pPr>
              <w:spacing w:line="276" w:lineRule="auto"/>
              <w:ind w:left="1985" w:hanging="1985"/>
              <w:rPr>
                <w:color w:val="000000"/>
                <w:sz w:val="22"/>
                <w:szCs w:val="22"/>
              </w:rPr>
            </w:pPr>
            <w:r>
              <w:rPr>
                <w:rFonts w:ascii="Trebuchet MS" w:eastAsia="Trebuchet MS" w:hAnsi="Trebuchet MS" w:cs="Trebuchet MS"/>
                <w:b/>
                <w:bCs/>
                <w:color w:val="000000"/>
                <w:sz w:val="22"/>
                <w:szCs w:val="22"/>
              </w:rPr>
              <w:t>RECORDING,</w:t>
            </w:r>
          </w:p>
          <w:p w14:paraId="03B0CFF3" w14:textId="77777777" w:rsidR="00592C29" w:rsidRDefault="0048296D" w:rsidP="00FE6544">
            <w:pPr>
              <w:spacing w:line="276" w:lineRule="auto"/>
              <w:ind w:left="1985" w:hanging="1985"/>
              <w:rPr>
                <w:color w:val="000000"/>
                <w:sz w:val="22"/>
                <w:szCs w:val="22"/>
              </w:rPr>
            </w:pPr>
            <w:r>
              <w:rPr>
                <w:rFonts w:ascii="Trebuchet MS" w:eastAsia="Trebuchet MS" w:hAnsi="Trebuchet MS" w:cs="Trebuchet MS"/>
                <w:b/>
                <w:bCs/>
                <w:color w:val="000000"/>
                <w:sz w:val="22"/>
                <w:szCs w:val="22"/>
              </w:rPr>
              <w:t>TRANSMITTING &amp;</w:t>
            </w:r>
          </w:p>
          <w:p w14:paraId="31265493" w14:textId="77777777" w:rsidR="00592C29" w:rsidRDefault="0048296D" w:rsidP="00FE6544">
            <w:pPr>
              <w:spacing w:line="276" w:lineRule="auto"/>
              <w:ind w:left="1985" w:hanging="1985"/>
              <w:rPr>
                <w:color w:val="000000"/>
                <w:sz w:val="22"/>
                <w:szCs w:val="22"/>
              </w:rPr>
            </w:pPr>
            <w:r>
              <w:rPr>
                <w:rFonts w:ascii="Trebuchet MS" w:eastAsia="Trebuchet MS" w:hAnsi="Trebuchet MS" w:cs="Trebuchet MS"/>
                <w:b/>
                <w:bCs/>
                <w:color w:val="000000"/>
                <w:sz w:val="22"/>
                <w:szCs w:val="22"/>
              </w:rPr>
              <w:t>STORING</w:t>
            </w:r>
          </w:p>
          <w:p w14:paraId="26876731" w14:textId="77777777" w:rsidR="00592C29" w:rsidRDefault="0048296D" w:rsidP="00FE6544">
            <w:pPr>
              <w:spacing w:line="276" w:lineRule="auto"/>
              <w:rPr>
                <w:color w:val="000000"/>
                <w:sz w:val="22"/>
                <w:szCs w:val="22"/>
              </w:rPr>
            </w:pPr>
            <w:r>
              <w:rPr>
                <w:rFonts w:ascii="Trebuchet MS" w:eastAsia="Trebuchet MS" w:hAnsi="Trebuchet MS" w:cs="Trebuchet MS"/>
                <w:b/>
                <w:bCs/>
                <w:color w:val="000000"/>
                <w:sz w:val="22"/>
                <w:szCs w:val="22"/>
              </w:rPr>
              <w:t>INFORMATION:</w:t>
            </w:r>
          </w:p>
        </w:tc>
        <w:tc>
          <w:tcPr>
            <w:tcW w:w="7371" w:type="dxa"/>
            <w:tcMar>
              <w:top w:w="5" w:type="dxa"/>
              <w:left w:w="113" w:type="dxa"/>
              <w:bottom w:w="5" w:type="dxa"/>
              <w:right w:w="113" w:type="dxa"/>
            </w:tcMar>
            <w:hideMark/>
          </w:tcPr>
          <w:p w14:paraId="338E89D5" w14:textId="77777777" w:rsidR="00592C29" w:rsidRDefault="0048296D" w:rsidP="00FE6544">
            <w:pPr>
              <w:spacing w:after="120" w:line="276" w:lineRule="auto"/>
              <w:rPr>
                <w:color w:val="000000"/>
                <w:sz w:val="22"/>
                <w:szCs w:val="22"/>
              </w:rPr>
            </w:pPr>
            <w:r>
              <w:rPr>
                <w:rFonts w:ascii="Trebuchet MS" w:eastAsia="Trebuchet MS" w:hAnsi="Trebuchet MS" w:cs="Trebuchet MS"/>
                <w:color w:val="000000"/>
                <w:sz w:val="22"/>
                <w:szCs w:val="22"/>
              </w:rPr>
              <w:t>Where Broker XYZ maintains risk and claim data/information/documents Broker XYZ may hold data/information/documents electronically.</w:t>
            </w:r>
          </w:p>
          <w:p w14:paraId="7E4A91B5" w14:textId="77777777" w:rsidR="00592C29" w:rsidRDefault="00592C29" w:rsidP="00FE6544">
            <w:pPr>
              <w:spacing w:after="120" w:line="276" w:lineRule="auto"/>
              <w:ind w:left="1985" w:hanging="1985"/>
              <w:rPr>
                <w:color w:val="000000"/>
                <w:sz w:val="22"/>
                <w:szCs w:val="22"/>
              </w:rPr>
            </w:pPr>
          </w:p>
          <w:p w14:paraId="51AFC80F" w14:textId="77777777" w:rsidR="00592C29" w:rsidRDefault="00592C29" w:rsidP="00FE6544">
            <w:pPr>
              <w:spacing w:after="120" w:line="276" w:lineRule="auto"/>
              <w:rPr>
                <w:color w:val="000000"/>
                <w:sz w:val="22"/>
                <w:szCs w:val="22"/>
              </w:rPr>
            </w:pPr>
          </w:p>
          <w:p w14:paraId="5F9AC2B6" w14:textId="77777777" w:rsidR="00592C29" w:rsidRDefault="00592C29" w:rsidP="00FE6544">
            <w:pPr>
              <w:spacing w:after="120" w:line="276" w:lineRule="auto"/>
              <w:ind w:left="1985" w:hanging="1985"/>
              <w:rPr>
                <w:color w:val="000000"/>
                <w:sz w:val="22"/>
                <w:szCs w:val="22"/>
              </w:rPr>
            </w:pPr>
          </w:p>
        </w:tc>
      </w:tr>
      <w:tr w:rsidR="00592C29" w14:paraId="066A2B77" w14:textId="77777777">
        <w:tc>
          <w:tcPr>
            <w:tcW w:w="2376" w:type="dxa"/>
            <w:tcMar>
              <w:top w:w="5" w:type="dxa"/>
              <w:left w:w="113" w:type="dxa"/>
              <w:bottom w:w="5" w:type="dxa"/>
              <w:right w:w="113" w:type="dxa"/>
            </w:tcMar>
            <w:hideMark/>
          </w:tcPr>
          <w:p w14:paraId="7E79CDE5" w14:textId="77777777" w:rsidR="00592C29" w:rsidRDefault="0048296D" w:rsidP="00FE6544">
            <w:pPr>
              <w:spacing w:line="276" w:lineRule="auto"/>
              <w:rPr>
                <w:color w:val="000000"/>
                <w:sz w:val="22"/>
                <w:szCs w:val="22"/>
              </w:rPr>
            </w:pPr>
            <w:r>
              <w:rPr>
                <w:rFonts w:ascii="Trebuchet MS" w:eastAsia="Trebuchet MS" w:hAnsi="Trebuchet MS" w:cs="Trebuchet MS"/>
                <w:b/>
                <w:bCs/>
                <w:color w:val="000000"/>
                <w:sz w:val="22"/>
                <w:szCs w:val="22"/>
              </w:rPr>
              <w:t xml:space="preserve">INSURER </w:t>
            </w:r>
          </w:p>
          <w:p w14:paraId="21DCC5E6" w14:textId="77777777" w:rsidR="00592C29" w:rsidRDefault="0048296D" w:rsidP="00FE6544">
            <w:pPr>
              <w:spacing w:line="276" w:lineRule="auto"/>
              <w:rPr>
                <w:color w:val="000000"/>
                <w:sz w:val="22"/>
                <w:szCs w:val="22"/>
              </w:rPr>
            </w:pPr>
            <w:r>
              <w:rPr>
                <w:rFonts w:ascii="Trebuchet MS" w:eastAsia="Trebuchet MS" w:hAnsi="Trebuchet MS" w:cs="Trebuchet MS"/>
                <w:b/>
                <w:bCs/>
                <w:color w:val="000000"/>
                <w:sz w:val="22"/>
                <w:szCs w:val="22"/>
              </w:rPr>
              <w:t>CONTRACT</w:t>
            </w:r>
          </w:p>
          <w:p w14:paraId="2DA0DE33" w14:textId="77777777" w:rsidR="00592C29" w:rsidRDefault="0048296D" w:rsidP="00FE6544">
            <w:pPr>
              <w:spacing w:line="276" w:lineRule="auto"/>
              <w:rPr>
                <w:color w:val="000000"/>
                <w:sz w:val="22"/>
                <w:szCs w:val="22"/>
              </w:rPr>
            </w:pPr>
            <w:r>
              <w:rPr>
                <w:rFonts w:ascii="Trebuchet MS" w:eastAsia="Trebuchet MS" w:hAnsi="Trebuchet MS" w:cs="Trebuchet MS"/>
                <w:b/>
                <w:bCs/>
                <w:color w:val="000000"/>
                <w:sz w:val="22"/>
                <w:szCs w:val="22"/>
              </w:rPr>
              <w:t>DOCUMENTATION:</w:t>
            </w:r>
          </w:p>
        </w:tc>
        <w:tc>
          <w:tcPr>
            <w:tcW w:w="7371" w:type="dxa"/>
            <w:tcMar>
              <w:top w:w="5" w:type="dxa"/>
              <w:left w:w="113" w:type="dxa"/>
              <w:bottom w:w="5" w:type="dxa"/>
              <w:right w:w="113" w:type="dxa"/>
            </w:tcMar>
            <w:hideMark/>
          </w:tcPr>
          <w:p w14:paraId="0F79159C" w14:textId="77777777" w:rsidR="00592C29" w:rsidRDefault="0048296D" w:rsidP="00FE6544">
            <w:pPr>
              <w:spacing w:after="120" w:line="276" w:lineRule="auto"/>
              <w:jc w:val="both"/>
              <w:rPr>
                <w:color w:val="000000"/>
                <w:sz w:val="22"/>
                <w:szCs w:val="22"/>
              </w:rPr>
            </w:pPr>
            <w:r>
              <w:rPr>
                <w:rFonts w:ascii="Trebuchet MS" w:eastAsia="Trebuchet MS" w:hAnsi="Trebuchet MS" w:cs="Trebuchet MS"/>
                <w:color w:val="000000"/>
                <w:sz w:val="22"/>
                <w:szCs w:val="22"/>
              </w:rPr>
              <w:t xml:space="preserve">This document details the contract terms entered into by the insurer(s), and constitutes the contract document. </w:t>
            </w:r>
          </w:p>
          <w:p w14:paraId="1FB4A97E" w14:textId="6C4FA395" w:rsidR="00592C29" w:rsidRDefault="0048296D" w:rsidP="000B6964">
            <w:pPr>
              <w:spacing w:after="120" w:line="276" w:lineRule="auto"/>
              <w:rPr>
                <w:color w:val="000000"/>
                <w:sz w:val="22"/>
                <w:szCs w:val="22"/>
              </w:rPr>
            </w:pPr>
            <w:r>
              <w:rPr>
                <w:rFonts w:ascii="Trebuchet MS" w:eastAsia="Trebuchet MS" w:hAnsi="Trebuchet MS" w:cs="Trebuchet MS"/>
                <w:color w:val="000000"/>
                <w:sz w:val="22"/>
                <w:szCs w:val="22"/>
              </w:rPr>
              <w:t xml:space="preserve">Any further documentation changing this contract, agreed in accordance with the contract change provisions set out in this contract, shall form the evidence of such change </w:t>
            </w:r>
          </w:p>
          <w:p w14:paraId="1F2ECBEC" w14:textId="77777777" w:rsidR="00592C29" w:rsidRDefault="00592C29" w:rsidP="00FE6544">
            <w:pPr>
              <w:spacing w:after="120" w:line="276" w:lineRule="auto"/>
              <w:rPr>
                <w:color w:val="000000"/>
                <w:sz w:val="22"/>
                <w:szCs w:val="22"/>
              </w:rPr>
            </w:pPr>
          </w:p>
          <w:p w14:paraId="70D715BF" w14:textId="537DE108" w:rsidR="00FE6544" w:rsidRDefault="00FE6544" w:rsidP="00FE6544">
            <w:pPr>
              <w:spacing w:after="120" w:line="276" w:lineRule="auto"/>
              <w:rPr>
                <w:color w:val="000000"/>
                <w:sz w:val="22"/>
                <w:szCs w:val="22"/>
              </w:rPr>
            </w:pPr>
          </w:p>
        </w:tc>
      </w:tr>
      <w:tr w:rsidR="00592C29" w14:paraId="4DB9A2AF" w14:textId="77777777">
        <w:tc>
          <w:tcPr>
            <w:tcW w:w="2376" w:type="dxa"/>
            <w:tcMar>
              <w:top w:w="5" w:type="dxa"/>
              <w:left w:w="113" w:type="dxa"/>
              <w:bottom w:w="5" w:type="dxa"/>
              <w:right w:w="113" w:type="dxa"/>
            </w:tcMar>
            <w:hideMark/>
          </w:tcPr>
          <w:p w14:paraId="32121713" w14:textId="77777777" w:rsidR="00592C29" w:rsidRDefault="0048296D" w:rsidP="00FE6544">
            <w:pPr>
              <w:spacing w:line="276" w:lineRule="auto"/>
              <w:rPr>
                <w:color w:val="000000"/>
                <w:sz w:val="22"/>
                <w:szCs w:val="22"/>
              </w:rPr>
            </w:pPr>
            <w:r>
              <w:rPr>
                <w:rFonts w:ascii="Trebuchet MS" w:eastAsia="Trebuchet MS" w:hAnsi="Trebuchet MS" w:cs="Trebuchet MS"/>
                <w:b/>
                <w:bCs/>
                <w:color w:val="000000"/>
                <w:sz w:val="22"/>
                <w:szCs w:val="22"/>
              </w:rPr>
              <w:t xml:space="preserve">NOTICE OF </w:t>
            </w:r>
          </w:p>
          <w:p w14:paraId="7B0BF922" w14:textId="77777777" w:rsidR="00592C29" w:rsidRDefault="0048296D" w:rsidP="00FE6544">
            <w:pPr>
              <w:spacing w:line="276" w:lineRule="auto"/>
              <w:rPr>
                <w:color w:val="000000"/>
                <w:sz w:val="22"/>
                <w:szCs w:val="22"/>
              </w:rPr>
            </w:pPr>
            <w:r>
              <w:rPr>
                <w:rFonts w:ascii="Trebuchet MS" w:eastAsia="Trebuchet MS" w:hAnsi="Trebuchet MS" w:cs="Trebuchet MS"/>
                <w:b/>
                <w:bCs/>
                <w:color w:val="000000"/>
                <w:sz w:val="22"/>
                <w:szCs w:val="22"/>
              </w:rPr>
              <w:t>CANCELLATION</w:t>
            </w:r>
          </w:p>
          <w:p w14:paraId="15618743" w14:textId="77777777" w:rsidR="00592C29" w:rsidRDefault="0048296D" w:rsidP="00FE6544">
            <w:pPr>
              <w:spacing w:line="276" w:lineRule="auto"/>
              <w:rPr>
                <w:color w:val="000000"/>
                <w:sz w:val="22"/>
                <w:szCs w:val="22"/>
              </w:rPr>
            </w:pPr>
            <w:r>
              <w:rPr>
                <w:rFonts w:ascii="Trebuchet MS" w:eastAsia="Trebuchet MS" w:hAnsi="Trebuchet MS" w:cs="Trebuchet MS"/>
                <w:b/>
                <w:bCs/>
                <w:color w:val="000000"/>
                <w:sz w:val="22"/>
                <w:szCs w:val="22"/>
              </w:rPr>
              <w:t>PROVISIONS:</w:t>
            </w:r>
          </w:p>
          <w:p w14:paraId="598EDD32" w14:textId="77777777" w:rsidR="00592C29" w:rsidRDefault="00592C29" w:rsidP="00FE6544">
            <w:pPr>
              <w:spacing w:line="276" w:lineRule="auto"/>
              <w:rPr>
                <w:color w:val="000000"/>
                <w:sz w:val="22"/>
                <w:szCs w:val="22"/>
              </w:rPr>
            </w:pPr>
          </w:p>
        </w:tc>
        <w:tc>
          <w:tcPr>
            <w:tcW w:w="7371" w:type="dxa"/>
            <w:tcMar>
              <w:top w:w="5" w:type="dxa"/>
              <w:left w:w="113" w:type="dxa"/>
              <w:bottom w:w="5" w:type="dxa"/>
              <w:right w:w="113" w:type="dxa"/>
            </w:tcMar>
            <w:hideMark/>
          </w:tcPr>
          <w:p w14:paraId="58C8A86B" w14:textId="77777777" w:rsidR="00592C29" w:rsidRDefault="0048296D" w:rsidP="00FE6544">
            <w:pPr>
              <w:spacing w:after="120" w:line="276" w:lineRule="auto"/>
              <w:jc w:val="both"/>
              <w:rPr>
                <w:color w:val="000000"/>
                <w:sz w:val="22"/>
                <w:szCs w:val="22"/>
              </w:rPr>
            </w:pPr>
            <w:r>
              <w:rPr>
                <w:rFonts w:ascii="Trebuchet MS" w:eastAsia="Trebuchet MS" w:hAnsi="Trebuchet MS" w:cs="Trebuchet MS"/>
                <w:color w:val="000000"/>
                <w:sz w:val="22"/>
                <w:szCs w:val="22"/>
              </w:rPr>
              <w:t xml:space="preserve">Where (re)insurers have the right to give notice of cancellation, in accordance with the provisions of the contract, then: </w:t>
            </w:r>
          </w:p>
          <w:p w14:paraId="7432A6D5" w14:textId="77777777" w:rsidR="00592C29" w:rsidRDefault="0048296D" w:rsidP="00FE6544">
            <w:pPr>
              <w:spacing w:after="120" w:line="276" w:lineRule="auto"/>
              <w:jc w:val="both"/>
              <w:rPr>
                <w:color w:val="000000"/>
                <w:sz w:val="22"/>
                <w:szCs w:val="22"/>
              </w:rPr>
            </w:pPr>
            <w:r>
              <w:rPr>
                <w:rFonts w:ascii="Trebuchet MS" w:eastAsia="Trebuchet MS" w:hAnsi="Trebuchet MS" w:cs="Trebuchet MS"/>
                <w:color w:val="000000"/>
                <w:sz w:val="22"/>
                <w:szCs w:val="22"/>
              </w:rPr>
              <w:t xml:space="preserve">To the extent provided by the contract, the Slip Leader is </w:t>
            </w:r>
            <w:proofErr w:type="spellStart"/>
            <w:r>
              <w:rPr>
                <w:rFonts w:ascii="Trebuchet MS" w:eastAsia="Trebuchet MS" w:hAnsi="Trebuchet MS" w:cs="Trebuchet MS"/>
                <w:color w:val="000000"/>
                <w:sz w:val="22"/>
                <w:szCs w:val="22"/>
              </w:rPr>
              <w:t>authorised</w:t>
            </w:r>
            <w:proofErr w:type="spellEnd"/>
            <w:r>
              <w:rPr>
                <w:rFonts w:ascii="Trebuchet MS" w:eastAsia="Trebuchet MS" w:hAnsi="Trebuchet MS" w:cs="Trebuchet MS"/>
                <w:color w:val="000000"/>
                <w:sz w:val="22"/>
                <w:szCs w:val="22"/>
              </w:rPr>
              <w:t xml:space="preserve"> to issue such notice on behalf of all participating (re)insurers; and (optionally)</w:t>
            </w:r>
          </w:p>
          <w:p w14:paraId="1DBA711F" w14:textId="77777777" w:rsidR="00592C29" w:rsidRDefault="0048296D" w:rsidP="00FE6544">
            <w:pPr>
              <w:spacing w:after="120" w:line="276" w:lineRule="auto"/>
              <w:jc w:val="both"/>
              <w:rPr>
                <w:color w:val="000000"/>
                <w:sz w:val="22"/>
                <w:szCs w:val="22"/>
              </w:rPr>
            </w:pPr>
            <w:r>
              <w:rPr>
                <w:rFonts w:ascii="Trebuchet MS" w:eastAsia="Trebuchet MS" w:hAnsi="Trebuchet MS" w:cs="Trebuchet MS"/>
                <w:color w:val="000000"/>
                <w:sz w:val="22"/>
                <w:szCs w:val="22"/>
              </w:rPr>
              <w:t xml:space="preserve">Any (re)insurer may issue such notice in respect of its own participation.  </w:t>
            </w:r>
          </w:p>
          <w:p w14:paraId="530D4A86" w14:textId="77777777" w:rsidR="00592C29" w:rsidRDefault="0048296D" w:rsidP="00FE6544">
            <w:pPr>
              <w:spacing w:after="120" w:line="276" w:lineRule="auto"/>
              <w:jc w:val="both"/>
              <w:rPr>
                <w:color w:val="000000"/>
                <w:sz w:val="22"/>
                <w:szCs w:val="22"/>
              </w:rPr>
            </w:pPr>
            <w:r>
              <w:rPr>
                <w:rFonts w:ascii="Trebuchet MS" w:eastAsia="Trebuchet MS" w:hAnsi="Trebuchet MS" w:cs="Trebuchet MS"/>
                <w:color w:val="000000"/>
                <w:sz w:val="22"/>
                <w:szCs w:val="22"/>
              </w:rPr>
              <w:t xml:space="preserve">The content and format of any such notice should be in accordance with the ‘Notice of Cancellation’ standard, as published by the London Market Group (LMG), or their successor body, on behalf of London Market Associations and participants. However failure to comply with this standard will not affect the validity of the notice given. </w:t>
            </w:r>
          </w:p>
          <w:p w14:paraId="16F79369" w14:textId="77777777" w:rsidR="00592C29" w:rsidRDefault="0048296D" w:rsidP="00FE6544">
            <w:pPr>
              <w:spacing w:after="120" w:line="276" w:lineRule="auto"/>
              <w:jc w:val="both"/>
              <w:rPr>
                <w:color w:val="000000"/>
                <w:sz w:val="22"/>
                <w:szCs w:val="22"/>
              </w:rPr>
            </w:pPr>
            <w:r>
              <w:rPr>
                <w:rFonts w:ascii="Trebuchet MS" w:eastAsia="Trebuchet MS" w:hAnsi="Trebuchet MS" w:cs="Trebuchet MS"/>
                <w:color w:val="000000"/>
                <w:sz w:val="22"/>
                <w:szCs w:val="22"/>
              </w:rPr>
              <w:t xml:space="preserve">The notice shall be provided to the broker by the following means: </w:t>
            </w:r>
          </w:p>
          <w:p w14:paraId="2B497303" w14:textId="77777777" w:rsidR="00592C29" w:rsidRDefault="0048296D" w:rsidP="000B6964">
            <w:pPr>
              <w:spacing w:after="60" w:line="276" w:lineRule="auto"/>
              <w:jc w:val="both"/>
              <w:rPr>
                <w:color w:val="000000"/>
                <w:sz w:val="22"/>
                <w:szCs w:val="22"/>
              </w:rPr>
            </w:pPr>
            <w:r>
              <w:rPr>
                <w:rFonts w:ascii="Trebuchet MS" w:eastAsia="Trebuchet MS" w:hAnsi="Trebuchet MS" w:cs="Trebuchet MS"/>
                <w:color w:val="000000"/>
                <w:sz w:val="22"/>
                <w:szCs w:val="22"/>
              </w:rPr>
              <w:t>By an electronic message, to the ACORD standard agreed by market bodies, delivered to the XYZ system, (as defined by the relevant broker); or</w:t>
            </w:r>
          </w:p>
          <w:p w14:paraId="3BCDFAD4" w14:textId="77777777" w:rsidR="00592C29" w:rsidRDefault="0048296D" w:rsidP="000B6964">
            <w:pPr>
              <w:spacing w:after="60" w:line="276" w:lineRule="auto"/>
              <w:rPr>
                <w:color w:val="000000"/>
                <w:sz w:val="22"/>
                <w:szCs w:val="22"/>
              </w:rPr>
            </w:pPr>
            <w:r>
              <w:rPr>
                <w:rFonts w:ascii="Trebuchet MS" w:eastAsia="Trebuchet MS" w:hAnsi="Trebuchet MS" w:cs="Trebuchet MS"/>
                <w:color w:val="000000"/>
                <w:sz w:val="22"/>
                <w:szCs w:val="22"/>
              </w:rPr>
              <w:t xml:space="preserve">By an email to </w:t>
            </w:r>
            <w:hyperlink r:id="rId42" w:history="1">
              <w:r>
                <w:rPr>
                  <w:rFonts w:ascii="Trebuchet MS" w:eastAsia="Trebuchet MS" w:hAnsi="Trebuchet MS" w:cs="Trebuchet MS"/>
                  <w:color w:val="000000"/>
                  <w:sz w:val="22"/>
                  <w:szCs w:val="22"/>
                </w:rPr>
                <w:t>Broker.Contact@xyzbroker.co.uk</w:t>
              </w:r>
            </w:hyperlink>
            <w:r>
              <w:rPr>
                <w:rFonts w:ascii="Trebuchet MS" w:eastAsia="Trebuchet MS" w:hAnsi="Trebuchet MS" w:cs="Trebuchet MS"/>
                <w:color w:val="000000"/>
                <w:sz w:val="22"/>
                <w:szCs w:val="22"/>
              </w:rPr>
              <w:t xml:space="preserve">  and </w:t>
            </w:r>
            <w:hyperlink r:id="rId43" w:history="1">
              <w:r>
                <w:rPr>
                  <w:rFonts w:ascii="Trebuchet MS" w:eastAsia="Trebuchet MS" w:hAnsi="Trebuchet MS" w:cs="Trebuchet MS"/>
                  <w:color w:val="000000"/>
                  <w:sz w:val="22"/>
                  <w:szCs w:val="22"/>
                </w:rPr>
                <w:t>Compliance.Contact@xyzbroker.co.uk</w:t>
              </w:r>
            </w:hyperlink>
            <w:r>
              <w:rPr>
                <w:rFonts w:ascii="Trebuchet MS" w:eastAsia="Trebuchet MS" w:hAnsi="Trebuchet MS" w:cs="Trebuchet MS"/>
                <w:color w:val="000000"/>
                <w:sz w:val="22"/>
                <w:szCs w:val="22"/>
              </w:rPr>
              <w:t xml:space="preserve"> ; or</w:t>
            </w:r>
          </w:p>
          <w:p w14:paraId="681C6E74" w14:textId="77777777" w:rsidR="00592C29" w:rsidRDefault="0048296D" w:rsidP="00FE6544">
            <w:pPr>
              <w:spacing w:after="120" w:line="276" w:lineRule="auto"/>
              <w:rPr>
                <w:color w:val="000000"/>
                <w:sz w:val="22"/>
                <w:szCs w:val="22"/>
              </w:rPr>
            </w:pPr>
            <w:r>
              <w:rPr>
                <w:rFonts w:ascii="Trebuchet MS" w:eastAsia="Trebuchet MS" w:hAnsi="Trebuchet MS" w:cs="Trebuchet MS"/>
                <w:color w:val="000000"/>
                <w:sz w:val="22"/>
                <w:szCs w:val="22"/>
              </w:rPr>
              <w:t xml:space="preserve">By an email to </w:t>
            </w:r>
            <w:hyperlink r:id="rId44" w:history="1">
              <w:r>
                <w:rPr>
                  <w:rFonts w:ascii="Trebuchet MS" w:eastAsia="Trebuchet MS" w:hAnsi="Trebuchet MS" w:cs="Trebuchet MS"/>
                  <w:color w:val="000000"/>
                  <w:sz w:val="22"/>
                  <w:szCs w:val="22"/>
                </w:rPr>
                <w:t>aviationnoc@xyzbrokers.co.uk</w:t>
              </w:r>
            </w:hyperlink>
            <w:r>
              <w:rPr>
                <w:rFonts w:ascii="Trebuchet MS" w:eastAsia="Trebuchet MS" w:hAnsi="Trebuchet MS" w:cs="Trebuchet MS"/>
                <w:color w:val="000000"/>
                <w:sz w:val="22"/>
                <w:szCs w:val="22"/>
              </w:rPr>
              <w:t xml:space="preserve"> .</w:t>
            </w:r>
          </w:p>
          <w:p w14:paraId="75DD8163" w14:textId="7CBB0BB7" w:rsidR="00592C29" w:rsidRDefault="0048296D" w:rsidP="00FE6544">
            <w:pPr>
              <w:spacing w:after="120" w:line="276" w:lineRule="auto"/>
              <w:jc w:val="both"/>
              <w:rPr>
                <w:color w:val="000000"/>
                <w:sz w:val="22"/>
                <w:szCs w:val="22"/>
              </w:rPr>
            </w:pPr>
            <w:r>
              <w:rPr>
                <w:rFonts w:ascii="Trebuchet MS" w:eastAsia="Trebuchet MS" w:hAnsi="Trebuchet MS" w:cs="Trebuchet MS"/>
                <w:color w:val="000000"/>
                <w:sz w:val="22"/>
                <w:szCs w:val="22"/>
              </w:rPr>
              <w:t xml:space="preserve">Failure to comply with this delivery requirement will make the notice null and void. Satisfactory delivery of the notice will cause it to be effective irrespective of whether the broker has acknowledged receipt. </w:t>
            </w:r>
          </w:p>
        </w:tc>
      </w:tr>
    </w:tbl>
    <w:p w14:paraId="37E9D0B9" w14:textId="6A3C931D" w:rsidR="00592C29" w:rsidRDefault="0048296D" w:rsidP="000B6964">
      <w:pPr>
        <w:spacing w:after="200" w:line="276" w:lineRule="auto"/>
        <w:rPr>
          <w:sz w:val="40"/>
          <w:szCs w:val="40"/>
        </w:rPr>
      </w:pPr>
      <w:r>
        <w:rPr>
          <w:sz w:val="40"/>
          <w:szCs w:val="40"/>
        </w:rPr>
        <w:br w:type="page"/>
      </w:r>
    </w:p>
    <w:tbl>
      <w:tblPr>
        <w:tblW w:w="9781" w:type="dxa"/>
        <w:tblInd w:w="113" w:type="dxa"/>
        <w:tblCellMar>
          <w:left w:w="0" w:type="dxa"/>
          <w:right w:w="0" w:type="dxa"/>
        </w:tblCellMar>
        <w:tblLook w:val="04A0" w:firstRow="1" w:lastRow="0" w:firstColumn="1" w:lastColumn="0" w:noHBand="0" w:noVBand="1"/>
      </w:tblPr>
      <w:tblGrid>
        <w:gridCol w:w="9781"/>
      </w:tblGrid>
      <w:tr w:rsidR="00592C29" w14:paraId="00709860" w14:textId="77777777">
        <w:tc>
          <w:tcPr>
            <w:tcW w:w="9781" w:type="dxa"/>
            <w:tcMar>
              <w:top w:w="5" w:type="dxa"/>
              <w:left w:w="113" w:type="dxa"/>
              <w:bottom w:w="5" w:type="dxa"/>
              <w:right w:w="113" w:type="dxa"/>
            </w:tcMar>
            <w:hideMark/>
          </w:tcPr>
          <w:p w14:paraId="1FF91CD4" w14:textId="48874E72" w:rsidR="00592C29" w:rsidRDefault="0048296D" w:rsidP="00FE6544">
            <w:pPr>
              <w:spacing w:after="120" w:line="276" w:lineRule="auto"/>
              <w:rPr>
                <w:color w:val="000000"/>
                <w:sz w:val="40"/>
                <w:szCs w:val="40"/>
              </w:rPr>
            </w:pPr>
            <w:r>
              <w:rPr>
                <w:rFonts w:ascii="Trebuchet MS" w:eastAsia="Trebuchet MS" w:hAnsi="Trebuchet MS" w:cs="Trebuchet MS"/>
                <w:b/>
                <w:bCs/>
                <w:color w:val="000000"/>
                <w:sz w:val="40"/>
                <w:szCs w:val="40"/>
              </w:rPr>
              <w:lastRenderedPageBreak/>
              <w:t>Information</w:t>
            </w:r>
          </w:p>
          <w:p w14:paraId="6364AD9A" w14:textId="77777777" w:rsidR="00592C29" w:rsidRDefault="00592C29" w:rsidP="00FE6544">
            <w:pPr>
              <w:spacing w:after="120" w:line="276" w:lineRule="auto"/>
              <w:rPr>
                <w:color w:val="000000"/>
                <w:sz w:val="22"/>
                <w:szCs w:val="22"/>
              </w:rPr>
            </w:pPr>
          </w:p>
          <w:p w14:paraId="32D3BFC4" w14:textId="14FA5A3E" w:rsidR="00FE6544" w:rsidRDefault="00FE6544" w:rsidP="00FE6544">
            <w:pPr>
              <w:spacing w:after="120" w:line="276" w:lineRule="auto"/>
              <w:rPr>
                <w:color w:val="000000"/>
                <w:sz w:val="22"/>
                <w:szCs w:val="22"/>
              </w:rPr>
            </w:pPr>
          </w:p>
        </w:tc>
      </w:tr>
      <w:tr w:rsidR="00592C29" w14:paraId="28013E77" w14:textId="77777777">
        <w:tc>
          <w:tcPr>
            <w:tcW w:w="9781" w:type="dxa"/>
            <w:tcMar>
              <w:top w:w="5" w:type="dxa"/>
              <w:left w:w="113" w:type="dxa"/>
              <w:bottom w:w="5" w:type="dxa"/>
              <w:right w:w="113" w:type="dxa"/>
            </w:tcMar>
            <w:hideMark/>
          </w:tcPr>
          <w:p w14:paraId="7A924A00" w14:textId="77777777" w:rsidR="00592C29" w:rsidRDefault="0048296D" w:rsidP="00FE6544">
            <w:pPr>
              <w:spacing w:after="120" w:line="276" w:lineRule="auto"/>
              <w:rPr>
                <w:color w:val="000000"/>
                <w:sz w:val="22"/>
                <w:szCs w:val="22"/>
              </w:rPr>
            </w:pPr>
            <w:r>
              <w:rPr>
                <w:rFonts w:ascii="Trebuchet MS" w:eastAsia="Trebuchet MS" w:hAnsi="Trebuchet MS" w:cs="Trebuchet MS"/>
                <w:color w:val="000000"/>
                <w:sz w:val="22"/>
                <w:szCs w:val="22"/>
              </w:rPr>
              <w:t>The following information was provided to insurer(s) to support the assessment of the risk at the time of underwriting.</w:t>
            </w:r>
          </w:p>
          <w:p w14:paraId="592DEBDE" w14:textId="77777777" w:rsidR="00592C29" w:rsidRDefault="00592C29" w:rsidP="00FE6544">
            <w:pPr>
              <w:spacing w:after="120" w:line="276" w:lineRule="auto"/>
              <w:rPr>
                <w:color w:val="000000"/>
                <w:sz w:val="22"/>
                <w:szCs w:val="22"/>
              </w:rPr>
            </w:pPr>
          </w:p>
          <w:p w14:paraId="51BE916B" w14:textId="77777777" w:rsidR="00592C29" w:rsidRDefault="0048296D" w:rsidP="00FE6544">
            <w:pPr>
              <w:spacing w:after="120" w:line="276" w:lineRule="auto"/>
              <w:rPr>
                <w:color w:val="000000"/>
                <w:sz w:val="22"/>
                <w:szCs w:val="22"/>
              </w:rPr>
            </w:pPr>
            <w:r>
              <w:rPr>
                <w:rFonts w:ascii="Trebuchet MS" w:eastAsia="Trebuchet MS" w:hAnsi="Trebuchet MS" w:cs="Trebuchet MS"/>
                <w:color w:val="000000"/>
                <w:sz w:val="22"/>
                <w:szCs w:val="22"/>
              </w:rPr>
              <w:t>Client submission dated November YYYY prepared by Producer Inc and seen by all participants hereon and held on file by Broker XYZ Ltd</w:t>
            </w:r>
          </w:p>
          <w:p w14:paraId="16DD93AF" w14:textId="77777777" w:rsidR="00592C29" w:rsidRDefault="00592C29" w:rsidP="00FE6544">
            <w:pPr>
              <w:spacing w:after="120" w:line="276" w:lineRule="auto"/>
              <w:rPr>
                <w:color w:val="000000"/>
                <w:sz w:val="22"/>
                <w:szCs w:val="22"/>
              </w:rPr>
            </w:pPr>
          </w:p>
          <w:p w14:paraId="4D7763EF" w14:textId="77777777" w:rsidR="00592C29" w:rsidRDefault="0048296D" w:rsidP="00FE6544">
            <w:pPr>
              <w:spacing w:after="120" w:line="276" w:lineRule="auto"/>
              <w:rPr>
                <w:color w:val="000000"/>
                <w:sz w:val="22"/>
                <w:szCs w:val="22"/>
              </w:rPr>
            </w:pPr>
            <w:r>
              <w:rPr>
                <w:rFonts w:ascii="Trebuchet MS" w:eastAsia="Trebuchet MS" w:hAnsi="Trebuchet MS" w:cs="Trebuchet MS"/>
                <w:color w:val="000000"/>
                <w:sz w:val="22"/>
                <w:szCs w:val="22"/>
              </w:rPr>
              <w:t>No losses past five years</w:t>
            </w:r>
          </w:p>
          <w:p w14:paraId="7841ACF9" w14:textId="77777777" w:rsidR="00592C29" w:rsidRDefault="00592C29" w:rsidP="00FE6544">
            <w:pPr>
              <w:spacing w:after="120" w:line="276" w:lineRule="auto"/>
              <w:rPr>
                <w:color w:val="000000"/>
                <w:sz w:val="22"/>
                <w:szCs w:val="22"/>
              </w:rPr>
            </w:pPr>
          </w:p>
          <w:p w14:paraId="0A95D4E8" w14:textId="77777777" w:rsidR="00592C29" w:rsidRDefault="0048296D" w:rsidP="00FE6544">
            <w:pPr>
              <w:spacing w:after="120" w:line="276" w:lineRule="auto"/>
              <w:rPr>
                <w:color w:val="000000"/>
                <w:sz w:val="22"/>
                <w:szCs w:val="22"/>
              </w:rPr>
            </w:pPr>
            <w:r>
              <w:rPr>
                <w:rFonts w:ascii="Trebuchet MS" w:eastAsia="Trebuchet MS" w:hAnsi="Trebuchet MS" w:cs="Trebuchet MS"/>
                <w:color w:val="000000"/>
                <w:sz w:val="22"/>
                <w:szCs w:val="22"/>
              </w:rPr>
              <w:t>EFG Burglar alarm system installed at all locations</w:t>
            </w:r>
          </w:p>
          <w:p w14:paraId="311572EB" w14:textId="77777777" w:rsidR="00592C29" w:rsidRDefault="00592C29" w:rsidP="00FE6544">
            <w:pPr>
              <w:spacing w:after="120" w:line="276" w:lineRule="auto"/>
              <w:rPr>
                <w:color w:val="000000"/>
                <w:sz w:val="22"/>
                <w:szCs w:val="22"/>
              </w:rPr>
            </w:pPr>
          </w:p>
          <w:p w14:paraId="1EE66269" w14:textId="77777777" w:rsidR="00592C29" w:rsidRDefault="0048296D" w:rsidP="00FE6544">
            <w:pPr>
              <w:spacing w:after="120" w:line="276" w:lineRule="auto"/>
              <w:rPr>
                <w:color w:val="000000"/>
                <w:sz w:val="22"/>
                <w:szCs w:val="22"/>
              </w:rPr>
            </w:pPr>
            <w:r>
              <w:rPr>
                <w:rFonts w:ascii="Trebuchet MS" w:eastAsia="Trebuchet MS" w:hAnsi="Trebuchet MS" w:cs="Trebuchet MS"/>
                <w:color w:val="000000"/>
                <w:sz w:val="22"/>
                <w:szCs w:val="22"/>
              </w:rPr>
              <w:t>ABC Sprinkler system installed at Milton Keynes location</w:t>
            </w:r>
          </w:p>
          <w:p w14:paraId="075A231A" w14:textId="77777777" w:rsidR="00592C29" w:rsidRDefault="00592C29" w:rsidP="00FE6544">
            <w:pPr>
              <w:spacing w:after="120" w:line="276" w:lineRule="auto"/>
              <w:rPr>
                <w:color w:val="000000"/>
                <w:sz w:val="22"/>
                <w:szCs w:val="22"/>
              </w:rPr>
            </w:pPr>
          </w:p>
        </w:tc>
      </w:tr>
    </w:tbl>
    <w:p w14:paraId="52C6208A" w14:textId="77777777" w:rsidR="00592C29" w:rsidRDefault="0048296D">
      <w:pPr>
        <w:spacing w:after="200" w:line="276" w:lineRule="auto"/>
        <w:rPr>
          <w:sz w:val="40"/>
          <w:szCs w:val="40"/>
        </w:rPr>
      </w:pPr>
      <w:r>
        <w:rPr>
          <w:sz w:val="40"/>
          <w:szCs w:val="40"/>
        </w:rPr>
        <w:br w:type="page"/>
      </w:r>
    </w:p>
    <w:tbl>
      <w:tblPr>
        <w:tblW w:w="9747" w:type="dxa"/>
        <w:tblInd w:w="113" w:type="dxa"/>
        <w:tblCellMar>
          <w:left w:w="0" w:type="dxa"/>
          <w:right w:w="0" w:type="dxa"/>
        </w:tblCellMar>
        <w:tblLook w:val="04A0" w:firstRow="1" w:lastRow="0" w:firstColumn="1" w:lastColumn="0" w:noHBand="0" w:noVBand="1"/>
      </w:tblPr>
      <w:tblGrid>
        <w:gridCol w:w="2376"/>
        <w:gridCol w:w="7371"/>
      </w:tblGrid>
      <w:tr w:rsidR="00592C29" w14:paraId="5BAA7D64" w14:textId="77777777">
        <w:tc>
          <w:tcPr>
            <w:tcW w:w="9747" w:type="dxa"/>
            <w:gridSpan w:val="2"/>
            <w:tcMar>
              <w:top w:w="5" w:type="dxa"/>
              <w:left w:w="113" w:type="dxa"/>
              <w:bottom w:w="5" w:type="dxa"/>
              <w:right w:w="113" w:type="dxa"/>
            </w:tcMar>
            <w:hideMark/>
          </w:tcPr>
          <w:p w14:paraId="15DB28A6" w14:textId="2864C5D0" w:rsidR="00592C29" w:rsidRDefault="0048296D">
            <w:pPr>
              <w:spacing w:after="200" w:line="276" w:lineRule="auto"/>
              <w:rPr>
                <w:rFonts w:ascii="Trebuchet MS" w:eastAsia="Trebuchet MS" w:hAnsi="Trebuchet MS" w:cs="Trebuchet MS"/>
                <w:b/>
                <w:bCs/>
                <w:color w:val="000000"/>
                <w:sz w:val="40"/>
                <w:szCs w:val="40"/>
              </w:rPr>
            </w:pPr>
            <w:r>
              <w:rPr>
                <w:rFonts w:ascii="Trebuchet MS" w:eastAsia="Trebuchet MS" w:hAnsi="Trebuchet MS" w:cs="Trebuchet MS"/>
                <w:b/>
                <w:bCs/>
                <w:color w:val="000000"/>
                <w:sz w:val="40"/>
                <w:szCs w:val="40"/>
              </w:rPr>
              <w:lastRenderedPageBreak/>
              <w:t>Security Details</w:t>
            </w:r>
          </w:p>
          <w:p w14:paraId="3D058060" w14:textId="77777777" w:rsidR="00FE6544" w:rsidRPr="00630EF8" w:rsidRDefault="00FE6544">
            <w:pPr>
              <w:spacing w:after="200" w:line="276" w:lineRule="auto"/>
              <w:rPr>
                <w:color w:val="000000"/>
                <w:sz w:val="20"/>
                <w:szCs w:val="20"/>
              </w:rPr>
            </w:pPr>
          </w:p>
          <w:p w14:paraId="13B32BF8" w14:textId="77777777" w:rsidR="00592C29" w:rsidRDefault="00592C29">
            <w:pPr>
              <w:spacing w:after="200" w:line="276" w:lineRule="auto"/>
              <w:jc w:val="both"/>
              <w:rPr>
                <w:color w:val="000000"/>
                <w:sz w:val="22"/>
                <w:szCs w:val="22"/>
              </w:rPr>
            </w:pPr>
          </w:p>
        </w:tc>
      </w:tr>
      <w:tr w:rsidR="00592C29" w14:paraId="55B780C6" w14:textId="77777777">
        <w:tc>
          <w:tcPr>
            <w:tcW w:w="2376" w:type="dxa"/>
            <w:tcMar>
              <w:top w:w="5" w:type="dxa"/>
              <w:left w:w="113" w:type="dxa"/>
              <w:bottom w:w="5" w:type="dxa"/>
              <w:right w:w="113" w:type="dxa"/>
            </w:tcMar>
            <w:hideMark/>
          </w:tcPr>
          <w:p w14:paraId="36995D4A" w14:textId="77777777" w:rsidR="00592C29" w:rsidRDefault="0048296D" w:rsidP="00FE6544">
            <w:pPr>
              <w:spacing w:line="288" w:lineRule="auto"/>
              <w:rPr>
                <w:color w:val="000000"/>
                <w:sz w:val="22"/>
                <w:szCs w:val="22"/>
              </w:rPr>
            </w:pPr>
            <w:r>
              <w:rPr>
                <w:rFonts w:ascii="Trebuchet MS" w:eastAsia="Trebuchet MS" w:hAnsi="Trebuchet MS" w:cs="Trebuchet MS"/>
                <w:b/>
                <w:bCs/>
                <w:color w:val="000000"/>
                <w:sz w:val="22"/>
                <w:szCs w:val="22"/>
              </w:rPr>
              <w:t xml:space="preserve">INSURER’S </w:t>
            </w:r>
          </w:p>
          <w:p w14:paraId="349CB24E" w14:textId="77777777" w:rsidR="00592C29" w:rsidRDefault="0048296D" w:rsidP="00FE6544">
            <w:pPr>
              <w:spacing w:line="276" w:lineRule="auto"/>
              <w:rPr>
                <w:color w:val="000000"/>
                <w:sz w:val="22"/>
                <w:szCs w:val="22"/>
              </w:rPr>
            </w:pPr>
            <w:r>
              <w:rPr>
                <w:rFonts w:ascii="Trebuchet MS" w:eastAsia="Trebuchet MS" w:hAnsi="Trebuchet MS" w:cs="Trebuchet MS"/>
                <w:b/>
                <w:bCs/>
                <w:color w:val="000000"/>
                <w:sz w:val="22"/>
                <w:szCs w:val="22"/>
              </w:rPr>
              <w:t>LIABILITY:</w:t>
            </w:r>
          </w:p>
        </w:tc>
        <w:tc>
          <w:tcPr>
            <w:tcW w:w="7371" w:type="dxa"/>
            <w:tcMar>
              <w:top w:w="5" w:type="dxa"/>
              <w:left w:w="113" w:type="dxa"/>
              <w:bottom w:w="5" w:type="dxa"/>
              <w:right w:w="113" w:type="dxa"/>
            </w:tcMar>
            <w:hideMark/>
          </w:tcPr>
          <w:p w14:paraId="7A712CAE" w14:textId="77777777" w:rsidR="00592C29" w:rsidRDefault="0048296D" w:rsidP="00FE6544">
            <w:pPr>
              <w:spacing w:line="288" w:lineRule="auto"/>
              <w:rPr>
                <w:color w:val="000000"/>
                <w:sz w:val="22"/>
                <w:szCs w:val="22"/>
              </w:rPr>
            </w:pPr>
            <w:r>
              <w:rPr>
                <w:rFonts w:ascii="Trebuchet MS" w:eastAsia="Trebuchet MS" w:hAnsi="Trebuchet MS" w:cs="Trebuchet MS"/>
                <w:b/>
                <w:bCs/>
                <w:color w:val="000000"/>
                <w:sz w:val="22"/>
                <w:szCs w:val="22"/>
              </w:rPr>
              <w:t xml:space="preserve">LSW1001 in respect of risks underwritten by Lloyd’s Brussels, </w:t>
            </w:r>
            <w:r>
              <w:rPr>
                <w:rFonts w:ascii="Trebuchet MS" w:eastAsia="Trebuchet MS" w:hAnsi="Trebuchet MS" w:cs="Trebuchet MS"/>
                <w:i/>
                <w:iCs/>
                <w:color w:val="000000"/>
                <w:sz w:val="22"/>
                <w:szCs w:val="22"/>
              </w:rPr>
              <w:t>(where they are not the only subscribing insurer)</w:t>
            </w:r>
            <w:r>
              <w:rPr>
                <w:rFonts w:ascii="Trebuchet MS" w:eastAsia="Trebuchet MS" w:hAnsi="Trebuchet MS" w:cs="Trebuchet MS"/>
                <w:b/>
                <w:bCs/>
                <w:color w:val="000000"/>
                <w:sz w:val="22"/>
                <w:szCs w:val="22"/>
              </w:rPr>
              <w:t>;</w:t>
            </w:r>
          </w:p>
          <w:p w14:paraId="62CC00F3" w14:textId="77777777" w:rsidR="00592C29" w:rsidRDefault="00592C29" w:rsidP="00FE6544">
            <w:pPr>
              <w:spacing w:line="288" w:lineRule="auto"/>
              <w:rPr>
                <w:color w:val="000000"/>
                <w:sz w:val="22"/>
                <w:szCs w:val="22"/>
              </w:rPr>
            </w:pPr>
          </w:p>
          <w:p w14:paraId="474D604A" w14:textId="77777777" w:rsidR="00592C29" w:rsidRDefault="0048296D" w:rsidP="00FE6544">
            <w:pPr>
              <w:spacing w:line="288" w:lineRule="auto"/>
              <w:rPr>
                <w:color w:val="000000"/>
                <w:sz w:val="22"/>
                <w:szCs w:val="22"/>
              </w:rPr>
            </w:pPr>
            <w:r>
              <w:rPr>
                <w:rFonts w:ascii="Trebuchet MS" w:eastAsia="Trebuchet MS" w:hAnsi="Trebuchet MS" w:cs="Trebuchet MS"/>
                <w:color w:val="000000"/>
                <w:sz w:val="22"/>
                <w:szCs w:val="22"/>
              </w:rPr>
              <w:t>or</w:t>
            </w:r>
          </w:p>
          <w:p w14:paraId="7E73D3F1" w14:textId="77777777" w:rsidR="00592C29" w:rsidRDefault="00592C29" w:rsidP="00FE6544">
            <w:pPr>
              <w:spacing w:line="288" w:lineRule="auto"/>
              <w:rPr>
                <w:color w:val="000000"/>
                <w:sz w:val="22"/>
                <w:szCs w:val="22"/>
              </w:rPr>
            </w:pPr>
          </w:p>
          <w:p w14:paraId="3C96B552" w14:textId="77777777" w:rsidR="00592C29" w:rsidRDefault="0048296D" w:rsidP="00FE6544">
            <w:pPr>
              <w:spacing w:line="288" w:lineRule="auto"/>
              <w:rPr>
                <w:color w:val="000000"/>
                <w:sz w:val="22"/>
                <w:szCs w:val="22"/>
              </w:rPr>
            </w:pPr>
            <w:r>
              <w:rPr>
                <w:rFonts w:ascii="Trebuchet MS" w:eastAsia="Trebuchet MS" w:hAnsi="Trebuchet MS" w:cs="Trebuchet MS"/>
                <w:b/>
                <w:bCs/>
                <w:color w:val="000000"/>
                <w:sz w:val="22"/>
                <w:szCs w:val="22"/>
                <w:u w:val="single" w:color="000000"/>
              </w:rPr>
              <w:t>LMA3333</w:t>
            </w:r>
            <w:r>
              <w:rPr>
                <w:rFonts w:ascii="Trebuchet MS" w:eastAsia="Trebuchet MS" w:hAnsi="Trebuchet MS" w:cs="Trebuchet MS"/>
                <w:b/>
                <w:bCs/>
                <w:color w:val="000000"/>
                <w:sz w:val="22"/>
                <w:szCs w:val="22"/>
              </w:rPr>
              <w:t xml:space="preserve"> in respect of </w:t>
            </w:r>
            <w:proofErr w:type="spellStart"/>
            <w:r>
              <w:rPr>
                <w:rFonts w:ascii="Trebuchet MS" w:eastAsia="Trebuchet MS" w:hAnsi="Trebuchet MS" w:cs="Trebuchet MS"/>
                <w:b/>
                <w:bCs/>
                <w:color w:val="000000"/>
                <w:sz w:val="22"/>
                <w:szCs w:val="22"/>
              </w:rPr>
              <w:t>non Lloyd’s</w:t>
            </w:r>
            <w:proofErr w:type="spellEnd"/>
            <w:r>
              <w:rPr>
                <w:rFonts w:ascii="Trebuchet MS" w:eastAsia="Trebuchet MS" w:hAnsi="Trebuchet MS" w:cs="Trebuchet MS"/>
                <w:b/>
                <w:bCs/>
                <w:color w:val="000000"/>
                <w:sz w:val="22"/>
                <w:szCs w:val="22"/>
              </w:rPr>
              <w:t xml:space="preserve"> Brussels section of the risk </w:t>
            </w:r>
          </w:p>
          <w:p w14:paraId="7CB6CC7F" w14:textId="77777777" w:rsidR="00592C29" w:rsidRDefault="0048296D" w:rsidP="00FE6544">
            <w:pPr>
              <w:spacing w:line="288" w:lineRule="auto"/>
              <w:rPr>
                <w:color w:val="000000"/>
                <w:sz w:val="22"/>
                <w:szCs w:val="22"/>
              </w:rPr>
            </w:pPr>
            <w:r>
              <w:rPr>
                <w:rFonts w:ascii="Trebuchet MS" w:eastAsia="Trebuchet MS" w:hAnsi="Trebuchet MS" w:cs="Trebuchet MS"/>
                <w:i/>
                <w:iCs/>
                <w:color w:val="000000"/>
                <w:sz w:val="22"/>
                <w:szCs w:val="22"/>
              </w:rPr>
              <w:t>(This clause LMA3333 should be provided in full and not simply referenced.)</w:t>
            </w:r>
          </w:p>
          <w:p w14:paraId="0BD02FCE" w14:textId="77777777" w:rsidR="00592C29" w:rsidRDefault="00592C29" w:rsidP="00FE6544">
            <w:pPr>
              <w:spacing w:line="288" w:lineRule="auto"/>
              <w:rPr>
                <w:color w:val="000000"/>
                <w:sz w:val="22"/>
                <w:szCs w:val="22"/>
              </w:rPr>
            </w:pPr>
          </w:p>
          <w:p w14:paraId="4CC6BB7D" w14:textId="77777777" w:rsidR="00592C29" w:rsidRDefault="0048296D" w:rsidP="00FE6544">
            <w:pPr>
              <w:spacing w:line="288" w:lineRule="auto"/>
              <w:jc w:val="both"/>
              <w:rPr>
                <w:color w:val="000000"/>
                <w:sz w:val="22"/>
                <w:szCs w:val="22"/>
              </w:rPr>
            </w:pPr>
            <w:r>
              <w:rPr>
                <w:rFonts w:ascii="Trebuchet MS" w:eastAsia="Trebuchet MS" w:hAnsi="Trebuchet MS" w:cs="Trebuchet MS"/>
                <w:b/>
                <w:bCs/>
                <w:color w:val="000000"/>
                <w:sz w:val="22"/>
                <w:szCs w:val="22"/>
              </w:rPr>
              <w:t xml:space="preserve">(Re)insurer’s liability several not joint </w:t>
            </w:r>
          </w:p>
          <w:p w14:paraId="7F139973" w14:textId="77777777" w:rsidR="00592C29" w:rsidRDefault="0048296D" w:rsidP="00FE6544">
            <w:pPr>
              <w:spacing w:line="288" w:lineRule="auto"/>
              <w:jc w:val="both"/>
              <w:rPr>
                <w:color w:val="000000"/>
                <w:sz w:val="22"/>
                <w:szCs w:val="22"/>
              </w:rPr>
            </w:pPr>
            <w:r>
              <w:rPr>
                <w:rFonts w:ascii="Trebuchet MS" w:eastAsia="Trebuchet MS" w:hAnsi="Trebuchet MS" w:cs="Trebuchet MS"/>
                <w:color w:val="000000"/>
                <w:sz w:val="22"/>
                <w:szCs w:val="22"/>
              </w:rPr>
              <w:t>The liability of a (re)insurer under this contract is several and not joint with other (re)insurers party to this contract. A (re)insurer is liable only for the proportion of liability it has underwritten. A (re)insurer is not jointly liable for the proportion of liability underwritten by any other (re)insurer. Nor is a (re)insurer otherwise responsible for any liability of any other (re)insurer that may underwrite this contract.</w:t>
            </w:r>
          </w:p>
          <w:p w14:paraId="2DF2D853" w14:textId="77777777" w:rsidR="00592C29" w:rsidRDefault="00592C29" w:rsidP="00FE6544">
            <w:pPr>
              <w:spacing w:line="288" w:lineRule="auto"/>
              <w:jc w:val="both"/>
              <w:rPr>
                <w:color w:val="000000"/>
                <w:sz w:val="22"/>
                <w:szCs w:val="22"/>
              </w:rPr>
            </w:pPr>
          </w:p>
          <w:p w14:paraId="5861B241" w14:textId="77777777" w:rsidR="00592C29" w:rsidRDefault="0048296D" w:rsidP="00FE6544">
            <w:pPr>
              <w:spacing w:line="288" w:lineRule="auto"/>
              <w:jc w:val="both"/>
              <w:rPr>
                <w:color w:val="000000"/>
                <w:sz w:val="22"/>
                <w:szCs w:val="22"/>
              </w:rPr>
            </w:pPr>
            <w:r>
              <w:rPr>
                <w:rFonts w:ascii="Trebuchet MS" w:eastAsia="Trebuchet MS" w:hAnsi="Trebuchet MS" w:cs="Trebuchet MS"/>
                <w:color w:val="000000"/>
                <w:sz w:val="22"/>
                <w:szCs w:val="22"/>
              </w:rPr>
              <w:t>The proportion of liability under this contract underwritten by a (re)insurer (or, in the case of a Lloyd’s syndicate, the total of the proportions underwritten by all the members of the syndicate taken together) is shown next to its stamp. This is subject always to the provision concerning “signing” below.</w:t>
            </w:r>
          </w:p>
          <w:p w14:paraId="37005A1B" w14:textId="77777777" w:rsidR="00592C29" w:rsidRDefault="00592C29" w:rsidP="00FE6544">
            <w:pPr>
              <w:spacing w:line="288" w:lineRule="auto"/>
              <w:jc w:val="both"/>
              <w:rPr>
                <w:color w:val="000000"/>
                <w:sz w:val="22"/>
                <w:szCs w:val="22"/>
              </w:rPr>
            </w:pPr>
          </w:p>
          <w:p w14:paraId="238D8644" w14:textId="77777777" w:rsidR="00592C29" w:rsidRDefault="0048296D" w:rsidP="00FE6544">
            <w:pPr>
              <w:spacing w:line="288" w:lineRule="auto"/>
              <w:jc w:val="both"/>
              <w:rPr>
                <w:color w:val="000000"/>
                <w:sz w:val="22"/>
                <w:szCs w:val="22"/>
              </w:rPr>
            </w:pPr>
            <w:r>
              <w:rPr>
                <w:rFonts w:ascii="Trebuchet MS" w:eastAsia="Trebuchet MS" w:hAnsi="Trebuchet MS" w:cs="Trebuchet MS"/>
                <w:color w:val="000000"/>
                <w:sz w:val="22"/>
                <w:szCs w:val="22"/>
              </w:rPr>
              <w:t>In the case of a Lloyd’s syndicate, each member of the syndicate (rather than the syndicate itself) is a (re)insurer. Each member has underwritten a proportion of the total shown for the syndicate (that total itself being the total of the proportions underwritten by all the members of the syndicate taken together). The liability of each member of the syndicate is several and not joint with other members. A member is liable only for that member’s proportion. A member is not jointly liable for any other member’s proportion. Nor is any member otherwise responsible for any liability of any other (re)insurer that may underwrite this contract. The business address of each member is Lloyd’s, One Lime Street, London EC3M 7HA. The identity of each member of a Lloyd’s syndicate and their respective proportion may be obtained by writing to Market Services, Lloyd’s, at the above address.</w:t>
            </w:r>
          </w:p>
          <w:p w14:paraId="0764AAFC" w14:textId="77777777" w:rsidR="00592C29" w:rsidRDefault="00592C29" w:rsidP="00FE6544">
            <w:pPr>
              <w:spacing w:line="288" w:lineRule="auto"/>
              <w:jc w:val="both"/>
              <w:rPr>
                <w:color w:val="000000"/>
                <w:sz w:val="22"/>
                <w:szCs w:val="22"/>
              </w:rPr>
            </w:pPr>
          </w:p>
          <w:p w14:paraId="3C003594" w14:textId="77777777" w:rsidR="00592C29" w:rsidRDefault="0048296D" w:rsidP="00FE6544">
            <w:pPr>
              <w:spacing w:line="288" w:lineRule="auto"/>
              <w:jc w:val="both"/>
              <w:rPr>
                <w:color w:val="000000"/>
                <w:sz w:val="22"/>
                <w:szCs w:val="22"/>
              </w:rPr>
            </w:pPr>
            <w:r>
              <w:rPr>
                <w:rFonts w:ascii="Trebuchet MS" w:eastAsia="Trebuchet MS" w:hAnsi="Trebuchet MS" w:cs="Trebuchet MS"/>
                <w:b/>
                <w:bCs/>
                <w:color w:val="000000"/>
                <w:sz w:val="22"/>
                <w:szCs w:val="22"/>
              </w:rPr>
              <w:t>Proportion of liability</w:t>
            </w:r>
          </w:p>
          <w:p w14:paraId="6F1432CC" w14:textId="77777777" w:rsidR="00592C29" w:rsidRDefault="0048296D" w:rsidP="00FE6544">
            <w:pPr>
              <w:spacing w:line="288" w:lineRule="auto"/>
              <w:jc w:val="both"/>
              <w:rPr>
                <w:color w:val="000000"/>
                <w:sz w:val="22"/>
                <w:szCs w:val="22"/>
              </w:rPr>
            </w:pPr>
            <w:r>
              <w:rPr>
                <w:rFonts w:ascii="Trebuchet MS" w:eastAsia="Trebuchet MS" w:hAnsi="Trebuchet MS" w:cs="Trebuchet MS"/>
                <w:color w:val="000000"/>
                <w:sz w:val="22"/>
                <w:szCs w:val="22"/>
              </w:rPr>
              <w:t xml:space="preserve">Unless there is “signing” (see below), the proportion of liability under this contract underwritten by each (re)insurer (or, in the case of a Lloyd’s syndicate, the total of the proportions underwritten by all the members of the syndicate taken together) is shown next to its stamp and is referred to as its “written line”.      </w:t>
            </w:r>
          </w:p>
          <w:p w14:paraId="74EDB99D" w14:textId="77777777" w:rsidR="00592C29" w:rsidRDefault="00592C29" w:rsidP="00FE6544">
            <w:pPr>
              <w:spacing w:line="288" w:lineRule="auto"/>
              <w:jc w:val="both"/>
              <w:rPr>
                <w:color w:val="000000"/>
                <w:sz w:val="22"/>
                <w:szCs w:val="22"/>
              </w:rPr>
            </w:pPr>
          </w:p>
          <w:p w14:paraId="5EF69F77" w14:textId="77777777" w:rsidR="00592C29" w:rsidRDefault="0048296D" w:rsidP="00FE6544">
            <w:pPr>
              <w:spacing w:line="288" w:lineRule="auto"/>
              <w:jc w:val="both"/>
              <w:rPr>
                <w:color w:val="000000"/>
                <w:sz w:val="22"/>
                <w:szCs w:val="22"/>
              </w:rPr>
            </w:pPr>
            <w:r>
              <w:rPr>
                <w:rFonts w:ascii="Trebuchet MS" w:eastAsia="Trebuchet MS" w:hAnsi="Trebuchet MS" w:cs="Trebuchet MS"/>
                <w:color w:val="000000"/>
                <w:sz w:val="22"/>
                <w:szCs w:val="22"/>
              </w:rPr>
              <w:t xml:space="preserve">Where this contract permits, written lines, or certain written lines, may be adjusted (“signed”). In that case a schedule is to be appended to this contract to show the definitive proportion of liability under this contract underwritten by each (re)insurer (or, in the case of a Lloyd’s syndicate, the total of the proportions underwritten by all the members of the syndicate taken together). A definitive proportion (or, in the case of a Lloyd’s syndicate, the total of the proportions underwritten by all the members of a Lloyd’s syndicate taken together) is referred to as a “signed line”. The signed lines shown in the schedule will prevail over the written lines unless a proven error in calculation has occurred. </w:t>
            </w:r>
          </w:p>
          <w:p w14:paraId="36507392" w14:textId="77777777" w:rsidR="00592C29" w:rsidRDefault="00592C29" w:rsidP="00FE6544">
            <w:pPr>
              <w:spacing w:line="288" w:lineRule="auto"/>
              <w:jc w:val="both"/>
              <w:rPr>
                <w:color w:val="000000"/>
                <w:sz w:val="22"/>
                <w:szCs w:val="22"/>
              </w:rPr>
            </w:pPr>
          </w:p>
          <w:p w14:paraId="476E6BA0" w14:textId="63815C92" w:rsidR="00592C29" w:rsidRDefault="0048296D" w:rsidP="00FE6544">
            <w:pPr>
              <w:spacing w:line="288" w:lineRule="auto"/>
              <w:jc w:val="both"/>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Although reference is made at various points in this clause to “this contract” in the singular, where the circumstances so require this should be read as a reference to contracts in the plural.</w:t>
            </w:r>
          </w:p>
          <w:p w14:paraId="74C94BF7" w14:textId="77777777" w:rsidR="00FF6AAB" w:rsidRDefault="00FF6AAB" w:rsidP="00FE6544">
            <w:pPr>
              <w:spacing w:line="288" w:lineRule="auto"/>
              <w:jc w:val="both"/>
              <w:rPr>
                <w:color w:val="000000"/>
                <w:sz w:val="22"/>
                <w:szCs w:val="22"/>
              </w:rPr>
            </w:pPr>
          </w:p>
          <w:p w14:paraId="7223ACD1" w14:textId="77777777" w:rsidR="00592C29" w:rsidRDefault="00592C29" w:rsidP="00FE6544">
            <w:pPr>
              <w:spacing w:line="276" w:lineRule="auto"/>
              <w:jc w:val="both"/>
              <w:rPr>
                <w:color w:val="000000"/>
                <w:sz w:val="22"/>
                <w:szCs w:val="22"/>
              </w:rPr>
            </w:pPr>
          </w:p>
          <w:p w14:paraId="5DA9CA01" w14:textId="77777777" w:rsidR="00592C29" w:rsidRDefault="00592C29" w:rsidP="00FE6544">
            <w:pPr>
              <w:spacing w:line="276" w:lineRule="auto"/>
              <w:jc w:val="both"/>
              <w:rPr>
                <w:color w:val="000000"/>
                <w:sz w:val="22"/>
                <w:szCs w:val="22"/>
              </w:rPr>
            </w:pPr>
          </w:p>
        </w:tc>
      </w:tr>
      <w:tr w:rsidR="00592C29" w14:paraId="28D91ADE" w14:textId="77777777">
        <w:tc>
          <w:tcPr>
            <w:tcW w:w="2376" w:type="dxa"/>
            <w:tcMar>
              <w:top w:w="5" w:type="dxa"/>
              <w:left w:w="113" w:type="dxa"/>
              <w:bottom w:w="5" w:type="dxa"/>
              <w:right w:w="113" w:type="dxa"/>
            </w:tcMar>
            <w:hideMark/>
          </w:tcPr>
          <w:p w14:paraId="7BD401CB" w14:textId="77777777" w:rsidR="00592C29" w:rsidRDefault="0048296D" w:rsidP="00FE6544">
            <w:pPr>
              <w:spacing w:line="288" w:lineRule="auto"/>
              <w:rPr>
                <w:color w:val="000000"/>
                <w:sz w:val="22"/>
                <w:szCs w:val="22"/>
              </w:rPr>
            </w:pPr>
            <w:r>
              <w:rPr>
                <w:rFonts w:ascii="Trebuchet MS" w:eastAsia="Trebuchet MS" w:hAnsi="Trebuchet MS" w:cs="Trebuchet MS"/>
                <w:b/>
                <w:bCs/>
                <w:color w:val="000000"/>
                <w:sz w:val="22"/>
                <w:szCs w:val="22"/>
              </w:rPr>
              <w:lastRenderedPageBreak/>
              <w:t>ORDER HEREON:</w:t>
            </w:r>
          </w:p>
        </w:tc>
        <w:tc>
          <w:tcPr>
            <w:tcW w:w="7371" w:type="dxa"/>
            <w:tcMar>
              <w:top w:w="5" w:type="dxa"/>
              <w:left w:w="113" w:type="dxa"/>
              <w:bottom w:w="5" w:type="dxa"/>
              <w:right w:w="113" w:type="dxa"/>
            </w:tcMar>
            <w:hideMark/>
          </w:tcPr>
          <w:p w14:paraId="0F55CF19" w14:textId="77777777" w:rsidR="00592C29" w:rsidRDefault="0048296D" w:rsidP="00FE6544">
            <w:pPr>
              <w:spacing w:after="120" w:line="276" w:lineRule="auto"/>
              <w:rPr>
                <w:color w:val="000000"/>
                <w:sz w:val="22"/>
                <w:szCs w:val="22"/>
              </w:rPr>
            </w:pPr>
            <w:r>
              <w:rPr>
                <w:rFonts w:ascii="Trebuchet MS" w:eastAsia="Trebuchet MS" w:hAnsi="Trebuchet MS" w:cs="Trebuchet MS"/>
                <w:color w:val="000000"/>
                <w:sz w:val="22"/>
                <w:szCs w:val="22"/>
              </w:rPr>
              <w:t xml:space="preserve">80% of 100% </w:t>
            </w:r>
          </w:p>
          <w:p w14:paraId="69F6996B" w14:textId="69743764" w:rsidR="00592C29" w:rsidRDefault="00592C29" w:rsidP="00FE6544">
            <w:pPr>
              <w:widowControl w:val="0"/>
              <w:spacing w:after="120" w:line="276" w:lineRule="auto"/>
              <w:rPr>
                <w:color w:val="000000"/>
                <w:sz w:val="22"/>
                <w:szCs w:val="22"/>
              </w:rPr>
            </w:pPr>
          </w:p>
          <w:p w14:paraId="2A7DF07D" w14:textId="77777777" w:rsidR="00FF6AAB" w:rsidRDefault="00FF6AAB" w:rsidP="00FE6544">
            <w:pPr>
              <w:widowControl w:val="0"/>
              <w:spacing w:after="120" w:line="276" w:lineRule="auto"/>
              <w:rPr>
                <w:color w:val="000000"/>
                <w:sz w:val="22"/>
                <w:szCs w:val="22"/>
              </w:rPr>
            </w:pPr>
          </w:p>
          <w:p w14:paraId="34688593" w14:textId="77777777" w:rsidR="00592C29" w:rsidRDefault="00592C29" w:rsidP="00FE6544">
            <w:pPr>
              <w:spacing w:after="120" w:line="288" w:lineRule="auto"/>
              <w:rPr>
                <w:color w:val="000000"/>
                <w:sz w:val="22"/>
                <w:szCs w:val="22"/>
              </w:rPr>
            </w:pPr>
          </w:p>
        </w:tc>
      </w:tr>
      <w:tr w:rsidR="00592C29" w14:paraId="22C72043" w14:textId="77777777">
        <w:tc>
          <w:tcPr>
            <w:tcW w:w="2376" w:type="dxa"/>
            <w:tcMar>
              <w:top w:w="5" w:type="dxa"/>
              <w:left w:w="113" w:type="dxa"/>
              <w:bottom w:w="5" w:type="dxa"/>
              <w:right w:w="113" w:type="dxa"/>
            </w:tcMar>
            <w:hideMark/>
          </w:tcPr>
          <w:p w14:paraId="2BE86E8C" w14:textId="77777777" w:rsidR="00592C29" w:rsidRDefault="0048296D" w:rsidP="00FE6544">
            <w:pPr>
              <w:widowControl w:val="0"/>
              <w:spacing w:line="276" w:lineRule="auto"/>
              <w:rPr>
                <w:color w:val="000000"/>
                <w:sz w:val="22"/>
                <w:szCs w:val="22"/>
              </w:rPr>
            </w:pPr>
            <w:r>
              <w:rPr>
                <w:rFonts w:ascii="Trebuchet MS" w:eastAsia="Trebuchet MS" w:hAnsi="Trebuchet MS" w:cs="Trebuchet MS"/>
                <w:b/>
                <w:bCs/>
                <w:color w:val="000000"/>
                <w:sz w:val="22"/>
                <w:szCs w:val="22"/>
              </w:rPr>
              <w:t xml:space="preserve">BASIS OF </w:t>
            </w:r>
          </w:p>
          <w:p w14:paraId="0EE5B7AC" w14:textId="77777777" w:rsidR="00592C29" w:rsidRDefault="0048296D" w:rsidP="00FE6544">
            <w:pPr>
              <w:spacing w:line="288" w:lineRule="auto"/>
              <w:rPr>
                <w:color w:val="000000"/>
                <w:sz w:val="22"/>
                <w:szCs w:val="22"/>
              </w:rPr>
            </w:pPr>
            <w:r>
              <w:rPr>
                <w:rFonts w:ascii="Trebuchet MS" w:eastAsia="Trebuchet MS" w:hAnsi="Trebuchet MS" w:cs="Trebuchet MS"/>
                <w:b/>
                <w:bCs/>
                <w:color w:val="000000"/>
                <w:sz w:val="22"/>
                <w:szCs w:val="22"/>
              </w:rPr>
              <w:t>WRITTEN LINES:</w:t>
            </w:r>
          </w:p>
        </w:tc>
        <w:tc>
          <w:tcPr>
            <w:tcW w:w="7371" w:type="dxa"/>
            <w:tcMar>
              <w:top w:w="5" w:type="dxa"/>
              <w:left w:w="113" w:type="dxa"/>
              <w:bottom w:w="5" w:type="dxa"/>
              <w:right w:w="113" w:type="dxa"/>
            </w:tcMar>
            <w:hideMark/>
          </w:tcPr>
          <w:p w14:paraId="1DC3E78D" w14:textId="7B15AAFB" w:rsidR="00592C29" w:rsidRDefault="0048296D" w:rsidP="00FE6544">
            <w:pPr>
              <w:spacing w:after="120" w:line="288" w:lineRule="auto"/>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Percentage of whole.</w:t>
            </w:r>
          </w:p>
          <w:p w14:paraId="094D4889" w14:textId="77777777" w:rsidR="000B6964" w:rsidRDefault="000B6964" w:rsidP="00FE6544">
            <w:pPr>
              <w:spacing w:after="120" w:line="288" w:lineRule="auto"/>
              <w:rPr>
                <w:color w:val="000000"/>
                <w:sz w:val="22"/>
                <w:szCs w:val="22"/>
              </w:rPr>
            </w:pPr>
          </w:p>
          <w:p w14:paraId="7F96CA2F" w14:textId="77777777" w:rsidR="00592C29" w:rsidRDefault="00592C29" w:rsidP="00FE6544">
            <w:pPr>
              <w:spacing w:after="120" w:line="288" w:lineRule="auto"/>
              <w:rPr>
                <w:color w:val="000000"/>
                <w:sz w:val="22"/>
                <w:szCs w:val="22"/>
              </w:rPr>
            </w:pPr>
          </w:p>
          <w:p w14:paraId="56D77598" w14:textId="77777777" w:rsidR="00592C29" w:rsidRDefault="00592C29" w:rsidP="00FE6544">
            <w:pPr>
              <w:spacing w:after="120" w:line="288" w:lineRule="auto"/>
              <w:rPr>
                <w:color w:val="000000"/>
                <w:sz w:val="22"/>
                <w:szCs w:val="22"/>
              </w:rPr>
            </w:pPr>
          </w:p>
        </w:tc>
      </w:tr>
      <w:tr w:rsidR="00592C29" w14:paraId="593E747A" w14:textId="77777777">
        <w:tc>
          <w:tcPr>
            <w:tcW w:w="2376" w:type="dxa"/>
            <w:tcMar>
              <w:top w:w="5" w:type="dxa"/>
              <w:left w:w="113" w:type="dxa"/>
              <w:bottom w:w="5" w:type="dxa"/>
              <w:right w:w="113" w:type="dxa"/>
            </w:tcMar>
            <w:hideMark/>
          </w:tcPr>
          <w:p w14:paraId="4C2D6E39" w14:textId="77777777" w:rsidR="00592C29" w:rsidRDefault="0048296D" w:rsidP="00FE6544">
            <w:pPr>
              <w:spacing w:line="276" w:lineRule="auto"/>
              <w:rPr>
                <w:color w:val="000000"/>
                <w:sz w:val="22"/>
                <w:szCs w:val="22"/>
              </w:rPr>
            </w:pPr>
            <w:r>
              <w:rPr>
                <w:rFonts w:ascii="Trebuchet MS" w:eastAsia="Trebuchet MS" w:hAnsi="Trebuchet MS" w:cs="Trebuchet MS"/>
                <w:b/>
                <w:bCs/>
                <w:color w:val="000000"/>
                <w:sz w:val="22"/>
                <w:szCs w:val="22"/>
              </w:rPr>
              <w:t xml:space="preserve">SIGNING </w:t>
            </w:r>
          </w:p>
          <w:p w14:paraId="05EA7047" w14:textId="77777777" w:rsidR="00592C29" w:rsidRDefault="0048296D" w:rsidP="00FE6544">
            <w:pPr>
              <w:spacing w:line="288" w:lineRule="auto"/>
              <w:rPr>
                <w:color w:val="000000"/>
                <w:sz w:val="22"/>
                <w:szCs w:val="22"/>
              </w:rPr>
            </w:pPr>
            <w:r>
              <w:rPr>
                <w:rFonts w:ascii="Trebuchet MS" w:eastAsia="Trebuchet MS" w:hAnsi="Trebuchet MS" w:cs="Trebuchet MS"/>
                <w:b/>
                <w:bCs/>
                <w:color w:val="000000"/>
                <w:sz w:val="22"/>
                <w:szCs w:val="22"/>
              </w:rPr>
              <w:t>PROVISIONS:</w:t>
            </w:r>
          </w:p>
        </w:tc>
        <w:tc>
          <w:tcPr>
            <w:tcW w:w="7371" w:type="dxa"/>
            <w:tcMar>
              <w:top w:w="5" w:type="dxa"/>
              <w:left w:w="113" w:type="dxa"/>
              <w:bottom w:w="5" w:type="dxa"/>
              <w:right w:w="113" w:type="dxa"/>
            </w:tcMar>
            <w:hideMark/>
          </w:tcPr>
          <w:p w14:paraId="0DE21908" w14:textId="77777777" w:rsidR="00592C29" w:rsidRDefault="0048296D" w:rsidP="00FE6544">
            <w:pPr>
              <w:spacing w:after="120" w:line="276" w:lineRule="auto"/>
              <w:rPr>
                <w:color w:val="000000"/>
                <w:sz w:val="22"/>
                <w:szCs w:val="22"/>
              </w:rPr>
            </w:pPr>
            <w:r>
              <w:rPr>
                <w:rFonts w:ascii="Trebuchet MS" w:eastAsia="Trebuchet MS" w:hAnsi="Trebuchet MS" w:cs="Trebuchet MS"/>
                <w:color w:val="000000"/>
                <w:sz w:val="22"/>
                <w:szCs w:val="22"/>
              </w:rPr>
              <w:t>In the event that the written lines hereon exceed 100% of the order, any lines written “to stand” will be allocated in full and all other lines will be signed down in equal proportions so that the aggregate signed lines are equal to 100% of the order without further agreement of any of the insurers.</w:t>
            </w:r>
          </w:p>
          <w:p w14:paraId="78553B22" w14:textId="77777777" w:rsidR="00592C29" w:rsidRDefault="0048296D" w:rsidP="00FE6544">
            <w:pPr>
              <w:spacing w:after="120" w:line="276" w:lineRule="auto"/>
              <w:rPr>
                <w:color w:val="000000"/>
                <w:sz w:val="22"/>
                <w:szCs w:val="22"/>
              </w:rPr>
            </w:pPr>
            <w:r>
              <w:rPr>
                <w:rFonts w:ascii="Trebuchet MS" w:eastAsia="Trebuchet MS" w:hAnsi="Trebuchet MS" w:cs="Trebuchet MS"/>
                <w:color w:val="000000"/>
                <w:sz w:val="22"/>
                <w:szCs w:val="22"/>
              </w:rPr>
              <w:t>However:</w:t>
            </w:r>
          </w:p>
          <w:p w14:paraId="0CD0638F" w14:textId="77777777" w:rsidR="00592C29" w:rsidRDefault="0048296D" w:rsidP="00FE6544">
            <w:pPr>
              <w:spacing w:after="120" w:line="276" w:lineRule="auto"/>
              <w:rPr>
                <w:color w:val="000000"/>
                <w:sz w:val="22"/>
                <w:szCs w:val="22"/>
              </w:rPr>
            </w:pPr>
            <w:r>
              <w:rPr>
                <w:rFonts w:ascii="Trebuchet MS" w:eastAsia="Trebuchet MS" w:hAnsi="Trebuchet MS" w:cs="Trebuchet MS"/>
                <w:color w:val="000000"/>
                <w:sz w:val="22"/>
                <w:szCs w:val="22"/>
              </w:rPr>
              <w:t>a)</w:t>
            </w:r>
            <w:r>
              <w:rPr>
                <w:rFonts w:ascii="Trebuchet MS" w:eastAsia="Trebuchet MS" w:hAnsi="Trebuchet MS" w:cs="Trebuchet MS"/>
                <w:color w:val="000000"/>
                <w:sz w:val="22"/>
                <w:szCs w:val="22"/>
              </w:rPr>
              <w:tab/>
              <w:t>in the event that the placement of the order is not completed by the commencement date of the period of insurance then all lines written by that date will be signed in full;</w:t>
            </w:r>
          </w:p>
          <w:p w14:paraId="5C4EE1EF" w14:textId="419CDD2B" w:rsidR="00592C29" w:rsidRDefault="0048296D" w:rsidP="007B2CD6">
            <w:pPr>
              <w:spacing w:after="120" w:line="276" w:lineRule="auto"/>
              <w:rPr>
                <w:color w:val="000000"/>
                <w:sz w:val="22"/>
                <w:szCs w:val="22"/>
              </w:rPr>
            </w:pPr>
            <w:r>
              <w:rPr>
                <w:rFonts w:ascii="Trebuchet MS" w:eastAsia="Trebuchet MS" w:hAnsi="Trebuchet MS" w:cs="Trebuchet MS"/>
                <w:color w:val="000000"/>
                <w:sz w:val="22"/>
                <w:szCs w:val="22"/>
              </w:rPr>
              <w:t>b)</w:t>
            </w:r>
            <w:r>
              <w:rPr>
                <w:rFonts w:ascii="Trebuchet MS" w:eastAsia="Trebuchet MS" w:hAnsi="Trebuchet MS" w:cs="Trebuchet MS"/>
                <w:color w:val="000000"/>
                <w:sz w:val="22"/>
                <w:szCs w:val="22"/>
              </w:rPr>
              <w:tab/>
              <w:t>the signed lines resulting from the application of the above provisions can be varied, before or after the commencement date of the period of insurance, by the documented agreement of the insured and all insurers whose lines are to be varied. The variation to the contracts will take effect only when all such insurers have agreed, with the resulting variation in signed lines commencing from the date set out in that agreement.</w:t>
            </w:r>
          </w:p>
        </w:tc>
      </w:tr>
    </w:tbl>
    <w:p w14:paraId="7279A497" w14:textId="77777777" w:rsidR="00592C29" w:rsidRDefault="0048296D" w:rsidP="007B2CD6">
      <w:pPr>
        <w:spacing w:after="200" w:line="276" w:lineRule="auto"/>
        <w:rPr>
          <w:sz w:val="22"/>
          <w:szCs w:val="22"/>
        </w:rPr>
      </w:pPr>
      <w:r>
        <w:rPr>
          <w:sz w:val="22"/>
          <w:szCs w:val="22"/>
        </w:rPr>
        <w:br w:type="page"/>
      </w:r>
    </w:p>
    <w:p w14:paraId="3FAC3296" w14:textId="77777777" w:rsidR="00592C29" w:rsidRDefault="0048296D" w:rsidP="00A47347">
      <w:pPr>
        <w:spacing w:line="276" w:lineRule="auto"/>
        <w:ind w:left="2160" w:hanging="2160"/>
        <w:rPr>
          <w:sz w:val="28"/>
          <w:szCs w:val="28"/>
        </w:rPr>
      </w:pPr>
      <w:r>
        <w:rPr>
          <w:rFonts w:ascii="Trebuchet MS" w:eastAsia="Trebuchet MS" w:hAnsi="Trebuchet MS" w:cs="Trebuchet MS"/>
          <w:b/>
          <w:bCs/>
          <w:sz w:val="28"/>
          <w:szCs w:val="28"/>
        </w:rPr>
        <w:lastRenderedPageBreak/>
        <w:t>Section 1</w:t>
      </w:r>
    </w:p>
    <w:p w14:paraId="4C1D768A" w14:textId="77777777" w:rsidR="00592C29" w:rsidRDefault="00592C29" w:rsidP="00A47347">
      <w:pPr>
        <w:spacing w:line="276" w:lineRule="auto"/>
        <w:ind w:left="2160" w:hanging="2160"/>
        <w:rPr>
          <w:sz w:val="28"/>
          <w:szCs w:val="28"/>
        </w:rPr>
      </w:pPr>
    </w:p>
    <w:p w14:paraId="21596201" w14:textId="77777777" w:rsidR="00592C29" w:rsidRDefault="0048296D" w:rsidP="00A47347">
      <w:pPr>
        <w:spacing w:line="276" w:lineRule="auto"/>
        <w:ind w:left="2160" w:hanging="2160"/>
        <w:rPr>
          <w:sz w:val="28"/>
          <w:szCs w:val="28"/>
        </w:rPr>
      </w:pPr>
      <w:r>
        <w:rPr>
          <w:rFonts w:ascii="Trebuchet MS" w:eastAsia="Trebuchet MS" w:hAnsi="Trebuchet MS" w:cs="Trebuchet MS"/>
          <w:b/>
          <w:bCs/>
          <w:sz w:val="28"/>
          <w:szCs w:val="28"/>
        </w:rPr>
        <w:t>In respect of EEA / UK / Monaco (see previous example)</w:t>
      </w:r>
    </w:p>
    <w:p w14:paraId="7D1179FB" w14:textId="77777777" w:rsidR="00592C29" w:rsidRDefault="00592C29" w:rsidP="00A47347">
      <w:pPr>
        <w:spacing w:line="276" w:lineRule="auto"/>
        <w:ind w:left="2160" w:hanging="2160"/>
        <w:rPr>
          <w:sz w:val="22"/>
          <w:szCs w:val="22"/>
        </w:rPr>
      </w:pPr>
    </w:p>
    <w:p w14:paraId="5E0526B7" w14:textId="77777777" w:rsidR="00592C29" w:rsidRDefault="0048296D" w:rsidP="00A47347">
      <w:pPr>
        <w:spacing w:line="276" w:lineRule="auto"/>
        <w:ind w:left="2160" w:hanging="2160"/>
        <w:rPr>
          <w:sz w:val="22"/>
          <w:szCs w:val="22"/>
        </w:rPr>
      </w:pPr>
      <w:r>
        <w:rPr>
          <w:rFonts w:ascii="Trebuchet MS" w:eastAsia="Trebuchet MS" w:hAnsi="Trebuchet MS" w:cs="Trebuchet MS"/>
          <w:b/>
          <w:bCs/>
          <w:sz w:val="22"/>
          <w:szCs w:val="22"/>
        </w:rPr>
        <w:t xml:space="preserve">WRITTEN </w:t>
      </w:r>
    </w:p>
    <w:p w14:paraId="06AB276E" w14:textId="77777777" w:rsidR="00592C29" w:rsidRDefault="0048296D" w:rsidP="00A47347">
      <w:pPr>
        <w:spacing w:line="276" w:lineRule="auto"/>
        <w:ind w:left="2160" w:hanging="2160"/>
        <w:rPr>
          <w:sz w:val="22"/>
          <w:szCs w:val="22"/>
        </w:rPr>
      </w:pPr>
      <w:r>
        <w:rPr>
          <w:rFonts w:ascii="Trebuchet MS" w:eastAsia="Trebuchet MS" w:hAnsi="Trebuchet MS" w:cs="Trebuchet MS"/>
          <w:b/>
          <w:bCs/>
          <w:sz w:val="22"/>
          <w:szCs w:val="22"/>
        </w:rPr>
        <w:t>LINES:</w:t>
      </w:r>
    </w:p>
    <w:p w14:paraId="6F145E7B" w14:textId="57637697" w:rsidR="00592C29" w:rsidRDefault="00592C29" w:rsidP="00A47347">
      <w:pPr>
        <w:spacing w:line="276" w:lineRule="auto"/>
        <w:ind w:left="2160" w:hanging="2160"/>
        <w:rPr>
          <w:sz w:val="22"/>
          <w:szCs w:val="22"/>
        </w:rPr>
      </w:pPr>
    </w:p>
    <w:tbl>
      <w:tblPr>
        <w:tblW w:w="0" w:type="auto"/>
        <w:tblInd w:w="113" w:type="dxa"/>
        <w:tblCellMar>
          <w:left w:w="0" w:type="dxa"/>
          <w:right w:w="0" w:type="dxa"/>
        </w:tblCellMar>
        <w:tblLook w:val="04A0" w:firstRow="1" w:lastRow="0" w:firstColumn="1" w:lastColumn="0" w:noHBand="0" w:noVBand="1"/>
      </w:tblPr>
      <w:tblGrid>
        <w:gridCol w:w="847"/>
        <w:gridCol w:w="429"/>
        <w:gridCol w:w="290"/>
        <w:gridCol w:w="339"/>
        <w:gridCol w:w="335"/>
        <w:gridCol w:w="335"/>
        <w:gridCol w:w="335"/>
        <w:gridCol w:w="490"/>
        <w:gridCol w:w="441"/>
        <w:gridCol w:w="441"/>
        <w:gridCol w:w="442"/>
        <w:gridCol w:w="441"/>
        <w:gridCol w:w="441"/>
        <w:gridCol w:w="1110"/>
      </w:tblGrid>
      <w:tr w:rsidR="00592C29" w14:paraId="0201C282" w14:textId="77777777">
        <w:trPr>
          <w:trHeight w:val="1608"/>
        </w:trPr>
        <w:tc>
          <w:tcPr>
            <w:tcW w:w="847" w:type="dxa"/>
            <w:vMerge w:val="restart"/>
            <w:tcBorders>
              <w:right w:val="single" w:sz="6" w:space="0" w:color="000000"/>
            </w:tcBorders>
            <w:tcMar>
              <w:top w:w="5" w:type="dxa"/>
              <w:left w:w="113" w:type="dxa"/>
              <w:bottom w:w="5" w:type="dxa"/>
              <w:right w:w="108" w:type="dxa"/>
            </w:tcMar>
            <w:vAlign w:val="center"/>
            <w:hideMark/>
          </w:tcPr>
          <w:p w14:paraId="7B79855F" w14:textId="77777777" w:rsidR="00592C29" w:rsidRDefault="0048296D" w:rsidP="00A47347">
            <w:pPr>
              <w:spacing w:line="276" w:lineRule="auto"/>
              <w:rPr>
                <w:color w:val="000000"/>
                <w:sz w:val="22"/>
                <w:szCs w:val="22"/>
              </w:rPr>
            </w:pPr>
            <w:r>
              <w:rPr>
                <w:color w:val="000000"/>
                <w:sz w:val="22"/>
                <w:szCs w:val="22"/>
              </w:rPr>
              <w:t>18.5%</w:t>
            </w:r>
          </w:p>
        </w:tc>
        <w:tc>
          <w:tcPr>
            <w:tcW w:w="4706" w:type="dxa"/>
            <w:gridSpan w:val="1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64A36ACF" w14:textId="77777777" w:rsidR="00592C29" w:rsidRDefault="0048296D" w:rsidP="00A47347">
            <w:pPr>
              <w:spacing w:line="276" w:lineRule="auto"/>
              <w:rPr>
                <w:color w:val="000000"/>
                <w:sz w:val="22"/>
                <w:szCs w:val="22"/>
              </w:rPr>
            </w:pPr>
            <w:r>
              <w:rPr>
                <w:b/>
                <w:bCs/>
                <w:color w:val="000000"/>
                <w:sz w:val="22"/>
                <w:szCs w:val="22"/>
              </w:rPr>
              <w:t xml:space="preserve">Lloyd's Insurance Company S.A  </w:t>
            </w:r>
            <w:r>
              <w:rPr>
                <w:noProof/>
                <w:color w:val="000000"/>
                <w:sz w:val="22"/>
                <w:szCs w:val="22"/>
              </w:rPr>
              <w:drawing>
                <wp:inline distT="0" distB="0" distL="0" distR="0" wp14:anchorId="5B7B64A3" wp14:editId="27D0A71E">
                  <wp:extent cx="457200" cy="304800"/>
                  <wp:effectExtent l="0" t="0" r="0" b="0"/>
                  <wp:docPr id="100027" name="Picture 100027" descr="https://europa.eu/european-union/sites/europaeu/files/docs/body/flag_black_white_hi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r:embed="rId37"/>
                          <a:stretch>
                            <a:fillRect/>
                          </a:stretch>
                        </pic:blipFill>
                        <pic:spPr>
                          <a:xfrm>
                            <a:off x="0" y="0"/>
                            <a:ext cx="457200" cy="304800"/>
                          </a:xfrm>
                          <a:prstGeom prst="rect">
                            <a:avLst/>
                          </a:prstGeom>
                        </pic:spPr>
                      </pic:pic>
                    </a:graphicData>
                  </a:graphic>
                </wp:inline>
              </w:drawing>
            </w:r>
          </w:p>
          <w:p w14:paraId="6C458201" w14:textId="77777777" w:rsidR="00592C29" w:rsidRDefault="0048296D" w:rsidP="00A47347">
            <w:pPr>
              <w:spacing w:line="276" w:lineRule="auto"/>
              <w:rPr>
                <w:color w:val="000000"/>
                <w:sz w:val="22"/>
                <w:szCs w:val="22"/>
              </w:rPr>
            </w:pPr>
            <w:r>
              <w:rPr>
                <w:b/>
                <w:bCs/>
                <w:color w:val="000000"/>
                <w:sz w:val="22"/>
                <w:szCs w:val="22"/>
              </w:rPr>
              <w:t xml:space="preserve">                                                            HIS</w:t>
            </w:r>
          </w:p>
          <w:p w14:paraId="41995567" w14:textId="77777777" w:rsidR="00592C29" w:rsidRDefault="0048296D" w:rsidP="00A47347">
            <w:pPr>
              <w:spacing w:line="276" w:lineRule="auto"/>
              <w:ind w:left="1440"/>
              <w:rPr>
                <w:color w:val="000000"/>
                <w:sz w:val="22"/>
                <w:szCs w:val="22"/>
              </w:rPr>
            </w:pPr>
            <w:r>
              <w:rPr>
                <w:b/>
                <w:bCs/>
                <w:color w:val="000000"/>
                <w:sz w:val="22"/>
                <w:szCs w:val="22"/>
              </w:rPr>
              <w:t xml:space="preserve">                                  5299</w:t>
            </w:r>
          </w:p>
          <w:p w14:paraId="326E1FC5" w14:textId="77777777" w:rsidR="00592C29" w:rsidRDefault="00592C29" w:rsidP="00A47347">
            <w:pPr>
              <w:spacing w:line="276" w:lineRule="auto"/>
              <w:rPr>
                <w:color w:val="000000"/>
                <w:sz w:val="22"/>
                <w:szCs w:val="22"/>
              </w:rPr>
            </w:pPr>
          </w:p>
        </w:tc>
        <w:tc>
          <w:tcPr>
            <w:tcW w:w="1110" w:type="dxa"/>
            <w:tcBorders>
              <w:left w:val="single" w:sz="6" w:space="0" w:color="000000"/>
            </w:tcBorders>
            <w:tcMar>
              <w:top w:w="5" w:type="dxa"/>
              <w:left w:w="108" w:type="dxa"/>
              <w:bottom w:w="5" w:type="dxa"/>
              <w:right w:w="113" w:type="dxa"/>
            </w:tcMar>
            <w:hideMark/>
          </w:tcPr>
          <w:p w14:paraId="45C589C1" w14:textId="77777777" w:rsidR="00592C29" w:rsidRDefault="00592C29" w:rsidP="00A47347">
            <w:pPr>
              <w:spacing w:line="276" w:lineRule="auto"/>
              <w:rPr>
                <w:color w:val="000000"/>
                <w:sz w:val="16"/>
                <w:szCs w:val="16"/>
              </w:rPr>
            </w:pPr>
          </w:p>
          <w:p w14:paraId="46428C00" w14:textId="77777777" w:rsidR="00592C29" w:rsidRDefault="00592C29" w:rsidP="00A47347">
            <w:pPr>
              <w:spacing w:line="276" w:lineRule="auto"/>
              <w:rPr>
                <w:color w:val="000000"/>
                <w:sz w:val="16"/>
                <w:szCs w:val="16"/>
              </w:rPr>
            </w:pPr>
          </w:p>
        </w:tc>
      </w:tr>
      <w:tr w:rsidR="00592C29" w14:paraId="3504A519" w14:textId="77777777">
        <w:trPr>
          <w:trHeight w:val="211"/>
        </w:trPr>
        <w:tc>
          <w:tcPr>
            <w:tcW w:w="0" w:type="auto"/>
            <w:vMerge/>
            <w:tcBorders>
              <w:right w:val="single" w:sz="6" w:space="0" w:color="000000"/>
            </w:tcBorders>
            <w:vAlign w:val="center"/>
            <w:hideMark/>
          </w:tcPr>
          <w:p w14:paraId="188F94ED" w14:textId="77777777" w:rsidR="00592C29" w:rsidRDefault="00592C29" w:rsidP="00A47347">
            <w:pPr>
              <w:rPr>
                <w:color w:val="000000"/>
                <w:sz w:val="16"/>
                <w:szCs w:val="16"/>
              </w:rPr>
            </w:pPr>
          </w:p>
        </w:tc>
        <w:tc>
          <w:tcPr>
            <w:tcW w:w="429"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750F535" w14:textId="77777777" w:rsidR="00592C29" w:rsidRDefault="0048296D" w:rsidP="00A47347">
            <w:pPr>
              <w:spacing w:line="276" w:lineRule="auto"/>
              <w:rPr>
                <w:color w:val="000000"/>
                <w:sz w:val="22"/>
                <w:szCs w:val="22"/>
              </w:rPr>
            </w:pPr>
            <w:r>
              <w:rPr>
                <w:color w:val="000000"/>
                <w:sz w:val="22"/>
                <w:szCs w:val="22"/>
              </w:rPr>
              <w:t>H</w:t>
            </w:r>
          </w:p>
        </w:tc>
        <w:tc>
          <w:tcPr>
            <w:tcW w:w="284"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7DBCA12" w14:textId="77777777" w:rsidR="00592C29" w:rsidRDefault="0048296D" w:rsidP="00A47347">
            <w:pPr>
              <w:spacing w:line="276" w:lineRule="auto"/>
              <w:rPr>
                <w:color w:val="000000"/>
                <w:sz w:val="22"/>
                <w:szCs w:val="22"/>
              </w:rPr>
            </w:pPr>
            <w:r>
              <w:rPr>
                <w:color w:val="000000"/>
                <w:sz w:val="22"/>
                <w:szCs w:val="22"/>
              </w:rPr>
              <w:t>I</w:t>
            </w:r>
          </w:p>
        </w:tc>
        <w:tc>
          <w:tcPr>
            <w:tcW w:w="292"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25E3E9E2" w14:textId="77777777" w:rsidR="00592C29" w:rsidRDefault="0048296D" w:rsidP="00A47347">
            <w:pPr>
              <w:spacing w:line="276" w:lineRule="auto"/>
              <w:rPr>
                <w:color w:val="000000"/>
                <w:sz w:val="22"/>
                <w:szCs w:val="22"/>
              </w:rPr>
            </w:pPr>
            <w:r>
              <w:rPr>
                <w:color w:val="000000"/>
                <w:sz w:val="22"/>
                <w:szCs w:val="22"/>
              </w:rPr>
              <w:t>S</w:t>
            </w:r>
          </w:p>
        </w:tc>
        <w:tc>
          <w:tcPr>
            <w:tcW w:w="33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339058AC" w14:textId="77777777" w:rsidR="00592C29" w:rsidRDefault="0048296D" w:rsidP="00A47347">
            <w:pPr>
              <w:spacing w:line="276" w:lineRule="auto"/>
              <w:rPr>
                <w:color w:val="000000"/>
                <w:sz w:val="22"/>
                <w:szCs w:val="22"/>
              </w:rPr>
            </w:pPr>
            <w:r>
              <w:rPr>
                <w:color w:val="000000"/>
                <w:sz w:val="22"/>
                <w:szCs w:val="22"/>
              </w:rPr>
              <w:t>3</w:t>
            </w:r>
          </w:p>
        </w:tc>
        <w:tc>
          <w:tcPr>
            <w:tcW w:w="33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43A68298" w14:textId="77777777" w:rsidR="00592C29" w:rsidRDefault="0048296D" w:rsidP="00A47347">
            <w:pPr>
              <w:spacing w:line="276" w:lineRule="auto"/>
              <w:rPr>
                <w:color w:val="000000"/>
                <w:sz w:val="22"/>
                <w:szCs w:val="22"/>
              </w:rPr>
            </w:pPr>
            <w:r>
              <w:rPr>
                <w:color w:val="000000"/>
                <w:sz w:val="22"/>
                <w:szCs w:val="22"/>
              </w:rPr>
              <w:t>5</w:t>
            </w:r>
          </w:p>
        </w:tc>
        <w:tc>
          <w:tcPr>
            <w:tcW w:w="33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65ECDF54" w14:textId="77777777" w:rsidR="00592C29" w:rsidRDefault="0048296D" w:rsidP="00A47347">
            <w:pPr>
              <w:spacing w:line="276" w:lineRule="auto"/>
              <w:rPr>
                <w:color w:val="000000"/>
                <w:sz w:val="22"/>
                <w:szCs w:val="22"/>
              </w:rPr>
            </w:pPr>
            <w:r>
              <w:rPr>
                <w:color w:val="000000"/>
                <w:sz w:val="22"/>
                <w:szCs w:val="22"/>
              </w:rPr>
              <w:t>5</w:t>
            </w:r>
          </w:p>
        </w:tc>
        <w:tc>
          <w:tcPr>
            <w:tcW w:w="490"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4B4078C0" w14:textId="77777777" w:rsidR="00592C29" w:rsidRDefault="0048296D" w:rsidP="00A47347">
            <w:pPr>
              <w:spacing w:line="276" w:lineRule="auto"/>
              <w:rPr>
                <w:color w:val="000000"/>
                <w:sz w:val="22"/>
                <w:szCs w:val="22"/>
              </w:rPr>
            </w:pPr>
            <w:r>
              <w:rPr>
                <w:color w:val="000000"/>
                <w:sz w:val="22"/>
                <w:szCs w:val="22"/>
              </w:rPr>
              <w:t>3</w:t>
            </w:r>
          </w:p>
        </w:tc>
        <w:tc>
          <w:tcPr>
            <w:tcW w:w="4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0365326C" w14:textId="77777777" w:rsidR="00592C29" w:rsidRDefault="0048296D" w:rsidP="00A47347">
            <w:pPr>
              <w:spacing w:line="276" w:lineRule="auto"/>
              <w:rPr>
                <w:color w:val="000000"/>
                <w:sz w:val="22"/>
                <w:szCs w:val="22"/>
              </w:rPr>
            </w:pPr>
            <w:r>
              <w:rPr>
                <w:color w:val="000000"/>
                <w:sz w:val="22"/>
                <w:szCs w:val="22"/>
              </w:rPr>
              <w:t>A</w:t>
            </w:r>
          </w:p>
        </w:tc>
        <w:tc>
          <w:tcPr>
            <w:tcW w:w="4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C4C1673" w14:textId="77777777" w:rsidR="00592C29" w:rsidRDefault="0048296D" w:rsidP="00A47347">
            <w:pPr>
              <w:spacing w:line="276" w:lineRule="auto"/>
              <w:rPr>
                <w:color w:val="000000"/>
                <w:sz w:val="22"/>
                <w:szCs w:val="22"/>
              </w:rPr>
            </w:pPr>
            <w:r>
              <w:rPr>
                <w:color w:val="000000"/>
                <w:sz w:val="22"/>
                <w:szCs w:val="22"/>
              </w:rPr>
              <w:t>B</w:t>
            </w:r>
          </w:p>
        </w:tc>
        <w:tc>
          <w:tcPr>
            <w:tcW w:w="442"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6E0622F9" w14:textId="77777777" w:rsidR="00592C29" w:rsidRDefault="0048296D" w:rsidP="00A47347">
            <w:pPr>
              <w:spacing w:line="276" w:lineRule="auto"/>
              <w:rPr>
                <w:color w:val="000000"/>
                <w:sz w:val="22"/>
                <w:szCs w:val="22"/>
              </w:rPr>
            </w:pPr>
            <w:r>
              <w:rPr>
                <w:color w:val="000000"/>
                <w:sz w:val="22"/>
                <w:szCs w:val="22"/>
              </w:rPr>
              <w:t>2</w:t>
            </w:r>
          </w:p>
        </w:tc>
        <w:tc>
          <w:tcPr>
            <w:tcW w:w="4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7C78AB8E" w14:textId="77777777" w:rsidR="00592C29" w:rsidRDefault="0048296D" w:rsidP="00A47347">
            <w:pPr>
              <w:spacing w:line="276" w:lineRule="auto"/>
              <w:rPr>
                <w:color w:val="000000"/>
                <w:sz w:val="22"/>
                <w:szCs w:val="22"/>
              </w:rPr>
            </w:pPr>
            <w:r>
              <w:rPr>
                <w:color w:val="000000"/>
                <w:sz w:val="22"/>
                <w:szCs w:val="22"/>
              </w:rPr>
              <w:t>4</w:t>
            </w:r>
          </w:p>
        </w:tc>
        <w:tc>
          <w:tcPr>
            <w:tcW w:w="4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3C5A6597" w14:textId="77777777" w:rsidR="00592C29" w:rsidRDefault="0048296D" w:rsidP="00A47347">
            <w:pPr>
              <w:spacing w:line="276" w:lineRule="auto"/>
              <w:rPr>
                <w:color w:val="000000"/>
                <w:sz w:val="22"/>
                <w:szCs w:val="22"/>
              </w:rPr>
            </w:pPr>
            <w:r>
              <w:rPr>
                <w:color w:val="000000"/>
                <w:sz w:val="22"/>
                <w:szCs w:val="22"/>
              </w:rPr>
              <w:t>1</w:t>
            </w:r>
          </w:p>
        </w:tc>
        <w:tc>
          <w:tcPr>
            <w:tcW w:w="1110" w:type="dxa"/>
            <w:tcBorders>
              <w:left w:val="single" w:sz="6" w:space="0" w:color="000000"/>
            </w:tcBorders>
            <w:tcMar>
              <w:top w:w="5" w:type="dxa"/>
              <w:left w:w="108" w:type="dxa"/>
              <w:bottom w:w="5" w:type="dxa"/>
              <w:right w:w="113" w:type="dxa"/>
            </w:tcMar>
          </w:tcPr>
          <w:p w14:paraId="72F82732" w14:textId="77777777" w:rsidR="00592C29" w:rsidRDefault="00592C29" w:rsidP="00A47347">
            <w:pPr>
              <w:spacing w:line="276" w:lineRule="auto"/>
              <w:rPr>
                <w:color w:val="000000"/>
                <w:sz w:val="22"/>
                <w:szCs w:val="22"/>
              </w:rPr>
            </w:pPr>
          </w:p>
        </w:tc>
      </w:tr>
      <w:tr w:rsidR="00592C29" w14:paraId="00D012D1" w14:textId="77777777">
        <w:trPr>
          <w:trHeight w:val="150"/>
        </w:trPr>
        <w:tc>
          <w:tcPr>
            <w:tcW w:w="0" w:type="auto"/>
            <w:vMerge/>
            <w:tcBorders>
              <w:right w:val="single" w:sz="6" w:space="0" w:color="000000"/>
            </w:tcBorders>
            <w:vAlign w:val="center"/>
            <w:hideMark/>
          </w:tcPr>
          <w:p w14:paraId="0E3E7458" w14:textId="77777777" w:rsidR="00592C29" w:rsidRDefault="00592C29" w:rsidP="00A47347">
            <w:pPr>
              <w:rPr>
                <w:color w:val="000000"/>
                <w:sz w:val="22"/>
                <w:szCs w:val="22"/>
              </w:rPr>
            </w:pPr>
          </w:p>
        </w:tc>
        <w:tc>
          <w:tcPr>
            <w:tcW w:w="4706" w:type="dxa"/>
            <w:gridSpan w:val="1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0D0219A8" w14:textId="77777777" w:rsidR="00592C29" w:rsidRDefault="0048296D" w:rsidP="00A47347">
            <w:pPr>
              <w:spacing w:line="276" w:lineRule="auto"/>
              <w:rPr>
                <w:color w:val="000000"/>
                <w:sz w:val="22"/>
                <w:szCs w:val="22"/>
              </w:rPr>
            </w:pPr>
            <w:r>
              <w:rPr>
                <w:color w:val="000000"/>
                <w:sz w:val="22"/>
                <w:szCs w:val="22"/>
              </w:rPr>
              <w:t xml:space="preserve">Reinsured by Lloyd’s syndicate HIS 033 </w:t>
            </w:r>
            <w:r>
              <w:rPr>
                <w:noProof/>
                <w:color w:val="000000"/>
                <w:sz w:val="22"/>
                <w:szCs w:val="22"/>
              </w:rPr>
              <w:drawing>
                <wp:inline distT="0" distB="0" distL="0" distR="0" wp14:anchorId="0AA804F1" wp14:editId="6AD23943">
                  <wp:extent cx="209550" cy="247650"/>
                  <wp:effectExtent l="0" t="0" r="0" b="0"/>
                  <wp:docPr id="100029" name="Picture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r:embed="rId38"/>
                          <a:stretch>
                            <a:fillRect/>
                          </a:stretch>
                        </pic:blipFill>
                        <pic:spPr>
                          <a:xfrm>
                            <a:off x="0" y="0"/>
                            <a:ext cx="209550" cy="247650"/>
                          </a:xfrm>
                          <a:prstGeom prst="rect">
                            <a:avLst/>
                          </a:prstGeom>
                        </pic:spPr>
                      </pic:pic>
                    </a:graphicData>
                  </a:graphic>
                </wp:inline>
              </w:drawing>
            </w:r>
          </w:p>
        </w:tc>
        <w:tc>
          <w:tcPr>
            <w:tcW w:w="1110" w:type="dxa"/>
            <w:tcBorders>
              <w:left w:val="single" w:sz="6" w:space="0" w:color="000000"/>
            </w:tcBorders>
            <w:tcMar>
              <w:top w:w="5" w:type="dxa"/>
              <w:left w:w="108" w:type="dxa"/>
              <w:bottom w:w="5" w:type="dxa"/>
              <w:right w:w="113" w:type="dxa"/>
            </w:tcMar>
          </w:tcPr>
          <w:p w14:paraId="249EF2A9" w14:textId="77777777" w:rsidR="00592C29" w:rsidRDefault="00592C29" w:rsidP="00A47347">
            <w:pPr>
              <w:spacing w:line="276" w:lineRule="auto"/>
              <w:rPr>
                <w:color w:val="000000"/>
                <w:sz w:val="22"/>
                <w:szCs w:val="22"/>
              </w:rPr>
            </w:pPr>
          </w:p>
        </w:tc>
      </w:tr>
    </w:tbl>
    <w:p w14:paraId="31E7AF70" w14:textId="77777777" w:rsidR="00592C29" w:rsidRDefault="00592C29" w:rsidP="00A47347">
      <w:pPr>
        <w:spacing w:line="276" w:lineRule="auto"/>
        <w:rPr>
          <w:sz w:val="22"/>
          <w:szCs w:val="22"/>
        </w:rPr>
      </w:pPr>
    </w:p>
    <w:tbl>
      <w:tblPr>
        <w:tblW w:w="0" w:type="auto"/>
        <w:tblInd w:w="113" w:type="dxa"/>
        <w:tblCellMar>
          <w:left w:w="0" w:type="dxa"/>
          <w:right w:w="0" w:type="dxa"/>
        </w:tblCellMar>
        <w:tblLook w:val="04A0" w:firstRow="1" w:lastRow="0" w:firstColumn="1" w:lastColumn="0" w:noHBand="0" w:noVBand="1"/>
      </w:tblPr>
      <w:tblGrid>
        <w:gridCol w:w="847"/>
        <w:gridCol w:w="351"/>
        <w:gridCol w:w="375"/>
        <w:gridCol w:w="351"/>
        <w:gridCol w:w="335"/>
        <w:gridCol w:w="335"/>
        <w:gridCol w:w="335"/>
        <w:gridCol w:w="490"/>
        <w:gridCol w:w="441"/>
        <w:gridCol w:w="441"/>
        <w:gridCol w:w="442"/>
        <w:gridCol w:w="441"/>
        <w:gridCol w:w="441"/>
        <w:gridCol w:w="735"/>
        <w:gridCol w:w="1083"/>
      </w:tblGrid>
      <w:tr w:rsidR="00592C29" w14:paraId="3F302162" w14:textId="77777777">
        <w:trPr>
          <w:trHeight w:val="1608"/>
        </w:trPr>
        <w:tc>
          <w:tcPr>
            <w:tcW w:w="847" w:type="dxa"/>
            <w:vMerge w:val="restart"/>
            <w:tcBorders>
              <w:right w:val="single" w:sz="6" w:space="0" w:color="000000"/>
            </w:tcBorders>
            <w:tcMar>
              <w:top w:w="5" w:type="dxa"/>
              <w:left w:w="113" w:type="dxa"/>
              <w:bottom w:w="5" w:type="dxa"/>
              <w:right w:w="108" w:type="dxa"/>
            </w:tcMar>
            <w:vAlign w:val="center"/>
            <w:hideMark/>
          </w:tcPr>
          <w:p w14:paraId="20421F46" w14:textId="77777777" w:rsidR="00592C29" w:rsidRDefault="0048296D" w:rsidP="00A47347">
            <w:pPr>
              <w:spacing w:line="276" w:lineRule="auto"/>
              <w:rPr>
                <w:color w:val="000000"/>
                <w:sz w:val="22"/>
                <w:szCs w:val="22"/>
              </w:rPr>
            </w:pPr>
            <w:r>
              <w:rPr>
                <w:color w:val="000000"/>
                <w:sz w:val="22"/>
                <w:szCs w:val="22"/>
              </w:rPr>
              <w:t>25%</w:t>
            </w:r>
          </w:p>
        </w:tc>
        <w:tc>
          <w:tcPr>
            <w:tcW w:w="4706" w:type="dxa"/>
            <w:gridSpan w:val="1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2E5D6558" w14:textId="77777777" w:rsidR="00592C29" w:rsidRDefault="0048296D" w:rsidP="00A47347">
            <w:pPr>
              <w:spacing w:line="276" w:lineRule="auto"/>
              <w:rPr>
                <w:color w:val="000000"/>
                <w:sz w:val="22"/>
                <w:szCs w:val="22"/>
              </w:rPr>
            </w:pPr>
            <w:r>
              <w:rPr>
                <w:b/>
                <w:bCs/>
                <w:color w:val="000000"/>
                <w:sz w:val="22"/>
                <w:szCs w:val="22"/>
              </w:rPr>
              <w:t xml:space="preserve">Lloyd's Insurance Company S.A  </w:t>
            </w:r>
            <w:r>
              <w:rPr>
                <w:noProof/>
                <w:color w:val="000000"/>
                <w:sz w:val="22"/>
                <w:szCs w:val="22"/>
              </w:rPr>
              <w:drawing>
                <wp:inline distT="0" distB="0" distL="0" distR="0" wp14:anchorId="1DEBA385" wp14:editId="73ECF99C">
                  <wp:extent cx="457200" cy="304800"/>
                  <wp:effectExtent l="0" t="0" r="0" b="0"/>
                  <wp:docPr id="100031" name="Picture 100031" descr="https://europa.eu/european-union/sites/europaeu/files/docs/body/flag_black_white_hi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r:embed="rId37"/>
                          <a:stretch>
                            <a:fillRect/>
                          </a:stretch>
                        </pic:blipFill>
                        <pic:spPr>
                          <a:xfrm>
                            <a:off x="0" y="0"/>
                            <a:ext cx="457200" cy="304800"/>
                          </a:xfrm>
                          <a:prstGeom prst="rect">
                            <a:avLst/>
                          </a:prstGeom>
                        </pic:spPr>
                      </pic:pic>
                    </a:graphicData>
                  </a:graphic>
                </wp:inline>
              </w:drawing>
            </w:r>
          </w:p>
          <w:p w14:paraId="5005B304" w14:textId="77777777" w:rsidR="00592C29" w:rsidRDefault="0048296D" w:rsidP="00A47347">
            <w:pPr>
              <w:spacing w:line="276" w:lineRule="auto"/>
              <w:rPr>
                <w:color w:val="000000"/>
                <w:sz w:val="22"/>
                <w:szCs w:val="22"/>
              </w:rPr>
            </w:pPr>
            <w:r>
              <w:rPr>
                <w:b/>
                <w:bCs/>
                <w:color w:val="000000"/>
                <w:sz w:val="22"/>
                <w:szCs w:val="22"/>
              </w:rPr>
              <w:t xml:space="preserve">                                                            TAL</w:t>
            </w:r>
          </w:p>
          <w:p w14:paraId="05B17653" w14:textId="77777777" w:rsidR="00592C29" w:rsidRDefault="0048296D" w:rsidP="00A47347">
            <w:pPr>
              <w:spacing w:line="276" w:lineRule="auto"/>
              <w:ind w:left="1440"/>
              <w:rPr>
                <w:color w:val="000000"/>
                <w:sz w:val="22"/>
                <w:szCs w:val="22"/>
              </w:rPr>
            </w:pPr>
            <w:r>
              <w:rPr>
                <w:b/>
                <w:bCs/>
                <w:color w:val="000000"/>
                <w:sz w:val="22"/>
                <w:szCs w:val="22"/>
              </w:rPr>
              <w:t xml:space="preserve">                                  5318</w:t>
            </w:r>
          </w:p>
          <w:p w14:paraId="041507C7" w14:textId="77777777" w:rsidR="00592C29" w:rsidRDefault="00592C29" w:rsidP="00A47347">
            <w:pPr>
              <w:spacing w:line="276" w:lineRule="auto"/>
              <w:rPr>
                <w:color w:val="000000"/>
                <w:sz w:val="22"/>
                <w:szCs w:val="22"/>
              </w:rPr>
            </w:pPr>
          </w:p>
        </w:tc>
        <w:tc>
          <w:tcPr>
            <w:tcW w:w="1818" w:type="dxa"/>
            <w:gridSpan w:val="2"/>
            <w:tcBorders>
              <w:left w:val="single" w:sz="6" w:space="0" w:color="000000"/>
            </w:tcBorders>
            <w:tcMar>
              <w:top w:w="5" w:type="dxa"/>
              <w:left w:w="108" w:type="dxa"/>
              <w:bottom w:w="5" w:type="dxa"/>
              <w:right w:w="113" w:type="dxa"/>
            </w:tcMar>
            <w:hideMark/>
          </w:tcPr>
          <w:p w14:paraId="35D8048E" w14:textId="77777777" w:rsidR="00592C29" w:rsidRDefault="00592C29" w:rsidP="00A47347">
            <w:pPr>
              <w:spacing w:line="276" w:lineRule="auto"/>
              <w:rPr>
                <w:color w:val="000000"/>
                <w:sz w:val="16"/>
                <w:szCs w:val="16"/>
              </w:rPr>
            </w:pPr>
          </w:p>
          <w:p w14:paraId="3B339C52" w14:textId="77777777" w:rsidR="00592C29" w:rsidRDefault="00592C29" w:rsidP="00A47347">
            <w:pPr>
              <w:spacing w:line="276" w:lineRule="auto"/>
              <w:rPr>
                <w:color w:val="000000"/>
                <w:sz w:val="16"/>
                <w:szCs w:val="16"/>
              </w:rPr>
            </w:pPr>
          </w:p>
          <w:p w14:paraId="4600BC5F" w14:textId="77777777" w:rsidR="00592C29" w:rsidRDefault="00592C29" w:rsidP="00A47347">
            <w:pPr>
              <w:spacing w:line="276" w:lineRule="auto"/>
              <w:rPr>
                <w:color w:val="000000"/>
                <w:sz w:val="16"/>
                <w:szCs w:val="16"/>
              </w:rPr>
            </w:pPr>
          </w:p>
          <w:p w14:paraId="25476666" w14:textId="77777777" w:rsidR="00592C29" w:rsidRDefault="00592C29" w:rsidP="00A47347">
            <w:pPr>
              <w:spacing w:line="276" w:lineRule="auto"/>
              <w:rPr>
                <w:color w:val="000000"/>
                <w:sz w:val="16"/>
                <w:szCs w:val="16"/>
              </w:rPr>
            </w:pPr>
          </w:p>
        </w:tc>
      </w:tr>
      <w:tr w:rsidR="00592C29" w14:paraId="24EA4D23" w14:textId="77777777">
        <w:trPr>
          <w:trHeight w:val="333"/>
        </w:trPr>
        <w:tc>
          <w:tcPr>
            <w:tcW w:w="0" w:type="auto"/>
            <w:vMerge/>
            <w:tcBorders>
              <w:right w:val="single" w:sz="6" w:space="0" w:color="000000"/>
            </w:tcBorders>
            <w:vAlign w:val="center"/>
            <w:hideMark/>
          </w:tcPr>
          <w:p w14:paraId="347D8DA2" w14:textId="77777777" w:rsidR="00592C29" w:rsidRDefault="00592C29" w:rsidP="00A47347">
            <w:pPr>
              <w:rPr>
                <w:color w:val="000000"/>
                <w:sz w:val="16"/>
                <w:szCs w:val="16"/>
              </w:rPr>
            </w:pPr>
          </w:p>
        </w:tc>
        <w:tc>
          <w:tcPr>
            <w:tcW w:w="33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4FAF624F" w14:textId="77777777" w:rsidR="00592C29" w:rsidRDefault="0048296D" w:rsidP="00A47347">
            <w:pPr>
              <w:spacing w:line="276" w:lineRule="auto"/>
              <w:rPr>
                <w:color w:val="000000"/>
                <w:sz w:val="22"/>
                <w:szCs w:val="22"/>
              </w:rPr>
            </w:pPr>
            <w:r>
              <w:rPr>
                <w:color w:val="000000"/>
                <w:sz w:val="22"/>
                <w:szCs w:val="22"/>
              </w:rPr>
              <w:t>T</w:t>
            </w:r>
          </w:p>
        </w:tc>
        <w:tc>
          <w:tcPr>
            <w:tcW w:w="33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165B3E1A" w14:textId="77777777" w:rsidR="00592C29" w:rsidRDefault="0048296D" w:rsidP="00A47347">
            <w:pPr>
              <w:spacing w:line="276" w:lineRule="auto"/>
              <w:rPr>
                <w:color w:val="000000"/>
                <w:sz w:val="22"/>
                <w:szCs w:val="22"/>
              </w:rPr>
            </w:pPr>
            <w:r>
              <w:rPr>
                <w:color w:val="000000"/>
                <w:sz w:val="22"/>
                <w:szCs w:val="22"/>
              </w:rPr>
              <w:t>A</w:t>
            </w:r>
          </w:p>
        </w:tc>
        <w:tc>
          <w:tcPr>
            <w:tcW w:w="33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456A3746" w14:textId="77777777" w:rsidR="00592C29" w:rsidRDefault="0048296D" w:rsidP="00A47347">
            <w:pPr>
              <w:spacing w:line="276" w:lineRule="auto"/>
              <w:rPr>
                <w:color w:val="000000"/>
                <w:sz w:val="22"/>
                <w:szCs w:val="22"/>
              </w:rPr>
            </w:pPr>
            <w:r>
              <w:rPr>
                <w:color w:val="000000"/>
                <w:sz w:val="22"/>
                <w:szCs w:val="22"/>
              </w:rPr>
              <w:t>L</w:t>
            </w:r>
          </w:p>
        </w:tc>
        <w:tc>
          <w:tcPr>
            <w:tcW w:w="33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16D74B61" w14:textId="77777777" w:rsidR="00592C29" w:rsidRDefault="0048296D" w:rsidP="00A47347">
            <w:pPr>
              <w:spacing w:line="276" w:lineRule="auto"/>
              <w:rPr>
                <w:color w:val="000000"/>
                <w:sz w:val="22"/>
                <w:szCs w:val="22"/>
              </w:rPr>
            </w:pPr>
            <w:r>
              <w:rPr>
                <w:color w:val="000000"/>
                <w:sz w:val="22"/>
                <w:szCs w:val="22"/>
              </w:rPr>
              <w:t>5</w:t>
            </w:r>
          </w:p>
        </w:tc>
        <w:tc>
          <w:tcPr>
            <w:tcW w:w="33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C737EA3" w14:textId="77777777" w:rsidR="00592C29" w:rsidRDefault="0048296D" w:rsidP="00A47347">
            <w:pPr>
              <w:spacing w:line="276" w:lineRule="auto"/>
              <w:rPr>
                <w:color w:val="000000"/>
                <w:sz w:val="22"/>
                <w:szCs w:val="22"/>
              </w:rPr>
            </w:pPr>
            <w:r>
              <w:rPr>
                <w:color w:val="000000"/>
                <w:sz w:val="22"/>
                <w:szCs w:val="22"/>
              </w:rPr>
              <w:t>3</w:t>
            </w:r>
          </w:p>
        </w:tc>
        <w:tc>
          <w:tcPr>
            <w:tcW w:w="33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5CE081C" w14:textId="77777777" w:rsidR="00592C29" w:rsidRDefault="0048296D" w:rsidP="00A47347">
            <w:pPr>
              <w:spacing w:line="276" w:lineRule="auto"/>
              <w:rPr>
                <w:color w:val="000000"/>
                <w:sz w:val="22"/>
                <w:szCs w:val="22"/>
              </w:rPr>
            </w:pPr>
            <w:r>
              <w:rPr>
                <w:color w:val="000000"/>
                <w:sz w:val="22"/>
                <w:szCs w:val="22"/>
              </w:rPr>
              <w:t>3</w:t>
            </w:r>
          </w:p>
        </w:tc>
        <w:tc>
          <w:tcPr>
            <w:tcW w:w="490"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C19EC4B" w14:textId="77777777" w:rsidR="00592C29" w:rsidRDefault="0048296D" w:rsidP="00A47347">
            <w:pPr>
              <w:spacing w:line="276" w:lineRule="auto"/>
              <w:rPr>
                <w:color w:val="000000"/>
                <w:sz w:val="22"/>
                <w:szCs w:val="22"/>
              </w:rPr>
            </w:pPr>
            <w:r>
              <w:rPr>
                <w:color w:val="000000"/>
                <w:sz w:val="22"/>
                <w:szCs w:val="22"/>
              </w:rPr>
              <w:t>5</w:t>
            </w:r>
          </w:p>
        </w:tc>
        <w:tc>
          <w:tcPr>
            <w:tcW w:w="4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698AD614" w14:textId="77777777" w:rsidR="00592C29" w:rsidRDefault="0048296D" w:rsidP="00A47347">
            <w:pPr>
              <w:spacing w:line="276" w:lineRule="auto"/>
              <w:rPr>
                <w:color w:val="000000"/>
                <w:sz w:val="22"/>
                <w:szCs w:val="22"/>
              </w:rPr>
            </w:pPr>
            <w:r>
              <w:rPr>
                <w:color w:val="000000"/>
                <w:sz w:val="22"/>
                <w:szCs w:val="22"/>
              </w:rPr>
              <w:t>A</w:t>
            </w:r>
          </w:p>
        </w:tc>
        <w:tc>
          <w:tcPr>
            <w:tcW w:w="4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0E43BF7F" w14:textId="77777777" w:rsidR="00592C29" w:rsidRDefault="0048296D" w:rsidP="00A47347">
            <w:pPr>
              <w:spacing w:line="276" w:lineRule="auto"/>
              <w:rPr>
                <w:color w:val="000000"/>
                <w:sz w:val="22"/>
                <w:szCs w:val="22"/>
              </w:rPr>
            </w:pPr>
            <w:r>
              <w:rPr>
                <w:color w:val="000000"/>
                <w:sz w:val="22"/>
                <w:szCs w:val="22"/>
              </w:rPr>
              <w:t>B</w:t>
            </w:r>
          </w:p>
        </w:tc>
        <w:tc>
          <w:tcPr>
            <w:tcW w:w="442"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81612C6" w14:textId="77777777" w:rsidR="00592C29" w:rsidRDefault="0048296D" w:rsidP="00A47347">
            <w:pPr>
              <w:spacing w:line="276" w:lineRule="auto"/>
              <w:rPr>
                <w:color w:val="000000"/>
                <w:sz w:val="22"/>
                <w:szCs w:val="22"/>
              </w:rPr>
            </w:pPr>
            <w:r>
              <w:rPr>
                <w:color w:val="000000"/>
                <w:sz w:val="22"/>
                <w:szCs w:val="22"/>
              </w:rPr>
              <w:t>2</w:t>
            </w:r>
          </w:p>
        </w:tc>
        <w:tc>
          <w:tcPr>
            <w:tcW w:w="4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61DB1324" w14:textId="77777777" w:rsidR="00592C29" w:rsidRDefault="0048296D" w:rsidP="00A47347">
            <w:pPr>
              <w:spacing w:line="276" w:lineRule="auto"/>
              <w:rPr>
                <w:color w:val="000000"/>
                <w:sz w:val="22"/>
                <w:szCs w:val="22"/>
              </w:rPr>
            </w:pPr>
            <w:r>
              <w:rPr>
                <w:color w:val="000000"/>
                <w:sz w:val="22"/>
                <w:szCs w:val="22"/>
              </w:rPr>
              <w:t>4</w:t>
            </w:r>
          </w:p>
        </w:tc>
        <w:tc>
          <w:tcPr>
            <w:tcW w:w="4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2C7A246C" w14:textId="77777777" w:rsidR="00592C29" w:rsidRDefault="0048296D" w:rsidP="00A47347">
            <w:pPr>
              <w:spacing w:line="276" w:lineRule="auto"/>
              <w:rPr>
                <w:color w:val="000000"/>
                <w:sz w:val="22"/>
                <w:szCs w:val="22"/>
              </w:rPr>
            </w:pPr>
            <w:r>
              <w:rPr>
                <w:color w:val="000000"/>
                <w:sz w:val="22"/>
                <w:szCs w:val="22"/>
              </w:rPr>
              <w:t>1</w:t>
            </w:r>
          </w:p>
        </w:tc>
        <w:tc>
          <w:tcPr>
            <w:tcW w:w="735" w:type="dxa"/>
            <w:tcBorders>
              <w:left w:val="single" w:sz="6" w:space="0" w:color="000000"/>
            </w:tcBorders>
            <w:tcMar>
              <w:top w:w="5" w:type="dxa"/>
              <w:left w:w="108" w:type="dxa"/>
              <w:bottom w:w="5" w:type="dxa"/>
              <w:right w:w="113" w:type="dxa"/>
            </w:tcMar>
          </w:tcPr>
          <w:p w14:paraId="64D3FCA1" w14:textId="77777777" w:rsidR="00592C29" w:rsidRDefault="00592C29" w:rsidP="00A47347">
            <w:pPr>
              <w:spacing w:line="276" w:lineRule="auto"/>
              <w:rPr>
                <w:color w:val="000000"/>
                <w:sz w:val="22"/>
                <w:szCs w:val="22"/>
              </w:rPr>
            </w:pPr>
          </w:p>
        </w:tc>
        <w:tc>
          <w:tcPr>
            <w:tcW w:w="0" w:type="auto"/>
            <w:tcMar>
              <w:top w:w="5" w:type="dxa"/>
              <w:left w:w="5" w:type="dxa"/>
              <w:bottom w:w="5" w:type="dxa"/>
              <w:right w:w="5" w:type="dxa"/>
            </w:tcMar>
            <w:hideMark/>
          </w:tcPr>
          <w:p w14:paraId="338F8B93" w14:textId="77777777" w:rsidR="00592C29" w:rsidRDefault="00592C29" w:rsidP="00A47347">
            <w:pPr>
              <w:rPr>
                <w:color w:val="000000"/>
              </w:rPr>
            </w:pPr>
          </w:p>
        </w:tc>
      </w:tr>
      <w:tr w:rsidR="00592C29" w14:paraId="334BF143" w14:textId="77777777">
        <w:trPr>
          <w:trHeight w:val="150"/>
        </w:trPr>
        <w:tc>
          <w:tcPr>
            <w:tcW w:w="0" w:type="auto"/>
            <w:vMerge/>
            <w:tcBorders>
              <w:right w:val="single" w:sz="6" w:space="0" w:color="000000"/>
            </w:tcBorders>
            <w:vAlign w:val="center"/>
            <w:hideMark/>
          </w:tcPr>
          <w:p w14:paraId="4B9DFD2C" w14:textId="77777777" w:rsidR="00592C29" w:rsidRDefault="00592C29" w:rsidP="00A47347">
            <w:pPr>
              <w:rPr>
                <w:color w:val="000000"/>
              </w:rPr>
            </w:pPr>
          </w:p>
        </w:tc>
        <w:tc>
          <w:tcPr>
            <w:tcW w:w="4706" w:type="dxa"/>
            <w:gridSpan w:val="1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07066970" w14:textId="77777777" w:rsidR="00592C29" w:rsidRDefault="0048296D" w:rsidP="00A47347">
            <w:pPr>
              <w:spacing w:line="276" w:lineRule="auto"/>
              <w:rPr>
                <w:color w:val="000000"/>
                <w:sz w:val="22"/>
                <w:szCs w:val="22"/>
              </w:rPr>
            </w:pPr>
            <w:r>
              <w:rPr>
                <w:color w:val="000000"/>
                <w:sz w:val="22"/>
                <w:szCs w:val="22"/>
              </w:rPr>
              <w:t xml:space="preserve">Reinsured by Lloyd’s syndicate TAL 1183 </w:t>
            </w:r>
            <w:r>
              <w:rPr>
                <w:noProof/>
                <w:color w:val="000000"/>
                <w:sz w:val="22"/>
                <w:szCs w:val="22"/>
              </w:rPr>
              <w:drawing>
                <wp:inline distT="0" distB="0" distL="0" distR="0" wp14:anchorId="6530BCC5" wp14:editId="19C6CF60">
                  <wp:extent cx="209550" cy="247650"/>
                  <wp:effectExtent l="0" t="0" r="0" b="0"/>
                  <wp:docPr id="100033" name="Picture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r:embed="rId38"/>
                          <a:stretch>
                            <a:fillRect/>
                          </a:stretch>
                        </pic:blipFill>
                        <pic:spPr>
                          <a:xfrm>
                            <a:off x="0" y="0"/>
                            <a:ext cx="209550" cy="247650"/>
                          </a:xfrm>
                          <a:prstGeom prst="rect">
                            <a:avLst/>
                          </a:prstGeom>
                        </pic:spPr>
                      </pic:pic>
                    </a:graphicData>
                  </a:graphic>
                </wp:inline>
              </w:drawing>
            </w:r>
          </w:p>
        </w:tc>
        <w:tc>
          <w:tcPr>
            <w:tcW w:w="735" w:type="dxa"/>
            <w:tcBorders>
              <w:left w:val="single" w:sz="6" w:space="0" w:color="000000"/>
            </w:tcBorders>
            <w:tcMar>
              <w:top w:w="5" w:type="dxa"/>
              <w:left w:w="108" w:type="dxa"/>
              <w:bottom w:w="5" w:type="dxa"/>
              <w:right w:w="113" w:type="dxa"/>
            </w:tcMar>
          </w:tcPr>
          <w:p w14:paraId="1C07A91C" w14:textId="77777777" w:rsidR="00592C29" w:rsidRDefault="00592C29" w:rsidP="00A47347">
            <w:pPr>
              <w:spacing w:line="276" w:lineRule="auto"/>
              <w:rPr>
                <w:color w:val="000000"/>
                <w:sz w:val="22"/>
                <w:szCs w:val="22"/>
              </w:rPr>
            </w:pPr>
          </w:p>
        </w:tc>
        <w:tc>
          <w:tcPr>
            <w:tcW w:w="0" w:type="auto"/>
            <w:tcMar>
              <w:top w:w="5" w:type="dxa"/>
              <w:left w:w="5" w:type="dxa"/>
              <w:bottom w:w="5" w:type="dxa"/>
              <w:right w:w="5" w:type="dxa"/>
            </w:tcMar>
            <w:hideMark/>
          </w:tcPr>
          <w:p w14:paraId="6CEF4C38" w14:textId="77777777" w:rsidR="00592C29" w:rsidRDefault="00592C29" w:rsidP="00A47347">
            <w:pPr>
              <w:rPr>
                <w:color w:val="000000"/>
              </w:rPr>
            </w:pPr>
          </w:p>
        </w:tc>
      </w:tr>
    </w:tbl>
    <w:p w14:paraId="7D42D4F8" w14:textId="5C67893E" w:rsidR="00592C29" w:rsidRDefault="00592C29" w:rsidP="00A47347">
      <w:pPr>
        <w:spacing w:line="276" w:lineRule="auto"/>
        <w:rPr>
          <w:sz w:val="22"/>
          <w:szCs w:val="22"/>
        </w:rPr>
      </w:pPr>
    </w:p>
    <w:p w14:paraId="0B08FC9F" w14:textId="77777777" w:rsidR="00A47347" w:rsidRDefault="00A47347" w:rsidP="00A47347">
      <w:pPr>
        <w:spacing w:line="276" w:lineRule="auto"/>
        <w:rPr>
          <w:sz w:val="22"/>
          <w:szCs w:val="22"/>
        </w:rPr>
      </w:pPr>
    </w:p>
    <w:p w14:paraId="07F11EDD" w14:textId="77777777" w:rsidR="00592C29" w:rsidRDefault="0048296D" w:rsidP="00A47347">
      <w:pPr>
        <w:spacing w:line="276" w:lineRule="auto"/>
        <w:ind w:left="2160" w:hanging="2160"/>
        <w:rPr>
          <w:sz w:val="28"/>
          <w:szCs w:val="28"/>
        </w:rPr>
      </w:pPr>
      <w:r>
        <w:rPr>
          <w:rFonts w:ascii="Trebuchet MS" w:eastAsia="Trebuchet MS" w:hAnsi="Trebuchet MS" w:cs="Trebuchet MS"/>
          <w:b/>
          <w:bCs/>
          <w:sz w:val="28"/>
          <w:szCs w:val="28"/>
        </w:rPr>
        <w:t>Section 3</w:t>
      </w:r>
    </w:p>
    <w:p w14:paraId="4839C5FF" w14:textId="77777777" w:rsidR="00592C29" w:rsidRDefault="00592C29" w:rsidP="00A47347">
      <w:pPr>
        <w:spacing w:line="276" w:lineRule="auto"/>
        <w:rPr>
          <w:sz w:val="28"/>
          <w:szCs w:val="28"/>
        </w:rPr>
      </w:pPr>
    </w:p>
    <w:p w14:paraId="6B6DACF0" w14:textId="77777777" w:rsidR="00592C29" w:rsidRDefault="0048296D" w:rsidP="00A47347">
      <w:pPr>
        <w:spacing w:line="276" w:lineRule="auto"/>
        <w:rPr>
          <w:sz w:val="28"/>
          <w:szCs w:val="28"/>
        </w:rPr>
      </w:pPr>
      <w:r>
        <w:rPr>
          <w:rFonts w:ascii="Trebuchet MS" w:eastAsia="Trebuchet MS" w:hAnsi="Trebuchet MS" w:cs="Trebuchet MS"/>
          <w:b/>
          <w:bCs/>
          <w:sz w:val="28"/>
          <w:szCs w:val="28"/>
        </w:rPr>
        <w:t>In respect of Rest of the World excluding EEA / UK / Monaco (see previous example)</w:t>
      </w:r>
    </w:p>
    <w:p w14:paraId="69906334" w14:textId="77777777" w:rsidR="00592C29" w:rsidRDefault="00592C29" w:rsidP="00A47347">
      <w:pPr>
        <w:spacing w:line="276" w:lineRule="auto"/>
        <w:ind w:left="2160" w:hanging="2160"/>
        <w:rPr>
          <w:sz w:val="22"/>
          <w:szCs w:val="22"/>
        </w:rPr>
      </w:pPr>
    </w:p>
    <w:p w14:paraId="5DA581E0" w14:textId="77777777" w:rsidR="00592C29" w:rsidRDefault="0048296D" w:rsidP="00A47347">
      <w:pPr>
        <w:spacing w:line="276" w:lineRule="auto"/>
        <w:ind w:left="2160" w:hanging="2160"/>
        <w:rPr>
          <w:sz w:val="22"/>
          <w:szCs w:val="22"/>
        </w:rPr>
      </w:pPr>
      <w:r>
        <w:rPr>
          <w:rFonts w:ascii="Trebuchet MS" w:eastAsia="Trebuchet MS" w:hAnsi="Trebuchet MS" w:cs="Trebuchet MS"/>
          <w:b/>
          <w:bCs/>
          <w:sz w:val="22"/>
          <w:szCs w:val="22"/>
        </w:rPr>
        <w:t xml:space="preserve">WRITTEN </w:t>
      </w:r>
    </w:p>
    <w:p w14:paraId="31745AA6" w14:textId="01620881" w:rsidR="00592C29" w:rsidRDefault="0048296D" w:rsidP="00A47347">
      <w:pPr>
        <w:spacing w:line="276" w:lineRule="auto"/>
        <w:ind w:left="2160" w:hanging="2160"/>
        <w:rPr>
          <w:sz w:val="22"/>
          <w:szCs w:val="22"/>
        </w:rPr>
      </w:pPr>
      <w:r>
        <w:rPr>
          <w:rFonts w:ascii="Trebuchet MS" w:eastAsia="Trebuchet MS" w:hAnsi="Trebuchet MS" w:cs="Trebuchet MS"/>
          <w:b/>
          <w:bCs/>
          <w:sz w:val="22"/>
          <w:szCs w:val="22"/>
        </w:rPr>
        <w:t>LINES:</w:t>
      </w:r>
    </w:p>
    <w:tbl>
      <w:tblPr>
        <w:tblW w:w="0" w:type="auto"/>
        <w:jc w:val="center"/>
        <w:tblCellMar>
          <w:left w:w="0" w:type="dxa"/>
          <w:right w:w="0" w:type="dxa"/>
        </w:tblCellMar>
        <w:tblLook w:val="04A0" w:firstRow="1" w:lastRow="0" w:firstColumn="1" w:lastColumn="0" w:noHBand="0" w:noVBand="1"/>
      </w:tblPr>
      <w:tblGrid>
        <w:gridCol w:w="817"/>
        <w:gridCol w:w="352"/>
        <w:gridCol w:w="323"/>
        <w:gridCol w:w="343"/>
        <w:gridCol w:w="327"/>
        <w:gridCol w:w="327"/>
        <w:gridCol w:w="327"/>
        <w:gridCol w:w="327"/>
        <w:gridCol w:w="327"/>
        <w:gridCol w:w="332"/>
        <w:gridCol w:w="351"/>
        <w:gridCol w:w="327"/>
        <w:gridCol w:w="405"/>
        <w:gridCol w:w="1287"/>
      </w:tblGrid>
      <w:tr w:rsidR="00592C29" w14:paraId="5CF19E25" w14:textId="77777777" w:rsidTr="00A47347">
        <w:trPr>
          <w:jc w:val="center"/>
        </w:trPr>
        <w:tc>
          <w:tcPr>
            <w:tcW w:w="817" w:type="dxa"/>
            <w:vMerge w:val="restart"/>
            <w:tcBorders>
              <w:right w:val="single" w:sz="6" w:space="0" w:color="000000"/>
            </w:tcBorders>
            <w:tcMar>
              <w:top w:w="5" w:type="dxa"/>
              <w:left w:w="113" w:type="dxa"/>
              <w:bottom w:w="5" w:type="dxa"/>
              <w:right w:w="108" w:type="dxa"/>
            </w:tcMar>
            <w:vAlign w:val="center"/>
            <w:hideMark/>
          </w:tcPr>
          <w:p w14:paraId="6F249C28" w14:textId="77777777" w:rsidR="00592C29" w:rsidRDefault="0048296D" w:rsidP="00A47347">
            <w:pPr>
              <w:spacing w:line="276" w:lineRule="auto"/>
              <w:jc w:val="center"/>
              <w:rPr>
                <w:color w:val="000000"/>
                <w:sz w:val="22"/>
                <w:szCs w:val="22"/>
              </w:rPr>
            </w:pPr>
            <w:r>
              <w:rPr>
                <w:color w:val="000000"/>
                <w:sz w:val="22"/>
                <w:szCs w:val="22"/>
              </w:rPr>
              <w:t>8.5%</w:t>
            </w:r>
          </w:p>
        </w:tc>
        <w:tc>
          <w:tcPr>
            <w:tcW w:w="4068" w:type="dxa"/>
            <w:gridSpan w:val="1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6A87AE8D" w14:textId="77777777" w:rsidR="00592C29" w:rsidRDefault="0048296D" w:rsidP="00A47347">
            <w:pPr>
              <w:spacing w:line="276" w:lineRule="auto"/>
              <w:rPr>
                <w:color w:val="000000"/>
                <w:sz w:val="22"/>
                <w:szCs w:val="22"/>
              </w:rPr>
            </w:pPr>
            <w:r>
              <w:rPr>
                <w:noProof/>
                <w:color w:val="000000"/>
                <w:sz w:val="22"/>
                <w:szCs w:val="22"/>
              </w:rPr>
              <w:drawing>
                <wp:inline distT="0" distB="0" distL="0" distR="0" wp14:anchorId="7B0E4860" wp14:editId="6DFB750C">
                  <wp:extent cx="2419350" cy="381000"/>
                  <wp:effectExtent l="0" t="0" r="0" b="0"/>
                  <wp:docPr id="100035" name="Picture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r:embed="rId39"/>
                          <a:stretch>
                            <a:fillRect/>
                          </a:stretch>
                        </pic:blipFill>
                        <pic:spPr>
                          <a:xfrm>
                            <a:off x="0" y="0"/>
                            <a:ext cx="2419350" cy="381000"/>
                          </a:xfrm>
                          <a:prstGeom prst="rect">
                            <a:avLst/>
                          </a:prstGeom>
                        </pic:spPr>
                      </pic:pic>
                    </a:graphicData>
                  </a:graphic>
                </wp:inline>
              </w:drawing>
            </w:r>
          </w:p>
        </w:tc>
        <w:tc>
          <w:tcPr>
            <w:tcW w:w="1287" w:type="dxa"/>
            <w:vMerge w:val="restart"/>
            <w:tcBorders>
              <w:left w:val="single" w:sz="6" w:space="0" w:color="000000"/>
            </w:tcBorders>
            <w:tcMar>
              <w:top w:w="5" w:type="dxa"/>
              <w:left w:w="108" w:type="dxa"/>
              <w:bottom w:w="5" w:type="dxa"/>
              <w:right w:w="113" w:type="dxa"/>
            </w:tcMar>
            <w:hideMark/>
          </w:tcPr>
          <w:p w14:paraId="72405985" w14:textId="77777777" w:rsidR="00592C29" w:rsidRDefault="00592C29" w:rsidP="00A47347">
            <w:pPr>
              <w:spacing w:line="276" w:lineRule="auto"/>
              <w:rPr>
                <w:color w:val="000000"/>
                <w:sz w:val="22"/>
                <w:szCs w:val="22"/>
              </w:rPr>
            </w:pPr>
          </w:p>
          <w:p w14:paraId="29B73EA6" w14:textId="77777777" w:rsidR="00592C29" w:rsidRDefault="00592C29" w:rsidP="00A47347">
            <w:pPr>
              <w:spacing w:line="276" w:lineRule="auto"/>
              <w:rPr>
                <w:color w:val="000000"/>
                <w:sz w:val="22"/>
                <w:szCs w:val="22"/>
              </w:rPr>
            </w:pPr>
          </w:p>
          <w:p w14:paraId="75EB3F8B" w14:textId="77777777" w:rsidR="00592C29" w:rsidRDefault="00592C29" w:rsidP="00A47347">
            <w:pPr>
              <w:spacing w:line="276" w:lineRule="auto"/>
              <w:rPr>
                <w:color w:val="000000"/>
                <w:sz w:val="22"/>
                <w:szCs w:val="22"/>
              </w:rPr>
            </w:pPr>
          </w:p>
        </w:tc>
      </w:tr>
      <w:tr w:rsidR="00592C29" w14:paraId="15516AD6" w14:textId="77777777" w:rsidTr="00A47347">
        <w:trPr>
          <w:jc w:val="center"/>
        </w:trPr>
        <w:tc>
          <w:tcPr>
            <w:tcW w:w="0" w:type="auto"/>
            <w:vMerge/>
            <w:tcBorders>
              <w:right w:val="single" w:sz="6" w:space="0" w:color="000000"/>
            </w:tcBorders>
            <w:vAlign w:val="center"/>
            <w:hideMark/>
          </w:tcPr>
          <w:p w14:paraId="3C4CEBF3" w14:textId="77777777" w:rsidR="00592C29" w:rsidRDefault="00592C29" w:rsidP="000B6964">
            <w:pPr>
              <w:rPr>
                <w:color w:val="000000"/>
                <w:sz w:val="22"/>
                <w:szCs w:val="22"/>
              </w:rPr>
            </w:pPr>
          </w:p>
        </w:tc>
        <w:tc>
          <w:tcPr>
            <w:tcW w:w="352"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6E04A271" w14:textId="77777777" w:rsidR="00592C29" w:rsidRDefault="0048296D" w:rsidP="000B6964">
            <w:pPr>
              <w:spacing w:line="276" w:lineRule="auto"/>
              <w:rPr>
                <w:color w:val="000000"/>
                <w:sz w:val="16"/>
                <w:szCs w:val="16"/>
              </w:rPr>
            </w:pPr>
            <w:r>
              <w:rPr>
                <w:color w:val="000000"/>
                <w:sz w:val="16"/>
                <w:szCs w:val="16"/>
              </w:rPr>
              <w:t>H</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42D8A8BC" w14:textId="77777777" w:rsidR="00592C29" w:rsidRDefault="0048296D" w:rsidP="000B6964">
            <w:pPr>
              <w:spacing w:line="276" w:lineRule="auto"/>
              <w:rPr>
                <w:color w:val="000000"/>
                <w:sz w:val="16"/>
                <w:szCs w:val="16"/>
              </w:rPr>
            </w:pPr>
            <w:r>
              <w:rPr>
                <w:color w:val="000000"/>
                <w:sz w:val="16"/>
                <w:szCs w:val="16"/>
              </w:rPr>
              <w:t>I</w:t>
            </w:r>
          </w:p>
        </w:tc>
        <w:tc>
          <w:tcPr>
            <w:tcW w:w="34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0CCE0C7E" w14:textId="77777777" w:rsidR="00592C29" w:rsidRDefault="0048296D" w:rsidP="000B6964">
            <w:pPr>
              <w:spacing w:line="276" w:lineRule="auto"/>
              <w:rPr>
                <w:color w:val="000000"/>
                <w:sz w:val="16"/>
                <w:szCs w:val="16"/>
              </w:rPr>
            </w:pPr>
            <w:r>
              <w:rPr>
                <w:color w:val="000000"/>
                <w:sz w:val="16"/>
                <w:szCs w:val="16"/>
              </w:rPr>
              <w:t>S</w:t>
            </w:r>
          </w:p>
        </w:tc>
        <w:tc>
          <w:tcPr>
            <w:tcW w:w="327"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7C1E93B" w14:textId="77777777" w:rsidR="00592C29" w:rsidRDefault="0048296D" w:rsidP="000B6964">
            <w:pPr>
              <w:spacing w:line="276" w:lineRule="auto"/>
              <w:rPr>
                <w:color w:val="000000"/>
                <w:sz w:val="16"/>
                <w:szCs w:val="16"/>
              </w:rPr>
            </w:pPr>
            <w:r>
              <w:rPr>
                <w:color w:val="000000"/>
                <w:sz w:val="16"/>
                <w:szCs w:val="16"/>
              </w:rPr>
              <w:t>1</w:t>
            </w:r>
          </w:p>
        </w:tc>
        <w:tc>
          <w:tcPr>
            <w:tcW w:w="327"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451D63C2" w14:textId="77777777" w:rsidR="00592C29" w:rsidRDefault="0048296D" w:rsidP="000B6964">
            <w:pPr>
              <w:spacing w:line="276" w:lineRule="auto"/>
              <w:rPr>
                <w:color w:val="000000"/>
                <w:sz w:val="16"/>
                <w:szCs w:val="16"/>
              </w:rPr>
            </w:pPr>
            <w:r>
              <w:rPr>
                <w:color w:val="000000"/>
                <w:sz w:val="16"/>
                <w:szCs w:val="16"/>
              </w:rPr>
              <w:t>1</w:t>
            </w:r>
          </w:p>
        </w:tc>
        <w:tc>
          <w:tcPr>
            <w:tcW w:w="327"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1388F5D3" w14:textId="77777777" w:rsidR="00592C29" w:rsidRDefault="0048296D" w:rsidP="000B6964">
            <w:pPr>
              <w:spacing w:line="276" w:lineRule="auto"/>
              <w:rPr>
                <w:color w:val="000000"/>
                <w:sz w:val="16"/>
                <w:szCs w:val="16"/>
              </w:rPr>
            </w:pPr>
            <w:r>
              <w:rPr>
                <w:color w:val="000000"/>
                <w:sz w:val="16"/>
                <w:szCs w:val="16"/>
              </w:rPr>
              <w:t>5</w:t>
            </w:r>
          </w:p>
        </w:tc>
        <w:tc>
          <w:tcPr>
            <w:tcW w:w="327"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084B6C28" w14:textId="77777777" w:rsidR="00592C29" w:rsidRDefault="0048296D" w:rsidP="000B6964">
            <w:pPr>
              <w:spacing w:line="276" w:lineRule="auto"/>
              <w:rPr>
                <w:color w:val="000000"/>
                <w:sz w:val="16"/>
                <w:szCs w:val="16"/>
              </w:rPr>
            </w:pPr>
            <w:r>
              <w:rPr>
                <w:color w:val="000000"/>
                <w:sz w:val="16"/>
                <w:szCs w:val="16"/>
              </w:rPr>
              <w:t>6</w:t>
            </w:r>
          </w:p>
        </w:tc>
        <w:tc>
          <w:tcPr>
            <w:tcW w:w="327"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080FF77" w14:textId="77777777" w:rsidR="00592C29" w:rsidRDefault="0048296D" w:rsidP="000B6964">
            <w:pPr>
              <w:spacing w:line="276" w:lineRule="auto"/>
              <w:rPr>
                <w:color w:val="000000"/>
                <w:sz w:val="16"/>
                <w:szCs w:val="16"/>
              </w:rPr>
            </w:pPr>
            <w:r>
              <w:rPr>
                <w:color w:val="000000"/>
                <w:sz w:val="16"/>
                <w:szCs w:val="16"/>
              </w:rPr>
              <w:t>7</w:t>
            </w:r>
          </w:p>
        </w:tc>
        <w:tc>
          <w:tcPr>
            <w:tcW w:w="332"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7FD55643" w14:textId="77777777" w:rsidR="00592C29" w:rsidRDefault="0048296D" w:rsidP="000B6964">
            <w:pPr>
              <w:spacing w:line="276" w:lineRule="auto"/>
              <w:rPr>
                <w:color w:val="000000"/>
                <w:sz w:val="16"/>
                <w:szCs w:val="16"/>
              </w:rPr>
            </w:pPr>
            <w:r>
              <w:rPr>
                <w:color w:val="000000"/>
                <w:sz w:val="16"/>
                <w:szCs w:val="16"/>
              </w:rPr>
              <w:t>7</w:t>
            </w:r>
          </w:p>
        </w:tc>
        <w:tc>
          <w:tcPr>
            <w:tcW w:w="35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365B46F8" w14:textId="77777777" w:rsidR="00592C29" w:rsidRDefault="0048296D" w:rsidP="000B6964">
            <w:pPr>
              <w:spacing w:line="276" w:lineRule="auto"/>
              <w:rPr>
                <w:color w:val="000000"/>
                <w:sz w:val="16"/>
                <w:szCs w:val="16"/>
              </w:rPr>
            </w:pPr>
            <w:r>
              <w:rPr>
                <w:color w:val="000000"/>
                <w:sz w:val="16"/>
                <w:szCs w:val="16"/>
              </w:rPr>
              <w:t>A</w:t>
            </w:r>
          </w:p>
        </w:tc>
        <w:tc>
          <w:tcPr>
            <w:tcW w:w="327"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66BE7108" w14:textId="77777777" w:rsidR="00592C29" w:rsidRDefault="0048296D" w:rsidP="000B6964">
            <w:pPr>
              <w:spacing w:line="276" w:lineRule="auto"/>
              <w:rPr>
                <w:color w:val="000000"/>
                <w:sz w:val="16"/>
                <w:szCs w:val="16"/>
              </w:rPr>
            </w:pPr>
            <w:r>
              <w:rPr>
                <w:color w:val="000000"/>
                <w:sz w:val="16"/>
                <w:szCs w:val="16"/>
              </w:rPr>
              <w:t>1</w:t>
            </w:r>
          </w:p>
        </w:tc>
        <w:tc>
          <w:tcPr>
            <w:tcW w:w="40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3303310D" w14:textId="77777777" w:rsidR="00592C29" w:rsidRDefault="0048296D" w:rsidP="000B6964">
            <w:pPr>
              <w:spacing w:line="276" w:lineRule="auto"/>
              <w:rPr>
                <w:color w:val="000000"/>
                <w:sz w:val="16"/>
                <w:szCs w:val="16"/>
              </w:rPr>
            </w:pPr>
            <w:r>
              <w:rPr>
                <w:color w:val="000000"/>
                <w:sz w:val="16"/>
                <w:szCs w:val="16"/>
              </w:rPr>
              <w:t>2</w:t>
            </w:r>
          </w:p>
        </w:tc>
        <w:tc>
          <w:tcPr>
            <w:tcW w:w="0" w:type="auto"/>
            <w:vMerge/>
            <w:tcBorders>
              <w:left w:val="single" w:sz="6" w:space="0" w:color="000000"/>
            </w:tcBorders>
            <w:vAlign w:val="center"/>
            <w:hideMark/>
          </w:tcPr>
          <w:p w14:paraId="1C7D7DD7" w14:textId="77777777" w:rsidR="00592C29" w:rsidRDefault="00592C29" w:rsidP="000B6964">
            <w:pPr>
              <w:rPr>
                <w:color w:val="000000"/>
                <w:sz w:val="16"/>
                <w:szCs w:val="16"/>
              </w:rPr>
            </w:pPr>
          </w:p>
        </w:tc>
      </w:tr>
      <w:tr w:rsidR="00592C29" w14:paraId="4681EBAD" w14:textId="77777777" w:rsidTr="00A47347">
        <w:trPr>
          <w:jc w:val="center"/>
        </w:trPr>
        <w:tc>
          <w:tcPr>
            <w:tcW w:w="0" w:type="auto"/>
            <w:vMerge/>
            <w:tcBorders>
              <w:right w:val="single" w:sz="6" w:space="0" w:color="000000"/>
            </w:tcBorders>
            <w:vAlign w:val="center"/>
            <w:hideMark/>
          </w:tcPr>
          <w:p w14:paraId="6F7C6363" w14:textId="77777777" w:rsidR="00592C29" w:rsidRDefault="00592C29" w:rsidP="000B6964">
            <w:pPr>
              <w:rPr>
                <w:color w:val="000000"/>
                <w:sz w:val="16"/>
                <w:szCs w:val="16"/>
              </w:rPr>
            </w:pPr>
          </w:p>
        </w:tc>
        <w:tc>
          <w:tcPr>
            <w:tcW w:w="4068" w:type="dxa"/>
            <w:gridSpan w:val="1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11FDD064" w14:textId="77777777" w:rsidR="00592C29" w:rsidRDefault="0048296D" w:rsidP="000B6964">
            <w:pPr>
              <w:spacing w:line="276" w:lineRule="auto"/>
              <w:rPr>
                <w:color w:val="000000"/>
                <w:sz w:val="22"/>
                <w:szCs w:val="22"/>
              </w:rPr>
            </w:pPr>
            <w:r>
              <w:rPr>
                <w:noProof/>
                <w:color w:val="000000"/>
                <w:sz w:val="22"/>
                <w:szCs w:val="22"/>
              </w:rPr>
              <w:drawing>
                <wp:inline distT="0" distB="0" distL="0" distR="0" wp14:anchorId="62C63608" wp14:editId="6913C7AA">
                  <wp:extent cx="2314575" cy="238125"/>
                  <wp:effectExtent l="0" t="0" r="0" b="0"/>
                  <wp:docPr id="100037" name="Picture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r:embed="rId40"/>
                          <a:stretch>
                            <a:fillRect/>
                          </a:stretch>
                        </pic:blipFill>
                        <pic:spPr>
                          <a:xfrm>
                            <a:off x="0" y="0"/>
                            <a:ext cx="2314575" cy="238125"/>
                          </a:xfrm>
                          <a:prstGeom prst="rect">
                            <a:avLst/>
                          </a:prstGeom>
                        </pic:spPr>
                      </pic:pic>
                    </a:graphicData>
                  </a:graphic>
                </wp:inline>
              </w:drawing>
            </w:r>
          </w:p>
        </w:tc>
        <w:tc>
          <w:tcPr>
            <w:tcW w:w="0" w:type="auto"/>
            <w:vMerge/>
            <w:tcBorders>
              <w:left w:val="single" w:sz="6" w:space="0" w:color="000000"/>
            </w:tcBorders>
            <w:vAlign w:val="center"/>
            <w:hideMark/>
          </w:tcPr>
          <w:p w14:paraId="513056E2" w14:textId="77777777" w:rsidR="00592C29" w:rsidRDefault="00592C29" w:rsidP="000B6964">
            <w:pPr>
              <w:rPr>
                <w:color w:val="000000"/>
                <w:sz w:val="22"/>
                <w:szCs w:val="22"/>
              </w:rPr>
            </w:pPr>
          </w:p>
        </w:tc>
      </w:tr>
    </w:tbl>
    <w:p w14:paraId="5491E913" w14:textId="77777777" w:rsidR="00592C29" w:rsidRDefault="00592C29" w:rsidP="000B6964">
      <w:pPr>
        <w:spacing w:line="276" w:lineRule="auto"/>
        <w:ind w:left="2160" w:hanging="2160"/>
        <w:rPr>
          <w:sz w:val="22"/>
          <w:szCs w:val="22"/>
        </w:rPr>
      </w:pPr>
    </w:p>
    <w:tbl>
      <w:tblPr>
        <w:tblW w:w="0" w:type="auto"/>
        <w:jc w:val="center"/>
        <w:tblCellMar>
          <w:left w:w="0" w:type="dxa"/>
          <w:right w:w="0" w:type="dxa"/>
        </w:tblCellMar>
        <w:tblLook w:val="04A0" w:firstRow="1" w:lastRow="0" w:firstColumn="1" w:lastColumn="0" w:noHBand="0" w:noVBand="1"/>
      </w:tblPr>
      <w:tblGrid>
        <w:gridCol w:w="817"/>
        <w:gridCol w:w="332"/>
        <w:gridCol w:w="323"/>
        <w:gridCol w:w="341"/>
        <w:gridCol w:w="323"/>
        <w:gridCol w:w="323"/>
        <w:gridCol w:w="323"/>
        <w:gridCol w:w="323"/>
        <w:gridCol w:w="323"/>
        <w:gridCol w:w="332"/>
        <w:gridCol w:w="332"/>
        <w:gridCol w:w="323"/>
        <w:gridCol w:w="323"/>
        <w:gridCol w:w="1369"/>
      </w:tblGrid>
      <w:tr w:rsidR="00592C29" w14:paraId="0CC8D65A" w14:textId="77777777">
        <w:trPr>
          <w:jc w:val="center"/>
        </w:trPr>
        <w:tc>
          <w:tcPr>
            <w:tcW w:w="817" w:type="dxa"/>
            <w:vMerge w:val="restart"/>
            <w:tcBorders>
              <w:right w:val="single" w:sz="6" w:space="0" w:color="000000"/>
            </w:tcBorders>
            <w:tcMar>
              <w:top w:w="5" w:type="dxa"/>
              <w:left w:w="113" w:type="dxa"/>
              <w:bottom w:w="5" w:type="dxa"/>
              <w:right w:w="108" w:type="dxa"/>
            </w:tcMar>
            <w:vAlign w:val="center"/>
            <w:hideMark/>
          </w:tcPr>
          <w:p w14:paraId="7CA76587" w14:textId="77777777" w:rsidR="00592C29" w:rsidRDefault="0048296D" w:rsidP="000B6964">
            <w:pPr>
              <w:spacing w:line="276" w:lineRule="auto"/>
              <w:jc w:val="center"/>
              <w:rPr>
                <w:color w:val="000000"/>
                <w:sz w:val="22"/>
                <w:szCs w:val="22"/>
              </w:rPr>
            </w:pPr>
            <w:r>
              <w:rPr>
                <w:color w:val="000000"/>
                <w:sz w:val="22"/>
                <w:szCs w:val="22"/>
              </w:rPr>
              <w:t>25%</w:t>
            </w:r>
          </w:p>
        </w:tc>
        <w:tc>
          <w:tcPr>
            <w:tcW w:w="3903" w:type="dxa"/>
            <w:gridSpan w:val="1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3CEED95D" w14:textId="77777777" w:rsidR="00592C29" w:rsidRDefault="0048296D" w:rsidP="000B6964">
            <w:pPr>
              <w:spacing w:line="276" w:lineRule="auto"/>
              <w:rPr>
                <w:color w:val="000000"/>
                <w:sz w:val="22"/>
                <w:szCs w:val="22"/>
              </w:rPr>
            </w:pPr>
            <w:r>
              <w:rPr>
                <w:noProof/>
                <w:color w:val="000000"/>
                <w:sz w:val="22"/>
                <w:szCs w:val="22"/>
              </w:rPr>
              <w:drawing>
                <wp:inline distT="0" distB="0" distL="0" distR="0" wp14:anchorId="36DFC124" wp14:editId="410149A3">
                  <wp:extent cx="2266950" cy="352425"/>
                  <wp:effectExtent l="0" t="0" r="0" b="0"/>
                  <wp:docPr id="100039" name="Picture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r:embed="rId41"/>
                          <a:stretch>
                            <a:fillRect/>
                          </a:stretch>
                        </pic:blipFill>
                        <pic:spPr>
                          <a:xfrm>
                            <a:off x="0" y="0"/>
                            <a:ext cx="2266950" cy="352425"/>
                          </a:xfrm>
                          <a:prstGeom prst="rect">
                            <a:avLst/>
                          </a:prstGeom>
                        </pic:spPr>
                      </pic:pic>
                    </a:graphicData>
                  </a:graphic>
                </wp:inline>
              </w:drawing>
            </w:r>
          </w:p>
        </w:tc>
        <w:tc>
          <w:tcPr>
            <w:tcW w:w="1369" w:type="dxa"/>
            <w:vMerge w:val="restart"/>
            <w:tcBorders>
              <w:left w:val="single" w:sz="6" w:space="0" w:color="000000"/>
            </w:tcBorders>
            <w:tcMar>
              <w:top w:w="5" w:type="dxa"/>
              <w:left w:w="108" w:type="dxa"/>
              <w:bottom w:w="5" w:type="dxa"/>
              <w:right w:w="113" w:type="dxa"/>
            </w:tcMar>
            <w:hideMark/>
          </w:tcPr>
          <w:p w14:paraId="32159F3A" w14:textId="77777777" w:rsidR="00592C29" w:rsidRDefault="00592C29" w:rsidP="000B6964">
            <w:pPr>
              <w:spacing w:line="276" w:lineRule="auto"/>
              <w:rPr>
                <w:color w:val="000000"/>
              </w:rPr>
            </w:pPr>
          </w:p>
          <w:p w14:paraId="028A30C4" w14:textId="77777777" w:rsidR="00592C29" w:rsidRDefault="00592C29" w:rsidP="000B6964">
            <w:pPr>
              <w:spacing w:line="276" w:lineRule="auto"/>
              <w:rPr>
                <w:color w:val="000000"/>
                <w:sz w:val="22"/>
                <w:szCs w:val="22"/>
              </w:rPr>
            </w:pPr>
          </w:p>
          <w:p w14:paraId="0A7D87A1" w14:textId="77777777" w:rsidR="00592C29" w:rsidRDefault="00592C29" w:rsidP="000B6964">
            <w:pPr>
              <w:spacing w:line="276" w:lineRule="auto"/>
              <w:rPr>
                <w:color w:val="000000"/>
                <w:sz w:val="22"/>
                <w:szCs w:val="22"/>
              </w:rPr>
            </w:pPr>
          </w:p>
        </w:tc>
      </w:tr>
      <w:tr w:rsidR="00592C29" w14:paraId="7A0D6D31" w14:textId="77777777">
        <w:trPr>
          <w:jc w:val="center"/>
        </w:trPr>
        <w:tc>
          <w:tcPr>
            <w:tcW w:w="0" w:type="auto"/>
            <w:vMerge/>
            <w:tcBorders>
              <w:right w:val="single" w:sz="6" w:space="0" w:color="000000"/>
            </w:tcBorders>
            <w:vAlign w:val="center"/>
            <w:hideMark/>
          </w:tcPr>
          <w:p w14:paraId="0FD40146" w14:textId="77777777" w:rsidR="00592C29" w:rsidRDefault="00592C29" w:rsidP="000B6964">
            <w:pPr>
              <w:rPr>
                <w:color w:val="000000"/>
                <w:sz w:val="22"/>
                <w:szCs w:val="22"/>
              </w:rPr>
            </w:pP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34182B2" w14:textId="77777777" w:rsidR="00592C29" w:rsidRDefault="0048296D" w:rsidP="000B6964">
            <w:pPr>
              <w:spacing w:line="276" w:lineRule="auto"/>
              <w:rPr>
                <w:color w:val="000000"/>
                <w:sz w:val="16"/>
                <w:szCs w:val="16"/>
              </w:rPr>
            </w:pPr>
            <w:r>
              <w:rPr>
                <w:color w:val="000000"/>
                <w:sz w:val="16"/>
                <w:szCs w:val="16"/>
              </w:rPr>
              <w:t>A</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133FB651" w14:textId="77777777" w:rsidR="00592C29" w:rsidRDefault="0048296D" w:rsidP="000B6964">
            <w:pPr>
              <w:spacing w:line="276" w:lineRule="auto"/>
              <w:rPr>
                <w:color w:val="000000"/>
                <w:sz w:val="16"/>
                <w:szCs w:val="16"/>
              </w:rPr>
            </w:pPr>
            <w:r>
              <w:rPr>
                <w:color w:val="000000"/>
                <w:sz w:val="16"/>
                <w:szCs w:val="16"/>
              </w:rPr>
              <w:t>F</w:t>
            </w:r>
          </w:p>
        </w:tc>
        <w:tc>
          <w:tcPr>
            <w:tcW w:w="3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0E41F820" w14:textId="77777777" w:rsidR="00592C29" w:rsidRDefault="0048296D" w:rsidP="000B6964">
            <w:pPr>
              <w:spacing w:line="276" w:lineRule="auto"/>
              <w:rPr>
                <w:color w:val="000000"/>
                <w:sz w:val="16"/>
                <w:szCs w:val="16"/>
              </w:rPr>
            </w:pPr>
            <w:r>
              <w:rPr>
                <w:color w:val="000000"/>
                <w:sz w:val="16"/>
                <w:szCs w:val="16"/>
              </w:rPr>
              <w:t>G</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13D8AE08" w14:textId="77777777" w:rsidR="00592C29" w:rsidRDefault="0048296D" w:rsidP="000B6964">
            <w:pPr>
              <w:spacing w:line="276" w:lineRule="auto"/>
              <w:rPr>
                <w:color w:val="000000"/>
                <w:sz w:val="16"/>
                <w:szCs w:val="16"/>
              </w:rPr>
            </w:pPr>
            <w:r>
              <w:rPr>
                <w:color w:val="000000"/>
                <w:sz w:val="16"/>
                <w:szCs w:val="16"/>
              </w:rPr>
              <w:t>1</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7A992A8A" w14:textId="77777777" w:rsidR="00592C29" w:rsidRDefault="0048296D" w:rsidP="000B6964">
            <w:pPr>
              <w:spacing w:line="276" w:lineRule="auto"/>
              <w:rPr>
                <w:color w:val="000000"/>
                <w:sz w:val="16"/>
                <w:szCs w:val="16"/>
              </w:rPr>
            </w:pPr>
            <w:r>
              <w:rPr>
                <w:color w:val="000000"/>
                <w:sz w:val="16"/>
                <w:szCs w:val="16"/>
              </w:rPr>
              <w:t>4</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6101F4D4" w14:textId="77777777" w:rsidR="00592C29" w:rsidRDefault="0048296D" w:rsidP="000B6964">
            <w:pPr>
              <w:spacing w:line="276" w:lineRule="auto"/>
              <w:rPr>
                <w:color w:val="000000"/>
                <w:sz w:val="16"/>
                <w:szCs w:val="16"/>
              </w:rPr>
            </w:pPr>
            <w:r>
              <w:rPr>
                <w:color w:val="000000"/>
                <w:sz w:val="16"/>
                <w:szCs w:val="16"/>
              </w:rPr>
              <w:t>5</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231A5D3B" w14:textId="77777777" w:rsidR="00592C29" w:rsidRDefault="0048296D" w:rsidP="000B6964">
            <w:pPr>
              <w:spacing w:line="276" w:lineRule="auto"/>
              <w:rPr>
                <w:color w:val="000000"/>
                <w:sz w:val="16"/>
                <w:szCs w:val="16"/>
              </w:rPr>
            </w:pPr>
            <w:r>
              <w:rPr>
                <w:color w:val="000000"/>
                <w:sz w:val="16"/>
                <w:szCs w:val="16"/>
              </w:rPr>
              <w:t>6</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45776FB5" w14:textId="77777777" w:rsidR="00592C29" w:rsidRDefault="0048296D" w:rsidP="000B6964">
            <w:pPr>
              <w:spacing w:line="276" w:lineRule="auto"/>
              <w:rPr>
                <w:color w:val="000000"/>
                <w:sz w:val="16"/>
                <w:szCs w:val="16"/>
              </w:rPr>
            </w:pPr>
            <w:r>
              <w:rPr>
                <w:color w:val="000000"/>
                <w:sz w:val="16"/>
                <w:szCs w:val="16"/>
              </w:rPr>
              <w:t>7</w:t>
            </w:r>
          </w:p>
        </w:tc>
        <w:tc>
          <w:tcPr>
            <w:tcW w:w="332"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12055357" w14:textId="77777777" w:rsidR="00592C29" w:rsidRDefault="0048296D" w:rsidP="000B6964">
            <w:pPr>
              <w:spacing w:line="276" w:lineRule="auto"/>
              <w:rPr>
                <w:color w:val="000000"/>
                <w:sz w:val="16"/>
                <w:szCs w:val="16"/>
              </w:rPr>
            </w:pPr>
            <w:r>
              <w:rPr>
                <w:color w:val="000000"/>
                <w:sz w:val="16"/>
                <w:szCs w:val="16"/>
              </w:rPr>
              <w:t>7</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715AE940" w14:textId="77777777" w:rsidR="00592C29" w:rsidRDefault="0048296D" w:rsidP="000B6964">
            <w:pPr>
              <w:spacing w:line="276" w:lineRule="auto"/>
              <w:rPr>
                <w:color w:val="000000"/>
                <w:sz w:val="16"/>
                <w:szCs w:val="16"/>
              </w:rPr>
            </w:pPr>
            <w:r>
              <w:rPr>
                <w:color w:val="000000"/>
                <w:sz w:val="16"/>
                <w:szCs w:val="16"/>
              </w:rPr>
              <w:t>A</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47B32261" w14:textId="77777777" w:rsidR="00592C29" w:rsidRDefault="0048296D" w:rsidP="000B6964">
            <w:pPr>
              <w:spacing w:line="276" w:lineRule="auto"/>
              <w:rPr>
                <w:color w:val="000000"/>
                <w:sz w:val="16"/>
                <w:szCs w:val="16"/>
              </w:rPr>
            </w:pPr>
            <w:r>
              <w:rPr>
                <w:color w:val="000000"/>
                <w:sz w:val="16"/>
                <w:szCs w:val="16"/>
              </w:rPr>
              <w:t>1</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3E3AACE5" w14:textId="77777777" w:rsidR="00592C29" w:rsidRDefault="0048296D" w:rsidP="000B6964">
            <w:pPr>
              <w:spacing w:line="276" w:lineRule="auto"/>
              <w:rPr>
                <w:color w:val="000000"/>
                <w:sz w:val="16"/>
                <w:szCs w:val="16"/>
              </w:rPr>
            </w:pPr>
            <w:r>
              <w:rPr>
                <w:color w:val="000000"/>
                <w:sz w:val="16"/>
                <w:szCs w:val="16"/>
              </w:rPr>
              <w:t>2</w:t>
            </w:r>
          </w:p>
        </w:tc>
        <w:tc>
          <w:tcPr>
            <w:tcW w:w="0" w:type="auto"/>
            <w:vMerge/>
            <w:tcBorders>
              <w:left w:val="single" w:sz="6" w:space="0" w:color="000000"/>
            </w:tcBorders>
            <w:vAlign w:val="center"/>
            <w:hideMark/>
          </w:tcPr>
          <w:p w14:paraId="6C0795DF" w14:textId="77777777" w:rsidR="00592C29" w:rsidRDefault="00592C29" w:rsidP="000B6964">
            <w:pPr>
              <w:rPr>
                <w:color w:val="000000"/>
                <w:sz w:val="16"/>
                <w:szCs w:val="16"/>
              </w:rPr>
            </w:pPr>
          </w:p>
        </w:tc>
      </w:tr>
      <w:tr w:rsidR="00592C29" w14:paraId="3CA737CD" w14:textId="77777777">
        <w:trPr>
          <w:jc w:val="center"/>
        </w:trPr>
        <w:tc>
          <w:tcPr>
            <w:tcW w:w="0" w:type="auto"/>
            <w:vMerge/>
            <w:tcBorders>
              <w:right w:val="single" w:sz="6" w:space="0" w:color="000000"/>
            </w:tcBorders>
            <w:vAlign w:val="center"/>
            <w:hideMark/>
          </w:tcPr>
          <w:p w14:paraId="7022E144" w14:textId="77777777" w:rsidR="00592C29" w:rsidRDefault="00592C29" w:rsidP="000B6964">
            <w:pPr>
              <w:rPr>
                <w:color w:val="000000"/>
                <w:sz w:val="16"/>
                <w:szCs w:val="16"/>
              </w:rPr>
            </w:pPr>
          </w:p>
        </w:tc>
        <w:tc>
          <w:tcPr>
            <w:tcW w:w="3903" w:type="dxa"/>
            <w:gridSpan w:val="1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0528E046" w14:textId="77777777" w:rsidR="00592C29" w:rsidRDefault="0048296D" w:rsidP="000B6964">
            <w:pPr>
              <w:spacing w:line="276" w:lineRule="auto"/>
              <w:rPr>
                <w:color w:val="000000"/>
                <w:sz w:val="22"/>
                <w:szCs w:val="22"/>
              </w:rPr>
            </w:pPr>
            <w:r>
              <w:rPr>
                <w:noProof/>
                <w:color w:val="000000"/>
                <w:sz w:val="22"/>
                <w:szCs w:val="22"/>
              </w:rPr>
              <w:drawing>
                <wp:inline distT="0" distB="0" distL="0" distR="0" wp14:anchorId="6972B799" wp14:editId="70FA4A10">
                  <wp:extent cx="2314575" cy="238125"/>
                  <wp:effectExtent l="0" t="0" r="0" b="0"/>
                  <wp:docPr id="100041" name="Picture 10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r:embed="rId40"/>
                          <a:stretch>
                            <a:fillRect/>
                          </a:stretch>
                        </pic:blipFill>
                        <pic:spPr>
                          <a:xfrm>
                            <a:off x="0" y="0"/>
                            <a:ext cx="2314575" cy="238125"/>
                          </a:xfrm>
                          <a:prstGeom prst="rect">
                            <a:avLst/>
                          </a:prstGeom>
                        </pic:spPr>
                      </pic:pic>
                    </a:graphicData>
                  </a:graphic>
                </wp:inline>
              </w:drawing>
            </w:r>
          </w:p>
        </w:tc>
        <w:tc>
          <w:tcPr>
            <w:tcW w:w="0" w:type="auto"/>
            <w:vMerge/>
            <w:tcBorders>
              <w:left w:val="single" w:sz="6" w:space="0" w:color="000000"/>
            </w:tcBorders>
            <w:vAlign w:val="center"/>
            <w:hideMark/>
          </w:tcPr>
          <w:p w14:paraId="0C308692" w14:textId="77777777" w:rsidR="00592C29" w:rsidRDefault="00592C29" w:rsidP="000B6964">
            <w:pPr>
              <w:rPr>
                <w:color w:val="000000"/>
                <w:sz w:val="22"/>
                <w:szCs w:val="22"/>
              </w:rPr>
            </w:pPr>
          </w:p>
        </w:tc>
      </w:tr>
    </w:tbl>
    <w:p w14:paraId="7614861E" w14:textId="77777777" w:rsidR="00592C29" w:rsidRDefault="00592C29" w:rsidP="000B6964">
      <w:pPr>
        <w:spacing w:line="276" w:lineRule="auto"/>
        <w:rPr>
          <w:sz w:val="22"/>
          <w:szCs w:val="22"/>
        </w:rPr>
      </w:pPr>
    </w:p>
    <w:p w14:paraId="0C6A1427" w14:textId="77777777" w:rsidR="00592C29" w:rsidRDefault="0048296D" w:rsidP="00A47347">
      <w:pPr>
        <w:spacing w:line="276" w:lineRule="auto"/>
        <w:ind w:left="2160" w:hanging="2160"/>
        <w:rPr>
          <w:sz w:val="28"/>
          <w:szCs w:val="28"/>
        </w:rPr>
      </w:pPr>
      <w:r>
        <w:br w:type="page"/>
      </w:r>
      <w:r>
        <w:rPr>
          <w:rFonts w:ascii="Trebuchet MS" w:eastAsia="Trebuchet MS" w:hAnsi="Trebuchet MS" w:cs="Trebuchet MS"/>
          <w:b/>
          <w:bCs/>
          <w:sz w:val="28"/>
          <w:szCs w:val="28"/>
        </w:rPr>
        <w:lastRenderedPageBreak/>
        <w:t>Section 2</w:t>
      </w:r>
    </w:p>
    <w:p w14:paraId="5C93DB55" w14:textId="77777777" w:rsidR="00592C29" w:rsidRDefault="00592C29" w:rsidP="00A47347">
      <w:pPr>
        <w:spacing w:line="276" w:lineRule="auto"/>
        <w:ind w:left="2160" w:hanging="2160"/>
        <w:rPr>
          <w:sz w:val="28"/>
          <w:szCs w:val="28"/>
        </w:rPr>
      </w:pPr>
    </w:p>
    <w:p w14:paraId="2F522A71" w14:textId="77777777" w:rsidR="00592C29" w:rsidRDefault="0048296D" w:rsidP="00A47347">
      <w:pPr>
        <w:spacing w:line="276" w:lineRule="auto"/>
        <w:ind w:left="2160" w:hanging="2160"/>
        <w:rPr>
          <w:sz w:val="28"/>
          <w:szCs w:val="28"/>
        </w:rPr>
      </w:pPr>
      <w:r>
        <w:rPr>
          <w:rFonts w:ascii="Trebuchet MS" w:eastAsia="Trebuchet MS" w:hAnsi="Trebuchet MS" w:cs="Trebuchet MS"/>
          <w:b/>
          <w:bCs/>
          <w:sz w:val="28"/>
          <w:szCs w:val="28"/>
        </w:rPr>
        <w:t>In respect of EEA / UK / Monaco (see above)</w:t>
      </w:r>
    </w:p>
    <w:p w14:paraId="7E32ED5D" w14:textId="77777777" w:rsidR="00592C29" w:rsidRDefault="00592C29" w:rsidP="00A47347">
      <w:pPr>
        <w:spacing w:line="276" w:lineRule="auto"/>
        <w:ind w:left="2160" w:hanging="2160"/>
        <w:rPr>
          <w:sz w:val="22"/>
          <w:szCs w:val="22"/>
        </w:rPr>
      </w:pPr>
    </w:p>
    <w:p w14:paraId="76AF74F7" w14:textId="77777777" w:rsidR="00592C29" w:rsidRDefault="0048296D" w:rsidP="00A47347">
      <w:pPr>
        <w:spacing w:line="276" w:lineRule="auto"/>
        <w:ind w:left="2160" w:hanging="2160"/>
        <w:rPr>
          <w:sz w:val="22"/>
          <w:szCs w:val="22"/>
        </w:rPr>
      </w:pPr>
      <w:r>
        <w:rPr>
          <w:rFonts w:ascii="Trebuchet MS" w:eastAsia="Trebuchet MS" w:hAnsi="Trebuchet MS" w:cs="Trebuchet MS"/>
          <w:b/>
          <w:bCs/>
          <w:sz w:val="22"/>
          <w:szCs w:val="22"/>
        </w:rPr>
        <w:t xml:space="preserve">WRITTEN </w:t>
      </w:r>
    </w:p>
    <w:p w14:paraId="4427222A" w14:textId="77777777" w:rsidR="00592C29" w:rsidRDefault="0048296D" w:rsidP="00A47347">
      <w:pPr>
        <w:spacing w:line="276" w:lineRule="auto"/>
        <w:ind w:left="2160" w:hanging="2160"/>
        <w:rPr>
          <w:sz w:val="22"/>
          <w:szCs w:val="22"/>
        </w:rPr>
      </w:pPr>
      <w:r>
        <w:rPr>
          <w:rFonts w:ascii="Trebuchet MS" w:eastAsia="Trebuchet MS" w:hAnsi="Trebuchet MS" w:cs="Trebuchet MS"/>
          <w:b/>
          <w:bCs/>
          <w:sz w:val="22"/>
          <w:szCs w:val="22"/>
        </w:rPr>
        <w:t>LINES:</w:t>
      </w:r>
    </w:p>
    <w:p w14:paraId="2C568E89" w14:textId="77777777" w:rsidR="00592C29" w:rsidRDefault="0048296D" w:rsidP="00A47347">
      <w:pPr>
        <w:spacing w:line="276" w:lineRule="auto"/>
        <w:ind w:left="2160" w:hanging="2160"/>
        <w:rPr>
          <w:sz w:val="22"/>
          <w:szCs w:val="22"/>
        </w:rPr>
      </w:pPr>
      <w:r>
        <w:rPr>
          <w:sz w:val="22"/>
          <w:szCs w:val="22"/>
        </w:rPr>
        <w:tab/>
      </w:r>
    </w:p>
    <w:tbl>
      <w:tblPr>
        <w:tblW w:w="0" w:type="auto"/>
        <w:tblInd w:w="113" w:type="dxa"/>
        <w:tblCellMar>
          <w:left w:w="0" w:type="dxa"/>
          <w:right w:w="0" w:type="dxa"/>
        </w:tblCellMar>
        <w:tblLook w:val="04A0" w:firstRow="1" w:lastRow="0" w:firstColumn="1" w:lastColumn="0" w:noHBand="0" w:noVBand="1"/>
      </w:tblPr>
      <w:tblGrid>
        <w:gridCol w:w="847"/>
        <w:gridCol w:w="429"/>
        <w:gridCol w:w="290"/>
        <w:gridCol w:w="339"/>
        <w:gridCol w:w="335"/>
        <w:gridCol w:w="335"/>
        <w:gridCol w:w="335"/>
        <w:gridCol w:w="490"/>
        <w:gridCol w:w="441"/>
        <w:gridCol w:w="441"/>
        <w:gridCol w:w="442"/>
        <w:gridCol w:w="441"/>
        <w:gridCol w:w="441"/>
        <w:gridCol w:w="1110"/>
      </w:tblGrid>
      <w:tr w:rsidR="00592C29" w14:paraId="52C92FB5" w14:textId="77777777">
        <w:trPr>
          <w:trHeight w:val="1608"/>
        </w:trPr>
        <w:tc>
          <w:tcPr>
            <w:tcW w:w="847" w:type="dxa"/>
            <w:vMerge w:val="restart"/>
            <w:tcBorders>
              <w:right w:val="single" w:sz="6" w:space="0" w:color="000000"/>
            </w:tcBorders>
            <w:tcMar>
              <w:top w:w="5" w:type="dxa"/>
              <w:left w:w="113" w:type="dxa"/>
              <w:bottom w:w="5" w:type="dxa"/>
              <w:right w:w="108" w:type="dxa"/>
            </w:tcMar>
            <w:vAlign w:val="center"/>
            <w:hideMark/>
          </w:tcPr>
          <w:p w14:paraId="0FA6D91E" w14:textId="77777777" w:rsidR="00592C29" w:rsidRDefault="0048296D" w:rsidP="00A47347">
            <w:pPr>
              <w:spacing w:line="276" w:lineRule="auto"/>
              <w:rPr>
                <w:color w:val="000000"/>
                <w:sz w:val="22"/>
                <w:szCs w:val="22"/>
              </w:rPr>
            </w:pPr>
            <w:r>
              <w:rPr>
                <w:color w:val="000000"/>
                <w:sz w:val="22"/>
                <w:szCs w:val="22"/>
              </w:rPr>
              <w:t>5%</w:t>
            </w:r>
          </w:p>
        </w:tc>
        <w:tc>
          <w:tcPr>
            <w:tcW w:w="4706" w:type="dxa"/>
            <w:gridSpan w:val="1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C2CC8DB" w14:textId="77777777" w:rsidR="00592C29" w:rsidRDefault="0048296D" w:rsidP="00A47347">
            <w:pPr>
              <w:spacing w:line="276" w:lineRule="auto"/>
              <w:rPr>
                <w:color w:val="000000"/>
                <w:sz w:val="22"/>
                <w:szCs w:val="22"/>
              </w:rPr>
            </w:pPr>
            <w:r>
              <w:rPr>
                <w:b/>
                <w:bCs/>
                <w:color w:val="000000"/>
                <w:sz w:val="22"/>
                <w:szCs w:val="22"/>
              </w:rPr>
              <w:t xml:space="preserve">Lloyd's Insurance Company S.A  </w:t>
            </w:r>
            <w:r>
              <w:rPr>
                <w:noProof/>
                <w:color w:val="000000"/>
                <w:sz w:val="22"/>
                <w:szCs w:val="22"/>
              </w:rPr>
              <w:drawing>
                <wp:inline distT="0" distB="0" distL="0" distR="0" wp14:anchorId="4CF82DB7" wp14:editId="67FEA084">
                  <wp:extent cx="457200" cy="304800"/>
                  <wp:effectExtent l="0" t="0" r="0" b="0"/>
                  <wp:docPr id="100043" name="Picture 100043" descr="https://europa.eu/european-union/sites/europaeu/files/docs/body/flag_black_white_hi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r:embed="rId37"/>
                          <a:stretch>
                            <a:fillRect/>
                          </a:stretch>
                        </pic:blipFill>
                        <pic:spPr>
                          <a:xfrm>
                            <a:off x="0" y="0"/>
                            <a:ext cx="457200" cy="304800"/>
                          </a:xfrm>
                          <a:prstGeom prst="rect">
                            <a:avLst/>
                          </a:prstGeom>
                        </pic:spPr>
                      </pic:pic>
                    </a:graphicData>
                  </a:graphic>
                </wp:inline>
              </w:drawing>
            </w:r>
          </w:p>
          <w:p w14:paraId="3D226F1F" w14:textId="77777777" w:rsidR="00592C29" w:rsidRDefault="0048296D" w:rsidP="00A47347">
            <w:pPr>
              <w:spacing w:line="276" w:lineRule="auto"/>
              <w:rPr>
                <w:color w:val="000000"/>
                <w:sz w:val="22"/>
                <w:szCs w:val="22"/>
              </w:rPr>
            </w:pPr>
            <w:r>
              <w:rPr>
                <w:b/>
                <w:bCs/>
                <w:color w:val="000000"/>
                <w:sz w:val="22"/>
                <w:szCs w:val="22"/>
              </w:rPr>
              <w:t xml:space="preserve">                                                             HIS</w:t>
            </w:r>
          </w:p>
          <w:p w14:paraId="6D0DD1E0" w14:textId="77777777" w:rsidR="00592C29" w:rsidRDefault="0048296D" w:rsidP="00A47347">
            <w:pPr>
              <w:spacing w:line="276" w:lineRule="auto"/>
              <w:ind w:left="1440"/>
              <w:rPr>
                <w:color w:val="000000"/>
                <w:sz w:val="22"/>
                <w:szCs w:val="22"/>
              </w:rPr>
            </w:pPr>
            <w:r>
              <w:rPr>
                <w:b/>
                <w:bCs/>
                <w:color w:val="000000"/>
                <w:sz w:val="22"/>
                <w:szCs w:val="22"/>
              </w:rPr>
              <w:t xml:space="preserve">                                   5299</w:t>
            </w:r>
          </w:p>
          <w:p w14:paraId="46396181" w14:textId="77777777" w:rsidR="00592C29" w:rsidRDefault="00592C29" w:rsidP="00A47347">
            <w:pPr>
              <w:spacing w:line="276" w:lineRule="auto"/>
              <w:rPr>
                <w:color w:val="000000"/>
                <w:sz w:val="22"/>
                <w:szCs w:val="22"/>
              </w:rPr>
            </w:pPr>
          </w:p>
        </w:tc>
        <w:tc>
          <w:tcPr>
            <w:tcW w:w="1110" w:type="dxa"/>
            <w:tcBorders>
              <w:left w:val="single" w:sz="6" w:space="0" w:color="000000"/>
            </w:tcBorders>
            <w:tcMar>
              <w:top w:w="5" w:type="dxa"/>
              <w:left w:w="108" w:type="dxa"/>
              <w:bottom w:w="5" w:type="dxa"/>
              <w:right w:w="113" w:type="dxa"/>
            </w:tcMar>
            <w:hideMark/>
          </w:tcPr>
          <w:p w14:paraId="225E77B1" w14:textId="77777777" w:rsidR="00592C29" w:rsidRDefault="00592C29" w:rsidP="00A47347">
            <w:pPr>
              <w:spacing w:line="276" w:lineRule="auto"/>
              <w:rPr>
                <w:color w:val="000000"/>
                <w:sz w:val="16"/>
                <w:szCs w:val="16"/>
              </w:rPr>
            </w:pPr>
          </w:p>
          <w:p w14:paraId="1D22955F" w14:textId="77777777" w:rsidR="00592C29" w:rsidRDefault="00592C29" w:rsidP="00A47347">
            <w:pPr>
              <w:spacing w:line="276" w:lineRule="auto"/>
              <w:rPr>
                <w:color w:val="000000"/>
                <w:sz w:val="16"/>
                <w:szCs w:val="16"/>
              </w:rPr>
            </w:pPr>
          </w:p>
        </w:tc>
      </w:tr>
      <w:tr w:rsidR="00592C29" w14:paraId="0BD2B00B" w14:textId="77777777">
        <w:trPr>
          <w:trHeight w:val="211"/>
        </w:trPr>
        <w:tc>
          <w:tcPr>
            <w:tcW w:w="0" w:type="auto"/>
            <w:vMerge/>
            <w:tcBorders>
              <w:right w:val="single" w:sz="6" w:space="0" w:color="000000"/>
            </w:tcBorders>
            <w:vAlign w:val="center"/>
            <w:hideMark/>
          </w:tcPr>
          <w:p w14:paraId="0B381690" w14:textId="77777777" w:rsidR="00592C29" w:rsidRDefault="00592C29" w:rsidP="00A47347">
            <w:pPr>
              <w:rPr>
                <w:color w:val="000000"/>
                <w:sz w:val="16"/>
                <w:szCs w:val="16"/>
              </w:rPr>
            </w:pPr>
          </w:p>
        </w:tc>
        <w:tc>
          <w:tcPr>
            <w:tcW w:w="429"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01C643B2" w14:textId="77777777" w:rsidR="00592C29" w:rsidRDefault="0048296D" w:rsidP="00A47347">
            <w:pPr>
              <w:spacing w:line="276" w:lineRule="auto"/>
              <w:rPr>
                <w:color w:val="000000"/>
                <w:sz w:val="22"/>
                <w:szCs w:val="22"/>
              </w:rPr>
            </w:pPr>
            <w:r>
              <w:rPr>
                <w:color w:val="000000"/>
                <w:sz w:val="22"/>
                <w:szCs w:val="22"/>
              </w:rPr>
              <w:t>H</w:t>
            </w:r>
          </w:p>
        </w:tc>
        <w:tc>
          <w:tcPr>
            <w:tcW w:w="284"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2E1FABAD" w14:textId="77777777" w:rsidR="00592C29" w:rsidRDefault="0048296D" w:rsidP="00A47347">
            <w:pPr>
              <w:spacing w:line="276" w:lineRule="auto"/>
              <w:rPr>
                <w:color w:val="000000"/>
                <w:sz w:val="22"/>
                <w:szCs w:val="22"/>
              </w:rPr>
            </w:pPr>
            <w:r>
              <w:rPr>
                <w:color w:val="000000"/>
                <w:sz w:val="22"/>
                <w:szCs w:val="22"/>
              </w:rPr>
              <w:t>I</w:t>
            </w:r>
          </w:p>
        </w:tc>
        <w:tc>
          <w:tcPr>
            <w:tcW w:w="292"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1009E58B" w14:textId="77777777" w:rsidR="00592C29" w:rsidRDefault="0048296D" w:rsidP="00A47347">
            <w:pPr>
              <w:spacing w:line="276" w:lineRule="auto"/>
              <w:rPr>
                <w:color w:val="000000"/>
                <w:sz w:val="22"/>
                <w:szCs w:val="22"/>
              </w:rPr>
            </w:pPr>
            <w:r>
              <w:rPr>
                <w:color w:val="000000"/>
                <w:sz w:val="22"/>
                <w:szCs w:val="22"/>
              </w:rPr>
              <w:t>S</w:t>
            </w:r>
          </w:p>
        </w:tc>
        <w:tc>
          <w:tcPr>
            <w:tcW w:w="33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66B7B9DE" w14:textId="77777777" w:rsidR="00592C29" w:rsidRDefault="0048296D" w:rsidP="00A47347">
            <w:pPr>
              <w:spacing w:line="276" w:lineRule="auto"/>
              <w:rPr>
                <w:color w:val="000000"/>
                <w:sz w:val="22"/>
                <w:szCs w:val="22"/>
              </w:rPr>
            </w:pPr>
            <w:r>
              <w:rPr>
                <w:color w:val="000000"/>
                <w:sz w:val="22"/>
                <w:szCs w:val="22"/>
              </w:rPr>
              <w:t>3</w:t>
            </w:r>
          </w:p>
        </w:tc>
        <w:tc>
          <w:tcPr>
            <w:tcW w:w="33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31627894" w14:textId="77777777" w:rsidR="00592C29" w:rsidRDefault="0048296D" w:rsidP="00A47347">
            <w:pPr>
              <w:spacing w:line="276" w:lineRule="auto"/>
              <w:rPr>
                <w:color w:val="000000"/>
                <w:sz w:val="22"/>
                <w:szCs w:val="22"/>
              </w:rPr>
            </w:pPr>
            <w:r>
              <w:rPr>
                <w:color w:val="000000"/>
                <w:sz w:val="22"/>
                <w:szCs w:val="22"/>
              </w:rPr>
              <w:t>5</w:t>
            </w:r>
          </w:p>
        </w:tc>
        <w:tc>
          <w:tcPr>
            <w:tcW w:w="33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29B89411" w14:textId="77777777" w:rsidR="00592C29" w:rsidRDefault="0048296D" w:rsidP="00A47347">
            <w:pPr>
              <w:spacing w:line="276" w:lineRule="auto"/>
              <w:rPr>
                <w:color w:val="000000"/>
                <w:sz w:val="22"/>
                <w:szCs w:val="22"/>
              </w:rPr>
            </w:pPr>
            <w:r>
              <w:rPr>
                <w:color w:val="000000"/>
                <w:sz w:val="22"/>
                <w:szCs w:val="22"/>
              </w:rPr>
              <w:t>5</w:t>
            </w:r>
          </w:p>
        </w:tc>
        <w:tc>
          <w:tcPr>
            <w:tcW w:w="490"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291522E6" w14:textId="77777777" w:rsidR="00592C29" w:rsidRDefault="0048296D" w:rsidP="00A47347">
            <w:pPr>
              <w:spacing w:line="276" w:lineRule="auto"/>
              <w:rPr>
                <w:color w:val="000000"/>
                <w:sz w:val="22"/>
                <w:szCs w:val="22"/>
              </w:rPr>
            </w:pPr>
            <w:r>
              <w:rPr>
                <w:color w:val="000000"/>
                <w:sz w:val="22"/>
                <w:szCs w:val="22"/>
              </w:rPr>
              <w:t>3</w:t>
            </w:r>
          </w:p>
        </w:tc>
        <w:tc>
          <w:tcPr>
            <w:tcW w:w="4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2AE8996A" w14:textId="77777777" w:rsidR="00592C29" w:rsidRDefault="0048296D" w:rsidP="00A47347">
            <w:pPr>
              <w:spacing w:line="276" w:lineRule="auto"/>
              <w:rPr>
                <w:color w:val="000000"/>
                <w:sz w:val="22"/>
                <w:szCs w:val="22"/>
              </w:rPr>
            </w:pPr>
            <w:r>
              <w:rPr>
                <w:color w:val="000000"/>
                <w:sz w:val="22"/>
                <w:szCs w:val="22"/>
              </w:rPr>
              <w:t>A</w:t>
            </w:r>
          </w:p>
        </w:tc>
        <w:tc>
          <w:tcPr>
            <w:tcW w:w="4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38523267" w14:textId="77777777" w:rsidR="00592C29" w:rsidRDefault="0048296D" w:rsidP="00A47347">
            <w:pPr>
              <w:spacing w:line="276" w:lineRule="auto"/>
              <w:rPr>
                <w:color w:val="000000"/>
                <w:sz w:val="22"/>
                <w:szCs w:val="22"/>
              </w:rPr>
            </w:pPr>
            <w:r>
              <w:rPr>
                <w:color w:val="000000"/>
                <w:sz w:val="22"/>
                <w:szCs w:val="22"/>
              </w:rPr>
              <w:t>B</w:t>
            </w:r>
          </w:p>
        </w:tc>
        <w:tc>
          <w:tcPr>
            <w:tcW w:w="442"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44646A6A" w14:textId="77777777" w:rsidR="00592C29" w:rsidRDefault="0048296D" w:rsidP="00A47347">
            <w:pPr>
              <w:spacing w:line="276" w:lineRule="auto"/>
              <w:rPr>
                <w:color w:val="000000"/>
                <w:sz w:val="22"/>
                <w:szCs w:val="22"/>
              </w:rPr>
            </w:pPr>
            <w:r>
              <w:rPr>
                <w:color w:val="000000"/>
                <w:sz w:val="22"/>
                <w:szCs w:val="22"/>
              </w:rPr>
              <w:t>2</w:t>
            </w:r>
          </w:p>
        </w:tc>
        <w:tc>
          <w:tcPr>
            <w:tcW w:w="4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B534BE8" w14:textId="77777777" w:rsidR="00592C29" w:rsidRDefault="0048296D" w:rsidP="00A47347">
            <w:pPr>
              <w:spacing w:line="276" w:lineRule="auto"/>
              <w:rPr>
                <w:color w:val="000000"/>
                <w:sz w:val="22"/>
                <w:szCs w:val="22"/>
              </w:rPr>
            </w:pPr>
            <w:r>
              <w:rPr>
                <w:color w:val="000000"/>
                <w:sz w:val="22"/>
                <w:szCs w:val="22"/>
              </w:rPr>
              <w:t>4</w:t>
            </w:r>
          </w:p>
        </w:tc>
        <w:tc>
          <w:tcPr>
            <w:tcW w:w="4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2593F699" w14:textId="77777777" w:rsidR="00592C29" w:rsidRDefault="0048296D" w:rsidP="00A47347">
            <w:pPr>
              <w:spacing w:line="276" w:lineRule="auto"/>
              <w:rPr>
                <w:color w:val="000000"/>
                <w:sz w:val="22"/>
                <w:szCs w:val="22"/>
              </w:rPr>
            </w:pPr>
            <w:r>
              <w:rPr>
                <w:color w:val="000000"/>
                <w:sz w:val="22"/>
                <w:szCs w:val="22"/>
              </w:rPr>
              <w:t>1</w:t>
            </w:r>
          </w:p>
        </w:tc>
        <w:tc>
          <w:tcPr>
            <w:tcW w:w="1110" w:type="dxa"/>
            <w:tcBorders>
              <w:left w:val="single" w:sz="6" w:space="0" w:color="000000"/>
            </w:tcBorders>
            <w:tcMar>
              <w:top w:w="5" w:type="dxa"/>
              <w:left w:w="108" w:type="dxa"/>
              <w:bottom w:w="5" w:type="dxa"/>
              <w:right w:w="113" w:type="dxa"/>
            </w:tcMar>
          </w:tcPr>
          <w:p w14:paraId="386813F7" w14:textId="77777777" w:rsidR="00592C29" w:rsidRDefault="00592C29" w:rsidP="00A47347">
            <w:pPr>
              <w:spacing w:line="276" w:lineRule="auto"/>
              <w:rPr>
                <w:color w:val="000000"/>
                <w:sz w:val="22"/>
                <w:szCs w:val="22"/>
              </w:rPr>
            </w:pPr>
          </w:p>
        </w:tc>
      </w:tr>
      <w:tr w:rsidR="00592C29" w14:paraId="079704CB" w14:textId="77777777">
        <w:trPr>
          <w:trHeight w:val="150"/>
        </w:trPr>
        <w:tc>
          <w:tcPr>
            <w:tcW w:w="0" w:type="auto"/>
            <w:vMerge/>
            <w:tcBorders>
              <w:right w:val="single" w:sz="6" w:space="0" w:color="000000"/>
            </w:tcBorders>
            <w:vAlign w:val="center"/>
            <w:hideMark/>
          </w:tcPr>
          <w:p w14:paraId="2CB84A26" w14:textId="77777777" w:rsidR="00592C29" w:rsidRDefault="00592C29" w:rsidP="00A47347">
            <w:pPr>
              <w:rPr>
                <w:color w:val="000000"/>
                <w:sz w:val="22"/>
                <w:szCs w:val="22"/>
              </w:rPr>
            </w:pPr>
          </w:p>
        </w:tc>
        <w:tc>
          <w:tcPr>
            <w:tcW w:w="4706" w:type="dxa"/>
            <w:gridSpan w:val="1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35015777" w14:textId="77777777" w:rsidR="00592C29" w:rsidRDefault="0048296D" w:rsidP="00A47347">
            <w:pPr>
              <w:spacing w:line="276" w:lineRule="auto"/>
              <w:rPr>
                <w:color w:val="000000"/>
                <w:sz w:val="22"/>
                <w:szCs w:val="22"/>
              </w:rPr>
            </w:pPr>
            <w:r>
              <w:rPr>
                <w:color w:val="000000"/>
                <w:sz w:val="22"/>
                <w:szCs w:val="22"/>
              </w:rPr>
              <w:t xml:space="preserve">Reinsured by Lloyd’s syndicate HIS 033 </w:t>
            </w:r>
            <w:r>
              <w:rPr>
                <w:noProof/>
                <w:color w:val="000000"/>
                <w:sz w:val="22"/>
                <w:szCs w:val="22"/>
              </w:rPr>
              <w:drawing>
                <wp:inline distT="0" distB="0" distL="0" distR="0" wp14:anchorId="2E60DC65" wp14:editId="54F3CC82">
                  <wp:extent cx="209550" cy="247650"/>
                  <wp:effectExtent l="0" t="0" r="0" b="0"/>
                  <wp:docPr id="100045" name="Picture 100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r:embed="rId38"/>
                          <a:stretch>
                            <a:fillRect/>
                          </a:stretch>
                        </pic:blipFill>
                        <pic:spPr>
                          <a:xfrm>
                            <a:off x="0" y="0"/>
                            <a:ext cx="209550" cy="247650"/>
                          </a:xfrm>
                          <a:prstGeom prst="rect">
                            <a:avLst/>
                          </a:prstGeom>
                        </pic:spPr>
                      </pic:pic>
                    </a:graphicData>
                  </a:graphic>
                </wp:inline>
              </w:drawing>
            </w:r>
          </w:p>
        </w:tc>
        <w:tc>
          <w:tcPr>
            <w:tcW w:w="1110" w:type="dxa"/>
            <w:tcBorders>
              <w:left w:val="single" w:sz="6" w:space="0" w:color="000000"/>
            </w:tcBorders>
            <w:tcMar>
              <w:top w:w="5" w:type="dxa"/>
              <w:left w:w="108" w:type="dxa"/>
              <w:bottom w:w="5" w:type="dxa"/>
              <w:right w:w="113" w:type="dxa"/>
            </w:tcMar>
          </w:tcPr>
          <w:p w14:paraId="0F854AE6" w14:textId="77777777" w:rsidR="00592C29" w:rsidRDefault="00592C29" w:rsidP="00A47347">
            <w:pPr>
              <w:spacing w:line="276" w:lineRule="auto"/>
              <w:rPr>
                <w:color w:val="000000"/>
                <w:sz w:val="22"/>
                <w:szCs w:val="22"/>
              </w:rPr>
            </w:pPr>
          </w:p>
        </w:tc>
      </w:tr>
    </w:tbl>
    <w:p w14:paraId="479F8BCE" w14:textId="77777777" w:rsidR="00592C29" w:rsidRDefault="00592C29" w:rsidP="00A47347">
      <w:pPr>
        <w:spacing w:line="276" w:lineRule="auto"/>
        <w:rPr>
          <w:sz w:val="22"/>
          <w:szCs w:val="22"/>
        </w:rPr>
      </w:pPr>
    </w:p>
    <w:tbl>
      <w:tblPr>
        <w:tblW w:w="0" w:type="auto"/>
        <w:tblInd w:w="113" w:type="dxa"/>
        <w:tblCellMar>
          <w:left w:w="0" w:type="dxa"/>
          <w:right w:w="0" w:type="dxa"/>
        </w:tblCellMar>
        <w:tblLook w:val="04A0" w:firstRow="1" w:lastRow="0" w:firstColumn="1" w:lastColumn="0" w:noHBand="0" w:noVBand="1"/>
      </w:tblPr>
      <w:tblGrid>
        <w:gridCol w:w="847"/>
        <w:gridCol w:w="351"/>
        <w:gridCol w:w="375"/>
        <w:gridCol w:w="351"/>
        <w:gridCol w:w="335"/>
        <w:gridCol w:w="335"/>
        <w:gridCol w:w="335"/>
        <w:gridCol w:w="490"/>
        <w:gridCol w:w="441"/>
        <w:gridCol w:w="441"/>
        <w:gridCol w:w="442"/>
        <w:gridCol w:w="441"/>
        <w:gridCol w:w="441"/>
        <w:gridCol w:w="735"/>
        <w:gridCol w:w="1083"/>
      </w:tblGrid>
      <w:tr w:rsidR="00592C29" w14:paraId="091BE25F" w14:textId="77777777" w:rsidTr="00A47347">
        <w:trPr>
          <w:trHeight w:val="1608"/>
        </w:trPr>
        <w:tc>
          <w:tcPr>
            <w:tcW w:w="847" w:type="dxa"/>
            <w:vMerge w:val="restart"/>
            <w:tcBorders>
              <w:right w:val="single" w:sz="6" w:space="0" w:color="000000"/>
            </w:tcBorders>
            <w:tcMar>
              <w:top w:w="5" w:type="dxa"/>
              <w:left w:w="113" w:type="dxa"/>
              <w:bottom w:w="5" w:type="dxa"/>
              <w:right w:w="108" w:type="dxa"/>
            </w:tcMar>
            <w:vAlign w:val="center"/>
            <w:hideMark/>
          </w:tcPr>
          <w:p w14:paraId="311C4674" w14:textId="77777777" w:rsidR="00592C29" w:rsidRDefault="0048296D" w:rsidP="00A47347">
            <w:pPr>
              <w:spacing w:line="276" w:lineRule="auto"/>
              <w:rPr>
                <w:color w:val="000000"/>
                <w:sz w:val="22"/>
                <w:szCs w:val="22"/>
              </w:rPr>
            </w:pPr>
            <w:r>
              <w:rPr>
                <w:color w:val="000000"/>
                <w:sz w:val="22"/>
                <w:szCs w:val="22"/>
              </w:rPr>
              <w:t>20%</w:t>
            </w:r>
          </w:p>
        </w:tc>
        <w:tc>
          <w:tcPr>
            <w:tcW w:w="4778" w:type="dxa"/>
            <w:gridSpan w:val="1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194425B5" w14:textId="77777777" w:rsidR="00592C29" w:rsidRDefault="0048296D" w:rsidP="00A47347">
            <w:pPr>
              <w:spacing w:line="276" w:lineRule="auto"/>
              <w:rPr>
                <w:color w:val="000000"/>
                <w:sz w:val="22"/>
                <w:szCs w:val="22"/>
              </w:rPr>
            </w:pPr>
            <w:r>
              <w:rPr>
                <w:b/>
                <w:bCs/>
                <w:color w:val="000000"/>
                <w:sz w:val="22"/>
                <w:szCs w:val="22"/>
              </w:rPr>
              <w:t xml:space="preserve">Lloyd's Insurance Company S.A  </w:t>
            </w:r>
            <w:r>
              <w:rPr>
                <w:noProof/>
                <w:color w:val="000000"/>
                <w:sz w:val="22"/>
                <w:szCs w:val="22"/>
              </w:rPr>
              <w:drawing>
                <wp:inline distT="0" distB="0" distL="0" distR="0" wp14:anchorId="27F96B73" wp14:editId="269BD48D">
                  <wp:extent cx="457200" cy="304800"/>
                  <wp:effectExtent l="0" t="0" r="0" b="0"/>
                  <wp:docPr id="100047" name="Picture 100047" descr="https://europa.eu/european-union/sites/europaeu/files/docs/body/flag_black_white_hi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r:embed="rId37"/>
                          <a:stretch>
                            <a:fillRect/>
                          </a:stretch>
                        </pic:blipFill>
                        <pic:spPr>
                          <a:xfrm>
                            <a:off x="0" y="0"/>
                            <a:ext cx="457200" cy="304800"/>
                          </a:xfrm>
                          <a:prstGeom prst="rect">
                            <a:avLst/>
                          </a:prstGeom>
                        </pic:spPr>
                      </pic:pic>
                    </a:graphicData>
                  </a:graphic>
                </wp:inline>
              </w:drawing>
            </w:r>
          </w:p>
          <w:p w14:paraId="66673D09" w14:textId="77777777" w:rsidR="00592C29" w:rsidRDefault="0048296D" w:rsidP="00A47347">
            <w:pPr>
              <w:spacing w:line="276" w:lineRule="auto"/>
              <w:rPr>
                <w:color w:val="000000"/>
                <w:sz w:val="22"/>
                <w:szCs w:val="22"/>
              </w:rPr>
            </w:pPr>
            <w:r>
              <w:rPr>
                <w:b/>
                <w:bCs/>
                <w:color w:val="000000"/>
                <w:sz w:val="22"/>
                <w:szCs w:val="22"/>
              </w:rPr>
              <w:t xml:space="preserve">                                                            TAL</w:t>
            </w:r>
          </w:p>
          <w:p w14:paraId="219D6986" w14:textId="77777777" w:rsidR="00592C29" w:rsidRDefault="0048296D" w:rsidP="00A47347">
            <w:pPr>
              <w:spacing w:line="276" w:lineRule="auto"/>
              <w:ind w:left="1440"/>
              <w:rPr>
                <w:color w:val="000000"/>
                <w:sz w:val="22"/>
                <w:szCs w:val="22"/>
              </w:rPr>
            </w:pPr>
            <w:r>
              <w:rPr>
                <w:b/>
                <w:bCs/>
                <w:color w:val="000000"/>
                <w:sz w:val="22"/>
                <w:szCs w:val="22"/>
              </w:rPr>
              <w:t xml:space="preserve">                                  5318</w:t>
            </w:r>
          </w:p>
          <w:p w14:paraId="2EE5F8B2" w14:textId="77777777" w:rsidR="00592C29" w:rsidRDefault="00592C29" w:rsidP="00A47347">
            <w:pPr>
              <w:spacing w:line="276" w:lineRule="auto"/>
              <w:rPr>
                <w:color w:val="000000"/>
                <w:sz w:val="22"/>
                <w:szCs w:val="22"/>
              </w:rPr>
            </w:pPr>
          </w:p>
        </w:tc>
        <w:tc>
          <w:tcPr>
            <w:tcW w:w="1818" w:type="dxa"/>
            <w:gridSpan w:val="2"/>
            <w:tcBorders>
              <w:left w:val="single" w:sz="6" w:space="0" w:color="000000"/>
            </w:tcBorders>
            <w:tcMar>
              <w:top w:w="5" w:type="dxa"/>
              <w:left w:w="108" w:type="dxa"/>
              <w:bottom w:w="5" w:type="dxa"/>
              <w:right w:w="113" w:type="dxa"/>
            </w:tcMar>
            <w:hideMark/>
          </w:tcPr>
          <w:p w14:paraId="47829549" w14:textId="77777777" w:rsidR="00592C29" w:rsidRDefault="00592C29" w:rsidP="00A47347">
            <w:pPr>
              <w:spacing w:line="276" w:lineRule="auto"/>
              <w:rPr>
                <w:color w:val="000000"/>
                <w:sz w:val="16"/>
                <w:szCs w:val="16"/>
              </w:rPr>
            </w:pPr>
          </w:p>
          <w:p w14:paraId="77A5FC70" w14:textId="77777777" w:rsidR="00592C29" w:rsidRDefault="00592C29" w:rsidP="00A47347">
            <w:pPr>
              <w:spacing w:line="276" w:lineRule="auto"/>
              <w:rPr>
                <w:color w:val="000000"/>
                <w:sz w:val="16"/>
                <w:szCs w:val="16"/>
              </w:rPr>
            </w:pPr>
          </w:p>
          <w:p w14:paraId="35D25C9C" w14:textId="77777777" w:rsidR="00592C29" w:rsidRDefault="00592C29" w:rsidP="00A47347">
            <w:pPr>
              <w:spacing w:line="276" w:lineRule="auto"/>
              <w:rPr>
                <w:color w:val="000000"/>
                <w:sz w:val="16"/>
                <w:szCs w:val="16"/>
              </w:rPr>
            </w:pPr>
          </w:p>
          <w:p w14:paraId="62379354" w14:textId="77777777" w:rsidR="00592C29" w:rsidRDefault="00592C29" w:rsidP="00A47347">
            <w:pPr>
              <w:spacing w:line="276" w:lineRule="auto"/>
              <w:rPr>
                <w:color w:val="000000"/>
                <w:sz w:val="16"/>
                <w:szCs w:val="16"/>
              </w:rPr>
            </w:pPr>
          </w:p>
        </w:tc>
      </w:tr>
      <w:tr w:rsidR="00592C29" w14:paraId="6FF8BBE3" w14:textId="77777777" w:rsidTr="00A47347">
        <w:trPr>
          <w:trHeight w:val="333"/>
        </w:trPr>
        <w:tc>
          <w:tcPr>
            <w:tcW w:w="0" w:type="auto"/>
            <w:vMerge/>
            <w:tcBorders>
              <w:right w:val="single" w:sz="6" w:space="0" w:color="000000"/>
            </w:tcBorders>
            <w:vAlign w:val="center"/>
            <w:hideMark/>
          </w:tcPr>
          <w:p w14:paraId="0DC81CB9" w14:textId="77777777" w:rsidR="00592C29" w:rsidRDefault="00592C29" w:rsidP="00A47347">
            <w:pPr>
              <w:rPr>
                <w:color w:val="000000"/>
                <w:sz w:val="16"/>
                <w:szCs w:val="16"/>
              </w:rPr>
            </w:pPr>
          </w:p>
        </w:tc>
        <w:tc>
          <w:tcPr>
            <w:tcW w:w="35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102A040" w14:textId="77777777" w:rsidR="00592C29" w:rsidRDefault="0048296D" w:rsidP="00A47347">
            <w:pPr>
              <w:spacing w:line="276" w:lineRule="auto"/>
              <w:rPr>
                <w:color w:val="000000"/>
                <w:sz w:val="22"/>
                <w:szCs w:val="22"/>
              </w:rPr>
            </w:pPr>
            <w:r>
              <w:rPr>
                <w:color w:val="000000"/>
                <w:sz w:val="22"/>
                <w:szCs w:val="22"/>
              </w:rPr>
              <w:t>T</w:t>
            </w:r>
          </w:p>
        </w:tc>
        <w:tc>
          <w:tcPr>
            <w:tcW w:w="37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6CCA962F" w14:textId="77777777" w:rsidR="00592C29" w:rsidRDefault="0048296D" w:rsidP="00A47347">
            <w:pPr>
              <w:spacing w:line="276" w:lineRule="auto"/>
              <w:rPr>
                <w:color w:val="000000"/>
                <w:sz w:val="22"/>
                <w:szCs w:val="22"/>
              </w:rPr>
            </w:pPr>
            <w:r>
              <w:rPr>
                <w:color w:val="000000"/>
                <w:sz w:val="22"/>
                <w:szCs w:val="22"/>
              </w:rPr>
              <w:t>A</w:t>
            </w:r>
          </w:p>
        </w:tc>
        <w:tc>
          <w:tcPr>
            <w:tcW w:w="35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32F0683C" w14:textId="77777777" w:rsidR="00592C29" w:rsidRDefault="0048296D" w:rsidP="00A47347">
            <w:pPr>
              <w:spacing w:line="276" w:lineRule="auto"/>
              <w:rPr>
                <w:color w:val="000000"/>
                <w:sz w:val="22"/>
                <w:szCs w:val="22"/>
              </w:rPr>
            </w:pPr>
            <w:r>
              <w:rPr>
                <w:color w:val="000000"/>
                <w:sz w:val="22"/>
                <w:szCs w:val="22"/>
              </w:rPr>
              <w:t>L</w:t>
            </w:r>
          </w:p>
        </w:tc>
        <w:tc>
          <w:tcPr>
            <w:tcW w:w="33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4BDB93A6" w14:textId="77777777" w:rsidR="00592C29" w:rsidRDefault="0048296D" w:rsidP="00A47347">
            <w:pPr>
              <w:spacing w:line="276" w:lineRule="auto"/>
              <w:rPr>
                <w:color w:val="000000"/>
                <w:sz w:val="22"/>
                <w:szCs w:val="22"/>
              </w:rPr>
            </w:pPr>
            <w:r>
              <w:rPr>
                <w:color w:val="000000"/>
                <w:sz w:val="22"/>
                <w:szCs w:val="22"/>
              </w:rPr>
              <w:t>5</w:t>
            </w:r>
          </w:p>
        </w:tc>
        <w:tc>
          <w:tcPr>
            <w:tcW w:w="33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41BC1694" w14:textId="77777777" w:rsidR="00592C29" w:rsidRDefault="0048296D" w:rsidP="00A47347">
            <w:pPr>
              <w:spacing w:line="276" w:lineRule="auto"/>
              <w:rPr>
                <w:color w:val="000000"/>
                <w:sz w:val="22"/>
                <w:szCs w:val="22"/>
              </w:rPr>
            </w:pPr>
            <w:r>
              <w:rPr>
                <w:color w:val="000000"/>
                <w:sz w:val="22"/>
                <w:szCs w:val="22"/>
              </w:rPr>
              <w:t>3</w:t>
            </w:r>
          </w:p>
        </w:tc>
        <w:tc>
          <w:tcPr>
            <w:tcW w:w="33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67BB0C59" w14:textId="77777777" w:rsidR="00592C29" w:rsidRDefault="0048296D" w:rsidP="00A47347">
            <w:pPr>
              <w:spacing w:line="276" w:lineRule="auto"/>
              <w:rPr>
                <w:color w:val="000000"/>
                <w:sz w:val="22"/>
                <w:szCs w:val="22"/>
              </w:rPr>
            </w:pPr>
            <w:r>
              <w:rPr>
                <w:color w:val="000000"/>
                <w:sz w:val="22"/>
                <w:szCs w:val="22"/>
              </w:rPr>
              <w:t>3</w:t>
            </w:r>
          </w:p>
        </w:tc>
        <w:tc>
          <w:tcPr>
            <w:tcW w:w="490"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0DD59158" w14:textId="77777777" w:rsidR="00592C29" w:rsidRDefault="0048296D" w:rsidP="00A47347">
            <w:pPr>
              <w:spacing w:line="276" w:lineRule="auto"/>
              <w:rPr>
                <w:color w:val="000000"/>
                <w:sz w:val="22"/>
                <w:szCs w:val="22"/>
              </w:rPr>
            </w:pPr>
            <w:r>
              <w:rPr>
                <w:color w:val="000000"/>
                <w:sz w:val="22"/>
                <w:szCs w:val="22"/>
              </w:rPr>
              <w:t>5</w:t>
            </w:r>
          </w:p>
        </w:tc>
        <w:tc>
          <w:tcPr>
            <w:tcW w:w="4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5359CBB" w14:textId="77777777" w:rsidR="00592C29" w:rsidRDefault="0048296D" w:rsidP="00A47347">
            <w:pPr>
              <w:spacing w:line="276" w:lineRule="auto"/>
              <w:rPr>
                <w:color w:val="000000"/>
                <w:sz w:val="22"/>
                <w:szCs w:val="22"/>
              </w:rPr>
            </w:pPr>
            <w:r>
              <w:rPr>
                <w:color w:val="000000"/>
                <w:sz w:val="22"/>
                <w:szCs w:val="22"/>
              </w:rPr>
              <w:t>A</w:t>
            </w:r>
          </w:p>
        </w:tc>
        <w:tc>
          <w:tcPr>
            <w:tcW w:w="4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04CAA1E1" w14:textId="77777777" w:rsidR="00592C29" w:rsidRDefault="0048296D" w:rsidP="00A47347">
            <w:pPr>
              <w:spacing w:line="276" w:lineRule="auto"/>
              <w:rPr>
                <w:color w:val="000000"/>
                <w:sz w:val="22"/>
                <w:szCs w:val="22"/>
              </w:rPr>
            </w:pPr>
            <w:r>
              <w:rPr>
                <w:color w:val="000000"/>
                <w:sz w:val="22"/>
                <w:szCs w:val="22"/>
              </w:rPr>
              <w:t>B</w:t>
            </w:r>
          </w:p>
        </w:tc>
        <w:tc>
          <w:tcPr>
            <w:tcW w:w="442"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6CB0F673" w14:textId="77777777" w:rsidR="00592C29" w:rsidRDefault="0048296D" w:rsidP="00A47347">
            <w:pPr>
              <w:spacing w:line="276" w:lineRule="auto"/>
              <w:rPr>
                <w:color w:val="000000"/>
                <w:sz w:val="22"/>
                <w:szCs w:val="22"/>
              </w:rPr>
            </w:pPr>
            <w:r>
              <w:rPr>
                <w:color w:val="000000"/>
                <w:sz w:val="22"/>
                <w:szCs w:val="22"/>
              </w:rPr>
              <w:t>2</w:t>
            </w:r>
          </w:p>
        </w:tc>
        <w:tc>
          <w:tcPr>
            <w:tcW w:w="4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BEB7F14" w14:textId="77777777" w:rsidR="00592C29" w:rsidRDefault="0048296D" w:rsidP="00A47347">
            <w:pPr>
              <w:spacing w:line="276" w:lineRule="auto"/>
              <w:rPr>
                <w:color w:val="000000"/>
                <w:sz w:val="22"/>
                <w:szCs w:val="22"/>
              </w:rPr>
            </w:pPr>
            <w:r>
              <w:rPr>
                <w:color w:val="000000"/>
                <w:sz w:val="22"/>
                <w:szCs w:val="22"/>
              </w:rPr>
              <w:t>4</w:t>
            </w:r>
          </w:p>
        </w:tc>
        <w:tc>
          <w:tcPr>
            <w:tcW w:w="4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74771248" w14:textId="77777777" w:rsidR="00592C29" w:rsidRDefault="0048296D" w:rsidP="00A47347">
            <w:pPr>
              <w:spacing w:line="276" w:lineRule="auto"/>
              <w:rPr>
                <w:color w:val="000000"/>
                <w:sz w:val="22"/>
                <w:szCs w:val="22"/>
              </w:rPr>
            </w:pPr>
            <w:r>
              <w:rPr>
                <w:color w:val="000000"/>
                <w:sz w:val="22"/>
                <w:szCs w:val="22"/>
              </w:rPr>
              <w:t>1</w:t>
            </w:r>
          </w:p>
        </w:tc>
        <w:tc>
          <w:tcPr>
            <w:tcW w:w="735" w:type="dxa"/>
            <w:tcBorders>
              <w:left w:val="single" w:sz="6" w:space="0" w:color="000000"/>
            </w:tcBorders>
            <w:tcMar>
              <w:top w:w="5" w:type="dxa"/>
              <w:left w:w="108" w:type="dxa"/>
              <w:bottom w:w="5" w:type="dxa"/>
              <w:right w:w="113" w:type="dxa"/>
            </w:tcMar>
          </w:tcPr>
          <w:p w14:paraId="17054334" w14:textId="77777777" w:rsidR="00592C29" w:rsidRDefault="00592C29" w:rsidP="00A47347">
            <w:pPr>
              <w:spacing w:line="276" w:lineRule="auto"/>
              <w:rPr>
                <w:color w:val="000000"/>
                <w:sz w:val="22"/>
                <w:szCs w:val="22"/>
              </w:rPr>
            </w:pPr>
          </w:p>
        </w:tc>
        <w:tc>
          <w:tcPr>
            <w:tcW w:w="0" w:type="auto"/>
            <w:tcMar>
              <w:top w:w="5" w:type="dxa"/>
              <w:left w:w="5" w:type="dxa"/>
              <w:bottom w:w="5" w:type="dxa"/>
              <w:right w:w="5" w:type="dxa"/>
            </w:tcMar>
            <w:hideMark/>
          </w:tcPr>
          <w:p w14:paraId="3FEFDCDC" w14:textId="77777777" w:rsidR="00592C29" w:rsidRDefault="00592C29" w:rsidP="00A47347">
            <w:pPr>
              <w:rPr>
                <w:color w:val="000000"/>
              </w:rPr>
            </w:pPr>
          </w:p>
        </w:tc>
      </w:tr>
      <w:tr w:rsidR="00592C29" w14:paraId="20D8B514" w14:textId="77777777" w:rsidTr="00A47347">
        <w:trPr>
          <w:trHeight w:val="150"/>
        </w:trPr>
        <w:tc>
          <w:tcPr>
            <w:tcW w:w="0" w:type="auto"/>
            <w:vMerge/>
            <w:tcBorders>
              <w:right w:val="single" w:sz="6" w:space="0" w:color="000000"/>
            </w:tcBorders>
            <w:vAlign w:val="center"/>
            <w:hideMark/>
          </w:tcPr>
          <w:p w14:paraId="344CD6BF" w14:textId="77777777" w:rsidR="00592C29" w:rsidRDefault="00592C29" w:rsidP="00A47347">
            <w:pPr>
              <w:rPr>
                <w:color w:val="000000"/>
              </w:rPr>
            </w:pPr>
          </w:p>
        </w:tc>
        <w:tc>
          <w:tcPr>
            <w:tcW w:w="4778" w:type="dxa"/>
            <w:gridSpan w:val="1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02D72ACB" w14:textId="77777777" w:rsidR="00592C29" w:rsidRDefault="0048296D" w:rsidP="00A47347">
            <w:pPr>
              <w:spacing w:line="276" w:lineRule="auto"/>
              <w:rPr>
                <w:color w:val="000000"/>
                <w:sz w:val="22"/>
                <w:szCs w:val="22"/>
              </w:rPr>
            </w:pPr>
            <w:r>
              <w:rPr>
                <w:color w:val="000000"/>
                <w:sz w:val="22"/>
                <w:szCs w:val="22"/>
              </w:rPr>
              <w:t xml:space="preserve">Reinsured by Lloyd’s syndicate TAL 1183 </w:t>
            </w:r>
            <w:r>
              <w:rPr>
                <w:noProof/>
                <w:color w:val="000000"/>
                <w:sz w:val="22"/>
                <w:szCs w:val="22"/>
              </w:rPr>
              <w:drawing>
                <wp:inline distT="0" distB="0" distL="0" distR="0" wp14:anchorId="4335DA6C" wp14:editId="040939BB">
                  <wp:extent cx="209550" cy="247650"/>
                  <wp:effectExtent l="0" t="0" r="0" b="0"/>
                  <wp:docPr id="100049" name="Picture 10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r:embed="rId38"/>
                          <a:stretch>
                            <a:fillRect/>
                          </a:stretch>
                        </pic:blipFill>
                        <pic:spPr>
                          <a:xfrm>
                            <a:off x="0" y="0"/>
                            <a:ext cx="209550" cy="247650"/>
                          </a:xfrm>
                          <a:prstGeom prst="rect">
                            <a:avLst/>
                          </a:prstGeom>
                        </pic:spPr>
                      </pic:pic>
                    </a:graphicData>
                  </a:graphic>
                </wp:inline>
              </w:drawing>
            </w:r>
          </w:p>
        </w:tc>
        <w:tc>
          <w:tcPr>
            <w:tcW w:w="735" w:type="dxa"/>
            <w:tcBorders>
              <w:left w:val="single" w:sz="6" w:space="0" w:color="000000"/>
            </w:tcBorders>
            <w:tcMar>
              <w:top w:w="5" w:type="dxa"/>
              <w:left w:w="108" w:type="dxa"/>
              <w:bottom w:w="5" w:type="dxa"/>
              <w:right w:w="113" w:type="dxa"/>
            </w:tcMar>
          </w:tcPr>
          <w:p w14:paraId="13915337" w14:textId="77777777" w:rsidR="00592C29" w:rsidRDefault="00592C29" w:rsidP="00A47347">
            <w:pPr>
              <w:spacing w:line="276" w:lineRule="auto"/>
              <w:rPr>
                <w:color w:val="000000"/>
                <w:sz w:val="22"/>
                <w:szCs w:val="22"/>
              </w:rPr>
            </w:pPr>
          </w:p>
        </w:tc>
        <w:tc>
          <w:tcPr>
            <w:tcW w:w="0" w:type="auto"/>
            <w:tcMar>
              <w:top w:w="5" w:type="dxa"/>
              <w:left w:w="5" w:type="dxa"/>
              <w:bottom w:w="5" w:type="dxa"/>
              <w:right w:w="5" w:type="dxa"/>
            </w:tcMar>
            <w:hideMark/>
          </w:tcPr>
          <w:p w14:paraId="49321191" w14:textId="77777777" w:rsidR="00592C29" w:rsidRDefault="00592C29" w:rsidP="00A47347">
            <w:pPr>
              <w:rPr>
                <w:color w:val="000000"/>
              </w:rPr>
            </w:pPr>
          </w:p>
        </w:tc>
      </w:tr>
    </w:tbl>
    <w:p w14:paraId="34A78C18" w14:textId="77777777" w:rsidR="00592C29" w:rsidRDefault="00592C29" w:rsidP="00A47347">
      <w:pPr>
        <w:spacing w:line="276" w:lineRule="auto"/>
      </w:pPr>
    </w:p>
    <w:p w14:paraId="5DE82184" w14:textId="77777777" w:rsidR="00592C29" w:rsidRDefault="00592C29" w:rsidP="00A47347">
      <w:pPr>
        <w:spacing w:line="276" w:lineRule="auto"/>
        <w:rPr>
          <w:sz w:val="22"/>
          <w:szCs w:val="22"/>
        </w:rPr>
      </w:pPr>
    </w:p>
    <w:p w14:paraId="2D5AC036" w14:textId="77777777" w:rsidR="00592C29" w:rsidRDefault="0048296D" w:rsidP="00A47347">
      <w:pPr>
        <w:spacing w:line="276" w:lineRule="auto"/>
        <w:ind w:left="2160" w:hanging="2160"/>
        <w:rPr>
          <w:sz w:val="28"/>
          <w:szCs w:val="28"/>
        </w:rPr>
      </w:pPr>
      <w:r>
        <w:rPr>
          <w:rFonts w:ascii="Trebuchet MS" w:eastAsia="Trebuchet MS" w:hAnsi="Trebuchet MS" w:cs="Trebuchet MS"/>
          <w:b/>
          <w:bCs/>
          <w:sz w:val="28"/>
          <w:szCs w:val="28"/>
        </w:rPr>
        <w:t>Section 4</w:t>
      </w:r>
    </w:p>
    <w:p w14:paraId="0D8CA9BE" w14:textId="77777777" w:rsidR="00592C29" w:rsidRDefault="00592C29" w:rsidP="00A47347">
      <w:pPr>
        <w:spacing w:line="276" w:lineRule="auto"/>
        <w:rPr>
          <w:sz w:val="28"/>
          <w:szCs w:val="28"/>
        </w:rPr>
      </w:pPr>
    </w:p>
    <w:p w14:paraId="6858947F" w14:textId="77777777" w:rsidR="00592C29" w:rsidRDefault="0048296D" w:rsidP="00A47347">
      <w:pPr>
        <w:spacing w:line="276" w:lineRule="auto"/>
        <w:rPr>
          <w:sz w:val="28"/>
          <w:szCs w:val="28"/>
        </w:rPr>
      </w:pPr>
      <w:r>
        <w:rPr>
          <w:rFonts w:ascii="Trebuchet MS" w:eastAsia="Trebuchet MS" w:hAnsi="Trebuchet MS" w:cs="Trebuchet MS"/>
          <w:b/>
          <w:bCs/>
          <w:sz w:val="28"/>
          <w:szCs w:val="28"/>
        </w:rPr>
        <w:t>In respect of Rest of the World excluding EEA / UK / Monaco (see above)</w:t>
      </w:r>
    </w:p>
    <w:p w14:paraId="704AD5FF" w14:textId="77777777" w:rsidR="00592C29" w:rsidRDefault="00592C29" w:rsidP="00A47347">
      <w:pPr>
        <w:spacing w:line="276" w:lineRule="auto"/>
        <w:ind w:left="2160" w:hanging="2160"/>
        <w:rPr>
          <w:sz w:val="22"/>
          <w:szCs w:val="22"/>
        </w:rPr>
      </w:pPr>
    </w:p>
    <w:p w14:paraId="02009B37" w14:textId="77777777" w:rsidR="00592C29" w:rsidRDefault="0048296D" w:rsidP="00A47347">
      <w:pPr>
        <w:spacing w:line="276" w:lineRule="auto"/>
        <w:ind w:left="2160" w:hanging="2160"/>
        <w:rPr>
          <w:sz w:val="22"/>
          <w:szCs w:val="22"/>
        </w:rPr>
      </w:pPr>
      <w:r>
        <w:rPr>
          <w:rFonts w:ascii="Trebuchet MS" w:eastAsia="Trebuchet MS" w:hAnsi="Trebuchet MS" w:cs="Trebuchet MS"/>
          <w:b/>
          <w:bCs/>
          <w:sz w:val="22"/>
          <w:szCs w:val="22"/>
        </w:rPr>
        <w:t xml:space="preserve">WRITTEN </w:t>
      </w:r>
    </w:p>
    <w:p w14:paraId="6C4F3EF5" w14:textId="77777777" w:rsidR="00592C29" w:rsidRDefault="0048296D" w:rsidP="00A47347">
      <w:pPr>
        <w:spacing w:line="276" w:lineRule="auto"/>
        <w:ind w:left="2160" w:hanging="2160"/>
        <w:rPr>
          <w:sz w:val="22"/>
          <w:szCs w:val="22"/>
        </w:rPr>
      </w:pPr>
      <w:r>
        <w:rPr>
          <w:rFonts w:ascii="Trebuchet MS" w:eastAsia="Trebuchet MS" w:hAnsi="Trebuchet MS" w:cs="Trebuchet MS"/>
          <w:b/>
          <w:bCs/>
          <w:sz w:val="22"/>
          <w:szCs w:val="22"/>
        </w:rPr>
        <w:t>LINES:</w:t>
      </w:r>
      <w:r>
        <w:rPr>
          <w:rFonts w:ascii="Trebuchet MS" w:eastAsia="Trebuchet MS" w:hAnsi="Trebuchet MS" w:cs="Trebuchet MS"/>
          <w:b/>
          <w:bCs/>
          <w:sz w:val="22"/>
          <w:szCs w:val="22"/>
        </w:rPr>
        <w:tab/>
      </w:r>
    </w:p>
    <w:tbl>
      <w:tblPr>
        <w:tblW w:w="0" w:type="auto"/>
        <w:jc w:val="center"/>
        <w:tblCellMar>
          <w:left w:w="0" w:type="dxa"/>
          <w:right w:w="0" w:type="dxa"/>
        </w:tblCellMar>
        <w:tblLook w:val="04A0" w:firstRow="1" w:lastRow="0" w:firstColumn="1" w:lastColumn="0" w:noHBand="0" w:noVBand="1"/>
      </w:tblPr>
      <w:tblGrid>
        <w:gridCol w:w="817"/>
        <w:gridCol w:w="352"/>
        <w:gridCol w:w="323"/>
        <w:gridCol w:w="343"/>
        <w:gridCol w:w="327"/>
        <w:gridCol w:w="327"/>
        <w:gridCol w:w="327"/>
        <w:gridCol w:w="327"/>
        <w:gridCol w:w="327"/>
        <w:gridCol w:w="332"/>
        <w:gridCol w:w="351"/>
        <w:gridCol w:w="327"/>
        <w:gridCol w:w="405"/>
        <w:gridCol w:w="1287"/>
      </w:tblGrid>
      <w:tr w:rsidR="00592C29" w14:paraId="66A38EB9" w14:textId="77777777" w:rsidTr="00A47347">
        <w:trPr>
          <w:jc w:val="center"/>
        </w:trPr>
        <w:tc>
          <w:tcPr>
            <w:tcW w:w="817" w:type="dxa"/>
            <w:vMerge w:val="restart"/>
            <w:tcBorders>
              <w:right w:val="single" w:sz="6" w:space="0" w:color="000000"/>
            </w:tcBorders>
            <w:tcMar>
              <w:top w:w="5" w:type="dxa"/>
              <w:left w:w="113" w:type="dxa"/>
              <w:bottom w:w="5" w:type="dxa"/>
              <w:right w:w="108" w:type="dxa"/>
            </w:tcMar>
            <w:vAlign w:val="center"/>
            <w:hideMark/>
          </w:tcPr>
          <w:p w14:paraId="256F5B01" w14:textId="77777777" w:rsidR="00592C29" w:rsidRDefault="0048296D" w:rsidP="00A47347">
            <w:pPr>
              <w:spacing w:line="276" w:lineRule="auto"/>
              <w:jc w:val="center"/>
              <w:rPr>
                <w:color w:val="000000"/>
                <w:sz w:val="22"/>
                <w:szCs w:val="22"/>
              </w:rPr>
            </w:pPr>
            <w:r>
              <w:rPr>
                <w:color w:val="000000"/>
                <w:sz w:val="22"/>
                <w:szCs w:val="22"/>
              </w:rPr>
              <w:t>9.5%</w:t>
            </w:r>
          </w:p>
        </w:tc>
        <w:tc>
          <w:tcPr>
            <w:tcW w:w="4068" w:type="dxa"/>
            <w:gridSpan w:val="1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3C02FA00" w14:textId="77777777" w:rsidR="00592C29" w:rsidRDefault="0048296D" w:rsidP="00A47347">
            <w:pPr>
              <w:spacing w:line="276" w:lineRule="auto"/>
              <w:rPr>
                <w:color w:val="000000"/>
                <w:sz w:val="22"/>
                <w:szCs w:val="22"/>
              </w:rPr>
            </w:pPr>
            <w:r>
              <w:rPr>
                <w:noProof/>
                <w:color w:val="000000"/>
                <w:sz w:val="22"/>
                <w:szCs w:val="22"/>
              </w:rPr>
              <w:drawing>
                <wp:inline distT="0" distB="0" distL="0" distR="0" wp14:anchorId="70F85BE6" wp14:editId="02EA83C4">
                  <wp:extent cx="2419350" cy="381000"/>
                  <wp:effectExtent l="0" t="0" r="0" b="0"/>
                  <wp:docPr id="100051" name="Picture 10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r:embed="rId39"/>
                          <a:stretch>
                            <a:fillRect/>
                          </a:stretch>
                        </pic:blipFill>
                        <pic:spPr>
                          <a:xfrm>
                            <a:off x="0" y="0"/>
                            <a:ext cx="2419350" cy="381000"/>
                          </a:xfrm>
                          <a:prstGeom prst="rect">
                            <a:avLst/>
                          </a:prstGeom>
                        </pic:spPr>
                      </pic:pic>
                    </a:graphicData>
                  </a:graphic>
                </wp:inline>
              </w:drawing>
            </w:r>
          </w:p>
        </w:tc>
        <w:tc>
          <w:tcPr>
            <w:tcW w:w="1287" w:type="dxa"/>
            <w:vMerge w:val="restart"/>
            <w:tcBorders>
              <w:left w:val="single" w:sz="6" w:space="0" w:color="000000"/>
            </w:tcBorders>
            <w:tcMar>
              <w:top w:w="5" w:type="dxa"/>
              <w:left w:w="108" w:type="dxa"/>
              <w:bottom w:w="5" w:type="dxa"/>
              <w:right w:w="113" w:type="dxa"/>
            </w:tcMar>
            <w:hideMark/>
          </w:tcPr>
          <w:p w14:paraId="593D9429" w14:textId="77777777" w:rsidR="00592C29" w:rsidRDefault="00592C29" w:rsidP="00A47347">
            <w:pPr>
              <w:spacing w:line="276" w:lineRule="auto"/>
              <w:rPr>
                <w:color w:val="000000"/>
                <w:sz w:val="22"/>
                <w:szCs w:val="22"/>
              </w:rPr>
            </w:pPr>
          </w:p>
          <w:p w14:paraId="2A69D1A5" w14:textId="77777777" w:rsidR="00592C29" w:rsidRDefault="00592C29" w:rsidP="00A47347">
            <w:pPr>
              <w:spacing w:line="276" w:lineRule="auto"/>
              <w:rPr>
                <w:color w:val="000000"/>
                <w:sz w:val="22"/>
                <w:szCs w:val="22"/>
              </w:rPr>
            </w:pPr>
          </w:p>
          <w:p w14:paraId="389C7E3C" w14:textId="77777777" w:rsidR="00592C29" w:rsidRDefault="00592C29" w:rsidP="00A47347">
            <w:pPr>
              <w:spacing w:line="276" w:lineRule="auto"/>
              <w:rPr>
                <w:color w:val="000000"/>
                <w:sz w:val="22"/>
                <w:szCs w:val="22"/>
              </w:rPr>
            </w:pPr>
          </w:p>
        </w:tc>
      </w:tr>
      <w:tr w:rsidR="00592C29" w14:paraId="77A02F63" w14:textId="77777777" w:rsidTr="00A47347">
        <w:trPr>
          <w:jc w:val="center"/>
        </w:trPr>
        <w:tc>
          <w:tcPr>
            <w:tcW w:w="0" w:type="auto"/>
            <w:vMerge/>
            <w:tcBorders>
              <w:right w:val="single" w:sz="6" w:space="0" w:color="000000"/>
            </w:tcBorders>
            <w:vAlign w:val="center"/>
            <w:hideMark/>
          </w:tcPr>
          <w:p w14:paraId="2BA741A0" w14:textId="77777777" w:rsidR="00592C29" w:rsidRDefault="00592C29" w:rsidP="00A47347">
            <w:pPr>
              <w:rPr>
                <w:color w:val="000000"/>
                <w:sz w:val="22"/>
                <w:szCs w:val="22"/>
              </w:rPr>
            </w:pPr>
          </w:p>
        </w:tc>
        <w:tc>
          <w:tcPr>
            <w:tcW w:w="352"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4A8D589D" w14:textId="77777777" w:rsidR="00592C29" w:rsidRDefault="0048296D" w:rsidP="00A47347">
            <w:pPr>
              <w:spacing w:line="276" w:lineRule="auto"/>
              <w:rPr>
                <w:color w:val="000000"/>
                <w:sz w:val="16"/>
                <w:szCs w:val="16"/>
              </w:rPr>
            </w:pPr>
            <w:r>
              <w:rPr>
                <w:color w:val="000000"/>
                <w:sz w:val="16"/>
                <w:szCs w:val="16"/>
              </w:rPr>
              <w:t>H</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2B8D4F6F" w14:textId="77777777" w:rsidR="00592C29" w:rsidRDefault="0048296D" w:rsidP="00A47347">
            <w:pPr>
              <w:spacing w:line="276" w:lineRule="auto"/>
              <w:rPr>
                <w:color w:val="000000"/>
                <w:sz w:val="16"/>
                <w:szCs w:val="16"/>
              </w:rPr>
            </w:pPr>
            <w:r>
              <w:rPr>
                <w:color w:val="000000"/>
                <w:sz w:val="16"/>
                <w:szCs w:val="16"/>
              </w:rPr>
              <w:t>I</w:t>
            </w:r>
          </w:p>
        </w:tc>
        <w:tc>
          <w:tcPr>
            <w:tcW w:w="34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672D2B57" w14:textId="77777777" w:rsidR="00592C29" w:rsidRDefault="0048296D" w:rsidP="00A47347">
            <w:pPr>
              <w:spacing w:line="276" w:lineRule="auto"/>
              <w:rPr>
                <w:color w:val="000000"/>
                <w:sz w:val="16"/>
                <w:szCs w:val="16"/>
              </w:rPr>
            </w:pPr>
            <w:r>
              <w:rPr>
                <w:color w:val="000000"/>
                <w:sz w:val="16"/>
                <w:szCs w:val="16"/>
              </w:rPr>
              <w:t>S</w:t>
            </w:r>
          </w:p>
        </w:tc>
        <w:tc>
          <w:tcPr>
            <w:tcW w:w="327"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4AE49686" w14:textId="77777777" w:rsidR="00592C29" w:rsidRDefault="0048296D" w:rsidP="00A47347">
            <w:pPr>
              <w:spacing w:line="276" w:lineRule="auto"/>
              <w:rPr>
                <w:color w:val="000000"/>
                <w:sz w:val="16"/>
                <w:szCs w:val="16"/>
              </w:rPr>
            </w:pPr>
            <w:r>
              <w:rPr>
                <w:color w:val="000000"/>
                <w:sz w:val="16"/>
                <w:szCs w:val="16"/>
              </w:rPr>
              <w:t>1</w:t>
            </w:r>
          </w:p>
        </w:tc>
        <w:tc>
          <w:tcPr>
            <w:tcW w:w="327"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3E6F7E6D" w14:textId="77777777" w:rsidR="00592C29" w:rsidRDefault="0048296D" w:rsidP="00A47347">
            <w:pPr>
              <w:spacing w:line="276" w:lineRule="auto"/>
              <w:rPr>
                <w:color w:val="000000"/>
                <w:sz w:val="16"/>
                <w:szCs w:val="16"/>
              </w:rPr>
            </w:pPr>
            <w:r>
              <w:rPr>
                <w:color w:val="000000"/>
                <w:sz w:val="16"/>
                <w:szCs w:val="16"/>
              </w:rPr>
              <w:t>4</w:t>
            </w:r>
          </w:p>
        </w:tc>
        <w:tc>
          <w:tcPr>
            <w:tcW w:w="327"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651FD14" w14:textId="77777777" w:rsidR="00592C29" w:rsidRDefault="0048296D" w:rsidP="00A47347">
            <w:pPr>
              <w:spacing w:line="276" w:lineRule="auto"/>
              <w:rPr>
                <w:color w:val="000000"/>
                <w:sz w:val="16"/>
                <w:szCs w:val="16"/>
              </w:rPr>
            </w:pPr>
            <w:r>
              <w:rPr>
                <w:color w:val="000000"/>
                <w:sz w:val="16"/>
                <w:szCs w:val="16"/>
              </w:rPr>
              <w:t>5</w:t>
            </w:r>
          </w:p>
        </w:tc>
        <w:tc>
          <w:tcPr>
            <w:tcW w:w="327"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2266CE2C" w14:textId="77777777" w:rsidR="00592C29" w:rsidRDefault="0048296D" w:rsidP="00A47347">
            <w:pPr>
              <w:spacing w:line="276" w:lineRule="auto"/>
              <w:rPr>
                <w:color w:val="000000"/>
                <w:sz w:val="16"/>
                <w:szCs w:val="16"/>
              </w:rPr>
            </w:pPr>
            <w:r>
              <w:rPr>
                <w:color w:val="000000"/>
                <w:sz w:val="16"/>
                <w:szCs w:val="16"/>
              </w:rPr>
              <w:t>6</w:t>
            </w:r>
          </w:p>
        </w:tc>
        <w:tc>
          <w:tcPr>
            <w:tcW w:w="327"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D0022A8" w14:textId="77777777" w:rsidR="00592C29" w:rsidRDefault="0048296D" w:rsidP="00A47347">
            <w:pPr>
              <w:spacing w:line="276" w:lineRule="auto"/>
              <w:rPr>
                <w:color w:val="000000"/>
                <w:sz w:val="16"/>
                <w:szCs w:val="16"/>
              </w:rPr>
            </w:pPr>
            <w:r>
              <w:rPr>
                <w:color w:val="000000"/>
                <w:sz w:val="16"/>
                <w:szCs w:val="16"/>
              </w:rPr>
              <w:t>7</w:t>
            </w:r>
          </w:p>
        </w:tc>
        <w:tc>
          <w:tcPr>
            <w:tcW w:w="332"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693E7B78" w14:textId="77777777" w:rsidR="00592C29" w:rsidRDefault="0048296D" w:rsidP="00A47347">
            <w:pPr>
              <w:spacing w:line="276" w:lineRule="auto"/>
              <w:rPr>
                <w:color w:val="000000"/>
                <w:sz w:val="16"/>
                <w:szCs w:val="16"/>
              </w:rPr>
            </w:pPr>
            <w:r>
              <w:rPr>
                <w:color w:val="000000"/>
                <w:sz w:val="16"/>
                <w:szCs w:val="16"/>
              </w:rPr>
              <w:t>7</w:t>
            </w:r>
          </w:p>
        </w:tc>
        <w:tc>
          <w:tcPr>
            <w:tcW w:w="35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1D138EC6" w14:textId="77777777" w:rsidR="00592C29" w:rsidRDefault="0048296D" w:rsidP="00A47347">
            <w:pPr>
              <w:spacing w:line="276" w:lineRule="auto"/>
              <w:rPr>
                <w:color w:val="000000"/>
                <w:sz w:val="16"/>
                <w:szCs w:val="16"/>
              </w:rPr>
            </w:pPr>
            <w:r>
              <w:rPr>
                <w:color w:val="000000"/>
                <w:sz w:val="16"/>
                <w:szCs w:val="16"/>
              </w:rPr>
              <w:t>A</w:t>
            </w:r>
          </w:p>
        </w:tc>
        <w:tc>
          <w:tcPr>
            <w:tcW w:w="327"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12591627" w14:textId="77777777" w:rsidR="00592C29" w:rsidRDefault="0048296D" w:rsidP="00A47347">
            <w:pPr>
              <w:spacing w:line="276" w:lineRule="auto"/>
              <w:rPr>
                <w:color w:val="000000"/>
                <w:sz w:val="16"/>
                <w:szCs w:val="16"/>
              </w:rPr>
            </w:pPr>
            <w:r>
              <w:rPr>
                <w:color w:val="000000"/>
                <w:sz w:val="16"/>
                <w:szCs w:val="16"/>
              </w:rPr>
              <w:t>1</w:t>
            </w:r>
          </w:p>
        </w:tc>
        <w:tc>
          <w:tcPr>
            <w:tcW w:w="40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7EB38FEF" w14:textId="77777777" w:rsidR="00592C29" w:rsidRDefault="0048296D" w:rsidP="00A47347">
            <w:pPr>
              <w:spacing w:line="276" w:lineRule="auto"/>
              <w:rPr>
                <w:color w:val="000000"/>
                <w:sz w:val="16"/>
                <w:szCs w:val="16"/>
              </w:rPr>
            </w:pPr>
            <w:r>
              <w:rPr>
                <w:color w:val="000000"/>
                <w:sz w:val="16"/>
                <w:szCs w:val="16"/>
              </w:rPr>
              <w:t>2</w:t>
            </w:r>
          </w:p>
        </w:tc>
        <w:tc>
          <w:tcPr>
            <w:tcW w:w="0" w:type="auto"/>
            <w:vMerge/>
            <w:tcBorders>
              <w:left w:val="single" w:sz="6" w:space="0" w:color="000000"/>
            </w:tcBorders>
            <w:vAlign w:val="center"/>
            <w:hideMark/>
          </w:tcPr>
          <w:p w14:paraId="49A5C5C0" w14:textId="77777777" w:rsidR="00592C29" w:rsidRDefault="00592C29" w:rsidP="00A47347">
            <w:pPr>
              <w:rPr>
                <w:color w:val="000000"/>
                <w:sz w:val="16"/>
                <w:szCs w:val="16"/>
              </w:rPr>
            </w:pPr>
          </w:p>
        </w:tc>
      </w:tr>
      <w:tr w:rsidR="00592C29" w14:paraId="368818DA" w14:textId="77777777" w:rsidTr="00A47347">
        <w:trPr>
          <w:jc w:val="center"/>
        </w:trPr>
        <w:tc>
          <w:tcPr>
            <w:tcW w:w="0" w:type="auto"/>
            <w:vMerge/>
            <w:tcBorders>
              <w:right w:val="single" w:sz="6" w:space="0" w:color="000000"/>
            </w:tcBorders>
            <w:vAlign w:val="center"/>
            <w:hideMark/>
          </w:tcPr>
          <w:p w14:paraId="5746E498" w14:textId="77777777" w:rsidR="00592C29" w:rsidRDefault="00592C29" w:rsidP="00A47347">
            <w:pPr>
              <w:rPr>
                <w:color w:val="000000"/>
                <w:sz w:val="16"/>
                <w:szCs w:val="16"/>
              </w:rPr>
            </w:pPr>
          </w:p>
        </w:tc>
        <w:tc>
          <w:tcPr>
            <w:tcW w:w="4068" w:type="dxa"/>
            <w:gridSpan w:val="1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5BC9055" w14:textId="77777777" w:rsidR="00592C29" w:rsidRDefault="0048296D" w:rsidP="00A47347">
            <w:pPr>
              <w:spacing w:line="276" w:lineRule="auto"/>
              <w:rPr>
                <w:color w:val="000000"/>
                <w:sz w:val="22"/>
                <w:szCs w:val="22"/>
              </w:rPr>
            </w:pPr>
            <w:r>
              <w:rPr>
                <w:noProof/>
                <w:color w:val="000000"/>
                <w:sz w:val="22"/>
                <w:szCs w:val="22"/>
              </w:rPr>
              <w:drawing>
                <wp:inline distT="0" distB="0" distL="0" distR="0" wp14:anchorId="79CD9765" wp14:editId="5F35E970">
                  <wp:extent cx="2314575" cy="238125"/>
                  <wp:effectExtent l="0" t="0" r="0" b="0"/>
                  <wp:docPr id="100053" name="Picture 10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r:embed="rId40"/>
                          <a:stretch>
                            <a:fillRect/>
                          </a:stretch>
                        </pic:blipFill>
                        <pic:spPr>
                          <a:xfrm>
                            <a:off x="0" y="0"/>
                            <a:ext cx="2314575" cy="238125"/>
                          </a:xfrm>
                          <a:prstGeom prst="rect">
                            <a:avLst/>
                          </a:prstGeom>
                        </pic:spPr>
                      </pic:pic>
                    </a:graphicData>
                  </a:graphic>
                </wp:inline>
              </w:drawing>
            </w:r>
          </w:p>
        </w:tc>
        <w:tc>
          <w:tcPr>
            <w:tcW w:w="0" w:type="auto"/>
            <w:vMerge/>
            <w:tcBorders>
              <w:left w:val="single" w:sz="6" w:space="0" w:color="000000"/>
            </w:tcBorders>
            <w:vAlign w:val="center"/>
            <w:hideMark/>
          </w:tcPr>
          <w:p w14:paraId="3DF9E30C" w14:textId="77777777" w:rsidR="00592C29" w:rsidRDefault="00592C29" w:rsidP="00A47347">
            <w:pPr>
              <w:rPr>
                <w:color w:val="000000"/>
                <w:sz w:val="22"/>
                <w:szCs w:val="22"/>
              </w:rPr>
            </w:pPr>
          </w:p>
        </w:tc>
      </w:tr>
    </w:tbl>
    <w:p w14:paraId="705B2341" w14:textId="77777777" w:rsidR="00592C29" w:rsidRDefault="00592C29" w:rsidP="00A47347">
      <w:pPr>
        <w:spacing w:line="276" w:lineRule="auto"/>
        <w:rPr>
          <w:sz w:val="22"/>
          <w:szCs w:val="22"/>
        </w:rPr>
      </w:pPr>
    </w:p>
    <w:tbl>
      <w:tblPr>
        <w:tblW w:w="0" w:type="auto"/>
        <w:jc w:val="center"/>
        <w:tblCellMar>
          <w:left w:w="0" w:type="dxa"/>
          <w:right w:w="0" w:type="dxa"/>
        </w:tblCellMar>
        <w:tblLook w:val="04A0" w:firstRow="1" w:lastRow="0" w:firstColumn="1" w:lastColumn="0" w:noHBand="0" w:noVBand="1"/>
      </w:tblPr>
      <w:tblGrid>
        <w:gridCol w:w="817"/>
        <w:gridCol w:w="332"/>
        <w:gridCol w:w="323"/>
        <w:gridCol w:w="341"/>
        <w:gridCol w:w="323"/>
        <w:gridCol w:w="323"/>
        <w:gridCol w:w="323"/>
        <w:gridCol w:w="323"/>
        <w:gridCol w:w="323"/>
        <w:gridCol w:w="332"/>
        <w:gridCol w:w="332"/>
        <w:gridCol w:w="323"/>
        <w:gridCol w:w="323"/>
        <w:gridCol w:w="1369"/>
      </w:tblGrid>
      <w:tr w:rsidR="00592C29" w14:paraId="5FCB820E" w14:textId="77777777">
        <w:trPr>
          <w:jc w:val="center"/>
        </w:trPr>
        <w:tc>
          <w:tcPr>
            <w:tcW w:w="817" w:type="dxa"/>
            <w:vMerge w:val="restart"/>
            <w:tcBorders>
              <w:right w:val="single" w:sz="6" w:space="0" w:color="000000"/>
            </w:tcBorders>
            <w:tcMar>
              <w:top w:w="5" w:type="dxa"/>
              <w:left w:w="113" w:type="dxa"/>
              <w:bottom w:w="5" w:type="dxa"/>
              <w:right w:w="108" w:type="dxa"/>
            </w:tcMar>
            <w:vAlign w:val="center"/>
            <w:hideMark/>
          </w:tcPr>
          <w:p w14:paraId="736479D5" w14:textId="77777777" w:rsidR="00592C29" w:rsidRDefault="0048296D" w:rsidP="00A47347">
            <w:pPr>
              <w:spacing w:line="276" w:lineRule="auto"/>
              <w:jc w:val="center"/>
              <w:rPr>
                <w:color w:val="000000"/>
                <w:sz w:val="22"/>
                <w:szCs w:val="22"/>
              </w:rPr>
            </w:pPr>
            <w:r>
              <w:rPr>
                <w:color w:val="000000"/>
                <w:sz w:val="22"/>
                <w:szCs w:val="22"/>
              </w:rPr>
              <w:t>10%</w:t>
            </w:r>
          </w:p>
        </w:tc>
        <w:tc>
          <w:tcPr>
            <w:tcW w:w="3903" w:type="dxa"/>
            <w:gridSpan w:val="1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70A2DF14" w14:textId="77777777" w:rsidR="00592C29" w:rsidRDefault="0048296D" w:rsidP="00A47347">
            <w:pPr>
              <w:spacing w:line="276" w:lineRule="auto"/>
              <w:rPr>
                <w:color w:val="000000"/>
                <w:sz w:val="22"/>
                <w:szCs w:val="22"/>
              </w:rPr>
            </w:pPr>
            <w:r>
              <w:rPr>
                <w:noProof/>
                <w:color w:val="000000"/>
                <w:sz w:val="22"/>
                <w:szCs w:val="22"/>
              </w:rPr>
              <w:drawing>
                <wp:inline distT="0" distB="0" distL="0" distR="0" wp14:anchorId="32496640" wp14:editId="44E462B1">
                  <wp:extent cx="2266950" cy="352425"/>
                  <wp:effectExtent l="0" t="0" r="0" b="0"/>
                  <wp:docPr id="100055" name="Picture 100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r:embed="rId41"/>
                          <a:stretch>
                            <a:fillRect/>
                          </a:stretch>
                        </pic:blipFill>
                        <pic:spPr>
                          <a:xfrm>
                            <a:off x="0" y="0"/>
                            <a:ext cx="2266950" cy="352425"/>
                          </a:xfrm>
                          <a:prstGeom prst="rect">
                            <a:avLst/>
                          </a:prstGeom>
                        </pic:spPr>
                      </pic:pic>
                    </a:graphicData>
                  </a:graphic>
                </wp:inline>
              </w:drawing>
            </w:r>
          </w:p>
        </w:tc>
        <w:tc>
          <w:tcPr>
            <w:tcW w:w="1369" w:type="dxa"/>
            <w:vMerge w:val="restart"/>
            <w:tcBorders>
              <w:left w:val="single" w:sz="6" w:space="0" w:color="000000"/>
            </w:tcBorders>
            <w:tcMar>
              <w:top w:w="5" w:type="dxa"/>
              <w:left w:w="108" w:type="dxa"/>
              <w:bottom w:w="5" w:type="dxa"/>
              <w:right w:w="113" w:type="dxa"/>
            </w:tcMar>
            <w:hideMark/>
          </w:tcPr>
          <w:p w14:paraId="33550877" w14:textId="77777777" w:rsidR="00592C29" w:rsidRDefault="00592C29" w:rsidP="00A47347">
            <w:pPr>
              <w:spacing w:line="276" w:lineRule="auto"/>
              <w:rPr>
                <w:color w:val="000000"/>
              </w:rPr>
            </w:pPr>
          </w:p>
          <w:p w14:paraId="60327CFE" w14:textId="77777777" w:rsidR="00592C29" w:rsidRDefault="00592C29" w:rsidP="00A47347">
            <w:pPr>
              <w:spacing w:line="276" w:lineRule="auto"/>
              <w:rPr>
                <w:color w:val="000000"/>
                <w:sz w:val="22"/>
                <w:szCs w:val="22"/>
              </w:rPr>
            </w:pPr>
          </w:p>
          <w:p w14:paraId="0BF20C38" w14:textId="77777777" w:rsidR="00592C29" w:rsidRDefault="00592C29" w:rsidP="00A47347">
            <w:pPr>
              <w:spacing w:line="276" w:lineRule="auto"/>
              <w:rPr>
                <w:color w:val="000000"/>
                <w:sz w:val="22"/>
                <w:szCs w:val="22"/>
              </w:rPr>
            </w:pPr>
          </w:p>
        </w:tc>
      </w:tr>
      <w:tr w:rsidR="00592C29" w14:paraId="499C5F7D" w14:textId="77777777">
        <w:trPr>
          <w:jc w:val="center"/>
        </w:trPr>
        <w:tc>
          <w:tcPr>
            <w:tcW w:w="0" w:type="auto"/>
            <w:vMerge/>
            <w:tcBorders>
              <w:right w:val="single" w:sz="6" w:space="0" w:color="000000"/>
            </w:tcBorders>
            <w:vAlign w:val="center"/>
            <w:hideMark/>
          </w:tcPr>
          <w:p w14:paraId="1D493864" w14:textId="77777777" w:rsidR="00592C29" w:rsidRDefault="00592C29" w:rsidP="00A47347">
            <w:pPr>
              <w:rPr>
                <w:color w:val="000000"/>
                <w:sz w:val="22"/>
                <w:szCs w:val="22"/>
              </w:rPr>
            </w:pP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1D051DFC" w14:textId="77777777" w:rsidR="00592C29" w:rsidRDefault="0048296D" w:rsidP="00A47347">
            <w:pPr>
              <w:spacing w:line="276" w:lineRule="auto"/>
              <w:rPr>
                <w:color w:val="000000"/>
                <w:sz w:val="16"/>
                <w:szCs w:val="16"/>
              </w:rPr>
            </w:pPr>
            <w:r>
              <w:rPr>
                <w:color w:val="000000"/>
                <w:sz w:val="16"/>
                <w:szCs w:val="16"/>
              </w:rPr>
              <w:t>A</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685C153A" w14:textId="77777777" w:rsidR="00592C29" w:rsidRDefault="0048296D" w:rsidP="00A47347">
            <w:pPr>
              <w:spacing w:line="276" w:lineRule="auto"/>
              <w:rPr>
                <w:color w:val="000000"/>
                <w:sz w:val="16"/>
                <w:szCs w:val="16"/>
              </w:rPr>
            </w:pPr>
            <w:r>
              <w:rPr>
                <w:color w:val="000000"/>
                <w:sz w:val="16"/>
                <w:szCs w:val="16"/>
              </w:rPr>
              <w:t>F</w:t>
            </w:r>
          </w:p>
        </w:tc>
        <w:tc>
          <w:tcPr>
            <w:tcW w:w="3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2FA73341" w14:textId="77777777" w:rsidR="00592C29" w:rsidRDefault="0048296D" w:rsidP="00A47347">
            <w:pPr>
              <w:spacing w:line="276" w:lineRule="auto"/>
              <w:rPr>
                <w:color w:val="000000"/>
                <w:sz w:val="16"/>
                <w:szCs w:val="16"/>
              </w:rPr>
            </w:pPr>
            <w:r>
              <w:rPr>
                <w:color w:val="000000"/>
                <w:sz w:val="16"/>
                <w:szCs w:val="16"/>
              </w:rPr>
              <w:t>G</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3C660EA5" w14:textId="77777777" w:rsidR="00592C29" w:rsidRDefault="0048296D" w:rsidP="00A47347">
            <w:pPr>
              <w:spacing w:line="276" w:lineRule="auto"/>
              <w:rPr>
                <w:color w:val="000000"/>
                <w:sz w:val="16"/>
                <w:szCs w:val="16"/>
              </w:rPr>
            </w:pPr>
            <w:r>
              <w:rPr>
                <w:color w:val="000000"/>
                <w:sz w:val="16"/>
                <w:szCs w:val="16"/>
              </w:rPr>
              <w:t>1</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324C951A" w14:textId="77777777" w:rsidR="00592C29" w:rsidRDefault="0048296D" w:rsidP="00A47347">
            <w:pPr>
              <w:spacing w:line="276" w:lineRule="auto"/>
              <w:rPr>
                <w:color w:val="000000"/>
                <w:sz w:val="16"/>
                <w:szCs w:val="16"/>
              </w:rPr>
            </w:pPr>
            <w:r>
              <w:rPr>
                <w:color w:val="000000"/>
                <w:sz w:val="16"/>
                <w:szCs w:val="16"/>
              </w:rPr>
              <w:t>4</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3F00D306" w14:textId="77777777" w:rsidR="00592C29" w:rsidRDefault="0048296D" w:rsidP="00A47347">
            <w:pPr>
              <w:spacing w:line="276" w:lineRule="auto"/>
              <w:rPr>
                <w:color w:val="000000"/>
                <w:sz w:val="16"/>
                <w:szCs w:val="16"/>
              </w:rPr>
            </w:pPr>
            <w:r>
              <w:rPr>
                <w:color w:val="000000"/>
                <w:sz w:val="16"/>
                <w:szCs w:val="16"/>
              </w:rPr>
              <w:t>5</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1DAC5916" w14:textId="77777777" w:rsidR="00592C29" w:rsidRDefault="0048296D" w:rsidP="00A47347">
            <w:pPr>
              <w:spacing w:line="276" w:lineRule="auto"/>
              <w:rPr>
                <w:color w:val="000000"/>
                <w:sz w:val="16"/>
                <w:szCs w:val="16"/>
              </w:rPr>
            </w:pPr>
            <w:r>
              <w:rPr>
                <w:color w:val="000000"/>
                <w:sz w:val="16"/>
                <w:szCs w:val="16"/>
              </w:rPr>
              <w:t>6</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77E2548A" w14:textId="77777777" w:rsidR="00592C29" w:rsidRDefault="0048296D" w:rsidP="00A47347">
            <w:pPr>
              <w:spacing w:line="276" w:lineRule="auto"/>
              <w:rPr>
                <w:color w:val="000000"/>
                <w:sz w:val="16"/>
                <w:szCs w:val="16"/>
              </w:rPr>
            </w:pPr>
            <w:r>
              <w:rPr>
                <w:color w:val="000000"/>
                <w:sz w:val="16"/>
                <w:szCs w:val="16"/>
              </w:rPr>
              <w:t>7</w:t>
            </w:r>
          </w:p>
        </w:tc>
        <w:tc>
          <w:tcPr>
            <w:tcW w:w="332"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40D23123" w14:textId="77777777" w:rsidR="00592C29" w:rsidRDefault="0048296D" w:rsidP="00A47347">
            <w:pPr>
              <w:spacing w:line="276" w:lineRule="auto"/>
              <w:rPr>
                <w:color w:val="000000"/>
                <w:sz w:val="16"/>
                <w:szCs w:val="16"/>
              </w:rPr>
            </w:pPr>
            <w:r>
              <w:rPr>
                <w:color w:val="000000"/>
                <w:sz w:val="16"/>
                <w:szCs w:val="16"/>
              </w:rPr>
              <w:t>7</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AB3E10F" w14:textId="77777777" w:rsidR="00592C29" w:rsidRDefault="0048296D" w:rsidP="00A47347">
            <w:pPr>
              <w:spacing w:line="276" w:lineRule="auto"/>
              <w:rPr>
                <w:color w:val="000000"/>
                <w:sz w:val="16"/>
                <w:szCs w:val="16"/>
              </w:rPr>
            </w:pPr>
            <w:r>
              <w:rPr>
                <w:color w:val="000000"/>
                <w:sz w:val="16"/>
                <w:szCs w:val="16"/>
              </w:rPr>
              <w:t>A</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41CDD204" w14:textId="77777777" w:rsidR="00592C29" w:rsidRDefault="0048296D" w:rsidP="00A47347">
            <w:pPr>
              <w:spacing w:line="276" w:lineRule="auto"/>
              <w:rPr>
                <w:color w:val="000000"/>
                <w:sz w:val="16"/>
                <w:szCs w:val="16"/>
              </w:rPr>
            </w:pPr>
            <w:r>
              <w:rPr>
                <w:color w:val="000000"/>
                <w:sz w:val="16"/>
                <w:szCs w:val="16"/>
              </w:rPr>
              <w:t>1</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0FFECDEE" w14:textId="77777777" w:rsidR="00592C29" w:rsidRDefault="0048296D" w:rsidP="00A47347">
            <w:pPr>
              <w:spacing w:line="276" w:lineRule="auto"/>
              <w:rPr>
                <w:color w:val="000000"/>
                <w:sz w:val="16"/>
                <w:szCs w:val="16"/>
              </w:rPr>
            </w:pPr>
            <w:r>
              <w:rPr>
                <w:color w:val="000000"/>
                <w:sz w:val="16"/>
                <w:szCs w:val="16"/>
              </w:rPr>
              <w:t>2</w:t>
            </w:r>
          </w:p>
        </w:tc>
        <w:tc>
          <w:tcPr>
            <w:tcW w:w="0" w:type="auto"/>
            <w:vMerge/>
            <w:tcBorders>
              <w:left w:val="single" w:sz="6" w:space="0" w:color="000000"/>
            </w:tcBorders>
            <w:vAlign w:val="center"/>
            <w:hideMark/>
          </w:tcPr>
          <w:p w14:paraId="3D2EDB35" w14:textId="77777777" w:rsidR="00592C29" w:rsidRDefault="00592C29" w:rsidP="00A47347">
            <w:pPr>
              <w:rPr>
                <w:color w:val="000000"/>
                <w:sz w:val="16"/>
                <w:szCs w:val="16"/>
              </w:rPr>
            </w:pPr>
          </w:p>
        </w:tc>
      </w:tr>
      <w:tr w:rsidR="00592C29" w14:paraId="0D7616DD" w14:textId="77777777">
        <w:trPr>
          <w:jc w:val="center"/>
        </w:trPr>
        <w:tc>
          <w:tcPr>
            <w:tcW w:w="0" w:type="auto"/>
            <w:vMerge/>
            <w:tcBorders>
              <w:right w:val="single" w:sz="6" w:space="0" w:color="000000"/>
            </w:tcBorders>
            <w:vAlign w:val="center"/>
            <w:hideMark/>
          </w:tcPr>
          <w:p w14:paraId="0F081315" w14:textId="77777777" w:rsidR="00592C29" w:rsidRDefault="00592C29" w:rsidP="00A47347">
            <w:pPr>
              <w:rPr>
                <w:color w:val="000000"/>
                <w:sz w:val="16"/>
                <w:szCs w:val="16"/>
              </w:rPr>
            </w:pPr>
          </w:p>
        </w:tc>
        <w:tc>
          <w:tcPr>
            <w:tcW w:w="3903" w:type="dxa"/>
            <w:gridSpan w:val="1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43D0C9D8" w14:textId="77777777" w:rsidR="00592C29" w:rsidRDefault="0048296D" w:rsidP="00A47347">
            <w:pPr>
              <w:spacing w:line="276" w:lineRule="auto"/>
              <w:rPr>
                <w:color w:val="000000"/>
                <w:sz w:val="22"/>
                <w:szCs w:val="22"/>
              </w:rPr>
            </w:pPr>
            <w:r>
              <w:rPr>
                <w:noProof/>
                <w:color w:val="000000"/>
                <w:sz w:val="22"/>
                <w:szCs w:val="22"/>
              </w:rPr>
              <w:drawing>
                <wp:inline distT="0" distB="0" distL="0" distR="0" wp14:anchorId="08AAF80C" wp14:editId="21FA8C60">
                  <wp:extent cx="2314575" cy="238125"/>
                  <wp:effectExtent l="0" t="0" r="0" b="0"/>
                  <wp:docPr id="100057" name="Picture 10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r:embed="rId40"/>
                          <a:stretch>
                            <a:fillRect/>
                          </a:stretch>
                        </pic:blipFill>
                        <pic:spPr>
                          <a:xfrm>
                            <a:off x="0" y="0"/>
                            <a:ext cx="2314575" cy="238125"/>
                          </a:xfrm>
                          <a:prstGeom prst="rect">
                            <a:avLst/>
                          </a:prstGeom>
                        </pic:spPr>
                      </pic:pic>
                    </a:graphicData>
                  </a:graphic>
                </wp:inline>
              </w:drawing>
            </w:r>
          </w:p>
        </w:tc>
        <w:tc>
          <w:tcPr>
            <w:tcW w:w="0" w:type="auto"/>
            <w:vMerge/>
            <w:tcBorders>
              <w:left w:val="single" w:sz="6" w:space="0" w:color="000000"/>
            </w:tcBorders>
            <w:vAlign w:val="center"/>
            <w:hideMark/>
          </w:tcPr>
          <w:p w14:paraId="3BDC4CAB" w14:textId="77777777" w:rsidR="00592C29" w:rsidRDefault="00592C29" w:rsidP="00A47347">
            <w:pPr>
              <w:rPr>
                <w:color w:val="000000"/>
                <w:sz w:val="22"/>
                <w:szCs w:val="22"/>
              </w:rPr>
            </w:pPr>
          </w:p>
        </w:tc>
      </w:tr>
    </w:tbl>
    <w:p w14:paraId="0657CE7E" w14:textId="77777777" w:rsidR="00592C29" w:rsidRDefault="00592C29" w:rsidP="00A47347">
      <w:pPr>
        <w:spacing w:line="276" w:lineRule="auto"/>
        <w:rPr>
          <w:sz w:val="22"/>
          <w:szCs w:val="22"/>
        </w:rPr>
      </w:pPr>
    </w:p>
    <w:p w14:paraId="71995FB5" w14:textId="77777777" w:rsidR="00592C29" w:rsidRDefault="0048296D" w:rsidP="00A47347">
      <w:pPr>
        <w:spacing w:line="276" w:lineRule="auto"/>
        <w:rPr>
          <w:sz w:val="22"/>
          <w:szCs w:val="22"/>
        </w:rPr>
      </w:pPr>
      <w:r>
        <w:rPr>
          <w:sz w:val="22"/>
          <w:szCs w:val="22"/>
        </w:rPr>
        <w:br w:type="page"/>
      </w:r>
    </w:p>
    <w:tbl>
      <w:tblPr>
        <w:tblW w:w="9747" w:type="dxa"/>
        <w:tblInd w:w="113" w:type="dxa"/>
        <w:tblCellMar>
          <w:left w:w="0" w:type="dxa"/>
          <w:right w:w="0" w:type="dxa"/>
        </w:tblCellMar>
        <w:tblLook w:val="04A0" w:firstRow="1" w:lastRow="0" w:firstColumn="1" w:lastColumn="0" w:noHBand="0" w:noVBand="1"/>
      </w:tblPr>
      <w:tblGrid>
        <w:gridCol w:w="2376"/>
        <w:gridCol w:w="7371"/>
      </w:tblGrid>
      <w:tr w:rsidR="00592C29" w14:paraId="53CE14A0" w14:textId="77777777">
        <w:tc>
          <w:tcPr>
            <w:tcW w:w="9747" w:type="dxa"/>
            <w:gridSpan w:val="2"/>
            <w:tcMar>
              <w:top w:w="5" w:type="dxa"/>
              <w:left w:w="113" w:type="dxa"/>
              <w:bottom w:w="5" w:type="dxa"/>
              <w:right w:w="113" w:type="dxa"/>
            </w:tcMar>
            <w:hideMark/>
          </w:tcPr>
          <w:p w14:paraId="23F99BD7" w14:textId="0C02379F" w:rsidR="00592C29" w:rsidRDefault="0048296D">
            <w:pPr>
              <w:spacing w:after="200" w:line="276" w:lineRule="auto"/>
              <w:rPr>
                <w:color w:val="000000"/>
                <w:sz w:val="40"/>
                <w:szCs w:val="40"/>
              </w:rPr>
            </w:pPr>
            <w:r>
              <w:rPr>
                <w:rFonts w:ascii="Trebuchet MS" w:eastAsia="Trebuchet MS" w:hAnsi="Trebuchet MS" w:cs="Trebuchet MS"/>
                <w:b/>
                <w:bCs/>
                <w:color w:val="000000"/>
                <w:sz w:val="40"/>
                <w:szCs w:val="40"/>
              </w:rPr>
              <w:lastRenderedPageBreak/>
              <w:t>Subscription Agreement</w:t>
            </w:r>
          </w:p>
          <w:p w14:paraId="39DC4EF6" w14:textId="77777777" w:rsidR="00592C29" w:rsidRDefault="00592C29">
            <w:pPr>
              <w:spacing w:after="200" w:line="276" w:lineRule="auto"/>
              <w:rPr>
                <w:color w:val="000000"/>
                <w:sz w:val="22"/>
                <w:szCs w:val="22"/>
              </w:rPr>
            </w:pPr>
          </w:p>
        </w:tc>
      </w:tr>
      <w:tr w:rsidR="00592C29" w14:paraId="6E7A7D23" w14:textId="77777777">
        <w:tc>
          <w:tcPr>
            <w:tcW w:w="2376" w:type="dxa"/>
            <w:tcMar>
              <w:top w:w="5" w:type="dxa"/>
              <w:left w:w="113" w:type="dxa"/>
              <w:bottom w:w="5" w:type="dxa"/>
              <w:right w:w="113" w:type="dxa"/>
            </w:tcMar>
            <w:hideMark/>
          </w:tcPr>
          <w:p w14:paraId="23FA0F20" w14:textId="53A45989" w:rsidR="00592C29" w:rsidRDefault="0048296D" w:rsidP="00A47347">
            <w:pPr>
              <w:spacing w:line="276" w:lineRule="auto"/>
              <w:rPr>
                <w:color w:val="000000"/>
                <w:sz w:val="22"/>
                <w:szCs w:val="22"/>
              </w:rPr>
            </w:pPr>
            <w:r>
              <w:rPr>
                <w:rFonts w:ascii="Trebuchet MS" w:eastAsia="Trebuchet MS" w:hAnsi="Trebuchet MS" w:cs="Trebuchet MS"/>
                <w:b/>
                <w:bCs/>
                <w:color w:val="000000"/>
                <w:sz w:val="22"/>
                <w:szCs w:val="22"/>
              </w:rPr>
              <w:t>SLIP LEADER:</w:t>
            </w:r>
          </w:p>
        </w:tc>
        <w:tc>
          <w:tcPr>
            <w:tcW w:w="7371" w:type="dxa"/>
            <w:tcMar>
              <w:top w:w="5" w:type="dxa"/>
              <w:left w:w="113" w:type="dxa"/>
              <w:bottom w:w="5" w:type="dxa"/>
              <w:right w:w="113" w:type="dxa"/>
            </w:tcMar>
            <w:hideMark/>
          </w:tcPr>
          <w:p w14:paraId="4B22FFAA" w14:textId="77777777" w:rsidR="00592C29" w:rsidRDefault="0048296D" w:rsidP="00630EF8">
            <w:pPr>
              <w:spacing w:after="60" w:line="276" w:lineRule="auto"/>
              <w:rPr>
                <w:color w:val="000000"/>
                <w:sz w:val="22"/>
                <w:szCs w:val="22"/>
              </w:rPr>
            </w:pPr>
            <w:proofErr w:type="spellStart"/>
            <w:r>
              <w:rPr>
                <w:rFonts w:ascii="Trebuchet MS" w:eastAsia="Trebuchet MS" w:hAnsi="Trebuchet MS" w:cs="Trebuchet MS"/>
                <w:color w:val="000000"/>
                <w:sz w:val="22"/>
                <w:szCs w:val="22"/>
              </w:rPr>
              <w:t>Hiscox</w:t>
            </w:r>
            <w:proofErr w:type="spellEnd"/>
            <w:r>
              <w:rPr>
                <w:rFonts w:ascii="Trebuchet MS" w:eastAsia="Trebuchet MS" w:hAnsi="Trebuchet MS" w:cs="Trebuchet MS"/>
                <w:color w:val="000000"/>
                <w:sz w:val="22"/>
                <w:szCs w:val="22"/>
              </w:rPr>
              <w:t xml:space="preserve"> Syndicate (0033) in respect of </w:t>
            </w:r>
            <w:proofErr w:type="spellStart"/>
            <w:r>
              <w:rPr>
                <w:rFonts w:ascii="Trebuchet MS" w:eastAsia="Trebuchet MS" w:hAnsi="Trebuchet MS" w:cs="Trebuchet MS"/>
                <w:color w:val="000000"/>
                <w:sz w:val="22"/>
                <w:szCs w:val="22"/>
              </w:rPr>
              <w:t>non EEA</w:t>
            </w:r>
            <w:proofErr w:type="spellEnd"/>
            <w:r>
              <w:rPr>
                <w:rFonts w:ascii="Trebuchet MS" w:eastAsia="Trebuchet MS" w:hAnsi="Trebuchet MS" w:cs="Trebuchet MS"/>
                <w:color w:val="000000"/>
                <w:sz w:val="22"/>
                <w:szCs w:val="22"/>
              </w:rPr>
              <w:t xml:space="preserve"> / UK / </w:t>
            </w:r>
            <w:r>
              <w:rPr>
                <w:rFonts w:ascii="Trebuchet MS" w:eastAsia="Trebuchet MS" w:hAnsi="Trebuchet MS" w:cs="Trebuchet MS"/>
                <w:i/>
                <w:iCs/>
                <w:color w:val="000000"/>
                <w:sz w:val="22"/>
                <w:szCs w:val="22"/>
              </w:rPr>
              <w:t xml:space="preserve">(once </w:t>
            </w:r>
            <w:proofErr w:type="spellStart"/>
            <w:r>
              <w:rPr>
                <w:rFonts w:ascii="Trebuchet MS" w:eastAsia="Trebuchet MS" w:hAnsi="Trebuchet MS" w:cs="Trebuchet MS"/>
                <w:i/>
                <w:iCs/>
                <w:color w:val="000000"/>
                <w:sz w:val="22"/>
                <w:szCs w:val="22"/>
              </w:rPr>
              <w:t>authorised</w:t>
            </w:r>
            <w:proofErr w:type="spellEnd"/>
            <w:r>
              <w:rPr>
                <w:rFonts w:ascii="Trebuchet MS" w:eastAsia="Trebuchet MS" w:hAnsi="Trebuchet MS" w:cs="Trebuchet MS"/>
                <w:i/>
                <w:iCs/>
                <w:color w:val="000000"/>
                <w:sz w:val="22"/>
                <w:szCs w:val="22"/>
              </w:rPr>
              <w:t>)</w:t>
            </w:r>
            <w:r>
              <w:rPr>
                <w:rFonts w:ascii="Trebuchet MS" w:eastAsia="Trebuchet MS" w:hAnsi="Trebuchet MS" w:cs="Trebuchet MS"/>
                <w:color w:val="000000"/>
                <w:sz w:val="22"/>
                <w:szCs w:val="22"/>
              </w:rPr>
              <w:t xml:space="preserve"> Monaco</w:t>
            </w:r>
          </w:p>
          <w:p w14:paraId="18B6E9B6" w14:textId="77777777" w:rsidR="00592C29" w:rsidRDefault="0048296D" w:rsidP="00630EF8">
            <w:pPr>
              <w:tabs>
                <w:tab w:val="left" w:pos="4800"/>
              </w:tabs>
              <w:spacing w:after="60" w:line="276" w:lineRule="auto"/>
              <w:rPr>
                <w:color w:val="000000"/>
                <w:sz w:val="22"/>
                <w:szCs w:val="22"/>
              </w:rPr>
            </w:pPr>
            <w:r>
              <w:rPr>
                <w:rFonts w:ascii="Trebuchet MS" w:eastAsia="Trebuchet MS" w:hAnsi="Trebuchet MS" w:cs="Trebuchet MS"/>
                <w:color w:val="000000"/>
                <w:sz w:val="22"/>
                <w:szCs w:val="22"/>
              </w:rPr>
              <w:t>and</w:t>
            </w:r>
            <w:r>
              <w:rPr>
                <w:rFonts w:ascii="Trebuchet MS" w:eastAsia="Trebuchet MS" w:hAnsi="Trebuchet MS" w:cs="Trebuchet MS"/>
                <w:color w:val="000000"/>
                <w:sz w:val="22"/>
                <w:szCs w:val="22"/>
              </w:rPr>
              <w:tab/>
            </w:r>
          </w:p>
          <w:p w14:paraId="3C30B380" w14:textId="77777777" w:rsidR="00592C29" w:rsidRDefault="0048296D" w:rsidP="00A47347">
            <w:pPr>
              <w:spacing w:after="120" w:line="276" w:lineRule="auto"/>
              <w:rPr>
                <w:color w:val="000000"/>
                <w:sz w:val="22"/>
                <w:szCs w:val="22"/>
              </w:rPr>
            </w:pPr>
            <w:r>
              <w:rPr>
                <w:rFonts w:ascii="Trebuchet MS" w:eastAsia="Trebuchet MS" w:hAnsi="Trebuchet MS" w:cs="Trebuchet MS"/>
                <w:color w:val="000000"/>
                <w:sz w:val="22"/>
                <w:szCs w:val="22"/>
              </w:rPr>
              <w:t xml:space="preserve">Lloyd’s Insurance Company S.A. (5299 HIS) for EEA / UK / Monaco </w:t>
            </w:r>
            <w:r>
              <w:rPr>
                <w:rFonts w:ascii="Trebuchet MS" w:eastAsia="Trebuchet MS" w:hAnsi="Trebuchet MS" w:cs="Trebuchet MS"/>
                <w:i/>
                <w:iCs/>
                <w:color w:val="000000"/>
                <w:sz w:val="22"/>
                <w:szCs w:val="22"/>
              </w:rPr>
              <w:t xml:space="preserve">(should be included under Lloyd’s Brussels once </w:t>
            </w:r>
            <w:proofErr w:type="spellStart"/>
            <w:r>
              <w:rPr>
                <w:rFonts w:ascii="Trebuchet MS" w:eastAsia="Trebuchet MS" w:hAnsi="Trebuchet MS" w:cs="Trebuchet MS"/>
                <w:i/>
                <w:iCs/>
                <w:color w:val="000000"/>
                <w:sz w:val="22"/>
                <w:szCs w:val="22"/>
              </w:rPr>
              <w:t>licence</w:t>
            </w:r>
            <w:proofErr w:type="spellEnd"/>
            <w:r>
              <w:rPr>
                <w:rFonts w:ascii="Trebuchet MS" w:eastAsia="Trebuchet MS" w:hAnsi="Trebuchet MS" w:cs="Trebuchet MS"/>
                <w:i/>
                <w:iCs/>
                <w:color w:val="000000"/>
                <w:sz w:val="22"/>
                <w:szCs w:val="22"/>
              </w:rPr>
              <w:t xml:space="preserve"> </w:t>
            </w:r>
            <w:proofErr w:type="spellStart"/>
            <w:r>
              <w:rPr>
                <w:rFonts w:ascii="Trebuchet MS" w:eastAsia="Trebuchet MS" w:hAnsi="Trebuchet MS" w:cs="Trebuchet MS"/>
                <w:i/>
                <w:iCs/>
                <w:color w:val="000000"/>
                <w:sz w:val="22"/>
                <w:szCs w:val="22"/>
              </w:rPr>
              <w:t>authorised</w:t>
            </w:r>
            <w:proofErr w:type="spellEnd"/>
            <w:r>
              <w:rPr>
                <w:rFonts w:ascii="Trebuchet MS" w:eastAsia="Trebuchet MS" w:hAnsi="Trebuchet MS" w:cs="Trebuchet MS"/>
                <w:i/>
                <w:iCs/>
                <w:color w:val="000000"/>
                <w:sz w:val="22"/>
                <w:szCs w:val="22"/>
              </w:rPr>
              <w:t>)</w:t>
            </w:r>
          </w:p>
          <w:p w14:paraId="3362FACF" w14:textId="77777777" w:rsidR="00592C29" w:rsidRDefault="00592C29" w:rsidP="00A47347">
            <w:pPr>
              <w:spacing w:after="120" w:line="276" w:lineRule="auto"/>
              <w:rPr>
                <w:color w:val="000000"/>
                <w:sz w:val="22"/>
                <w:szCs w:val="22"/>
              </w:rPr>
            </w:pPr>
          </w:p>
          <w:p w14:paraId="773CB1B6" w14:textId="77777777" w:rsidR="00592C29" w:rsidRDefault="00592C29" w:rsidP="00A47347">
            <w:pPr>
              <w:spacing w:after="120" w:line="276" w:lineRule="auto"/>
              <w:rPr>
                <w:color w:val="000000"/>
                <w:sz w:val="22"/>
                <w:szCs w:val="22"/>
              </w:rPr>
            </w:pPr>
          </w:p>
        </w:tc>
      </w:tr>
      <w:tr w:rsidR="00592C29" w14:paraId="63D6B9BD" w14:textId="77777777">
        <w:tc>
          <w:tcPr>
            <w:tcW w:w="2376" w:type="dxa"/>
            <w:tcMar>
              <w:top w:w="5" w:type="dxa"/>
              <w:left w:w="113" w:type="dxa"/>
              <w:bottom w:w="5" w:type="dxa"/>
              <w:right w:w="113" w:type="dxa"/>
            </w:tcMar>
            <w:hideMark/>
          </w:tcPr>
          <w:p w14:paraId="6C1FA8D0" w14:textId="77777777" w:rsidR="00592C29" w:rsidRDefault="0048296D" w:rsidP="00A47347">
            <w:pPr>
              <w:spacing w:line="276" w:lineRule="auto"/>
              <w:rPr>
                <w:color w:val="000000"/>
                <w:sz w:val="22"/>
                <w:szCs w:val="22"/>
              </w:rPr>
            </w:pPr>
            <w:r>
              <w:rPr>
                <w:rFonts w:ascii="Trebuchet MS" w:eastAsia="Trebuchet MS" w:hAnsi="Trebuchet MS" w:cs="Trebuchet MS"/>
                <w:b/>
                <w:bCs/>
                <w:color w:val="000000"/>
                <w:sz w:val="22"/>
                <w:szCs w:val="22"/>
              </w:rPr>
              <w:t>BUREAU LEADER:</w:t>
            </w:r>
          </w:p>
        </w:tc>
        <w:tc>
          <w:tcPr>
            <w:tcW w:w="7371" w:type="dxa"/>
            <w:tcMar>
              <w:top w:w="5" w:type="dxa"/>
              <w:left w:w="113" w:type="dxa"/>
              <w:bottom w:w="5" w:type="dxa"/>
              <w:right w:w="113" w:type="dxa"/>
            </w:tcMar>
            <w:hideMark/>
          </w:tcPr>
          <w:p w14:paraId="159C3292" w14:textId="77777777" w:rsidR="00592C29" w:rsidRDefault="0048296D" w:rsidP="00630EF8">
            <w:pPr>
              <w:spacing w:after="60" w:line="276" w:lineRule="auto"/>
              <w:rPr>
                <w:color w:val="000000"/>
                <w:sz w:val="22"/>
                <w:szCs w:val="22"/>
              </w:rPr>
            </w:pPr>
            <w:r>
              <w:rPr>
                <w:rFonts w:ascii="Trebuchet MS" w:eastAsia="Trebuchet MS" w:hAnsi="Trebuchet MS" w:cs="Trebuchet MS"/>
                <w:color w:val="000000"/>
                <w:sz w:val="22"/>
                <w:szCs w:val="22"/>
              </w:rPr>
              <w:t xml:space="preserve">Lloyd’s Bureau Leader is ABC Syndicate for </w:t>
            </w:r>
            <w:proofErr w:type="spellStart"/>
            <w:r>
              <w:rPr>
                <w:rFonts w:ascii="Trebuchet MS" w:eastAsia="Trebuchet MS" w:hAnsi="Trebuchet MS" w:cs="Trebuchet MS"/>
                <w:color w:val="000000"/>
                <w:sz w:val="22"/>
                <w:szCs w:val="22"/>
              </w:rPr>
              <w:t>non EEA</w:t>
            </w:r>
            <w:proofErr w:type="spellEnd"/>
            <w:r>
              <w:rPr>
                <w:rFonts w:ascii="Trebuchet MS" w:eastAsia="Trebuchet MS" w:hAnsi="Trebuchet MS" w:cs="Trebuchet MS"/>
                <w:color w:val="000000"/>
                <w:sz w:val="22"/>
                <w:szCs w:val="22"/>
              </w:rPr>
              <w:t xml:space="preserve"> / UK / </w:t>
            </w:r>
            <w:r>
              <w:rPr>
                <w:rFonts w:ascii="Trebuchet MS" w:eastAsia="Trebuchet MS" w:hAnsi="Trebuchet MS" w:cs="Trebuchet MS"/>
                <w:i/>
                <w:iCs/>
                <w:color w:val="000000"/>
                <w:sz w:val="22"/>
                <w:szCs w:val="22"/>
              </w:rPr>
              <w:t xml:space="preserve">(once </w:t>
            </w:r>
            <w:proofErr w:type="spellStart"/>
            <w:r>
              <w:rPr>
                <w:rFonts w:ascii="Trebuchet MS" w:eastAsia="Trebuchet MS" w:hAnsi="Trebuchet MS" w:cs="Trebuchet MS"/>
                <w:i/>
                <w:iCs/>
                <w:color w:val="000000"/>
                <w:sz w:val="22"/>
                <w:szCs w:val="22"/>
              </w:rPr>
              <w:t>authorised</w:t>
            </w:r>
            <w:proofErr w:type="spellEnd"/>
            <w:r>
              <w:rPr>
                <w:rFonts w:ascii="Trebuchet MS" w:eastAsia="Trebuchet MS" w:hAnsi="Trebuchet MS" w:cs="Trebuchet MS"/>
                <w:i/>
                <w:iCs/>
                <w:color w:val="000000"/>
                <w:sz w:val="22"/>
                <w:szCs w:val="22"/>
              </w:rPr>
              <w:t xml:space="preserve">) </w:t>
            </w:r>
            <w:r>
              <w:rPr>
                <w:rFonts w:ascii="Trebuchet MS" w:eastAsia="Trebuchet MS" w:hAnsi="Trebuchet MS" w:cs="Trebuchet MS"/>
                <w:color w:val="000000"/>
                <w:sz w:val="22"/>
                <w:szCs w:val="22"/>
              </w:rPr>
              <w:t>Monaco</w:t>
            </w:r>
          </w:p>
          <w:p w14:paraId="244CBA05" w14:textId="77777777" w:rsidR="00592C29" w:rsidRDefault="0048296D" w:rsidP="00630EF8">
            <w:pPr>
              <w:spacing w:after="60" w:line="276" w:lineRule="auto"/>
              <w:rPr>
                <w:color w:val="000000"/>
                <w:sz w:val="22"/>
                <w:szCs w:val="22"/>
              </w:rPr>
            </w:pPr>
            <w:r>
              <w:rPr>
                <w:rFonts w:ascii="Trebuchet MS" w:eastAsia="Trebuchet MS" w:hAnsi="Trebuchet MS" w:cs="Trebuchet MS"/>
                <w:i/>
                <w:iCs/>
                <w:color w:val="000000"/>
                <w:sz w:val="22"/>
                <w:szCs w:val="22"/>
              </w:rPr>
              <w:t>and</w:t>
            </w:r>
          </w:p>
          <w:p w14:paraId="2E892763" w14:textId="77777777" w:rsidR="00592C29" w:rsidRDefault="0048296D" w:rsidP="00630EF8">
            <w:pPr>
              <w:spacing w:after="240" w:line="276" w:lineRule="auto"/>
              <w:rPr>
                <w:color w:val="000000"/>
                <w:sz w:val="22"/>
                <w:szCs w:val="22"/>
              </w:rPr>
            </w:pPr>
            <w:r>
              <w:rPr>
                <w:rFonts w:ascii="Trebuchet MS" w:eastAsia="Trebuchet MS" w:hAnsi="Trebuchet MS" w:cs="Trebuchet MS"/>
                <w:color w:val="000000"/>
                <w:sz w:val="22"/>
                <w:szCs w:val="22"/>
              </w:rPr>
              <w:t xml:space="preserve">Lloyd’s Insurance Company S.A. (SSS NNN) for EEA / UK / Monaco </w:t>
            </w:r>
            <w:r>
              <w:rPr>
                <w:rFonts w:ascii="Trebuchet MS" w:eastAsia="Trebuchet MS" w:hAnsi="Trebuchet MS" w:cs="Trebuchet MS"/>
                <w:i/>
                <w:iCs/>
                <w:color w:val="000000"/>
                <w:sz w:val="22"/>
                <w:szCs w:val="22"/>
              </w:rPr>
              <w:t xml:space="preserve">(should be included under Lloyd’s Brussels once </w:t>
            </w:r>
            <w:proofErr w:type="spellStart"/>
            <w:r>
              <w:rPr>
                <w:rFonts w:ascii="Trebuchet MS" w:eastAsia="Trebuchet MS" w:hAnsi="Trebuchet MS" w:cs="Trebuchet MS"/>
                <w:i/>
                <w:iCs/>
                <w:color w:val="000000"/>
                <w:sz w:val="22"/>
                <w:szCs w:val="22"/>
              </w:rPr>
              <w:t>licence</w:t>
            </w:r>
            <w:proofErr w:type="spellEnd"/>
            <w:r>
              <w:rPr>
                <w:rFonts w:ascii="Trebuchet MS" w:eastAsia="Trebuchet MS" w:hAnsi="Trebuchet MS" w:cs="Trebuchet MS"/>
                <w:i/>
                <w:iCs/>
                <w:color w:val="000000"/>
                <w:sz w:val="22"/>
                <w:szCs w:val="22"/>
              </w:rPr>
              <w:t xml:space="preserve"> </w:t>
            </w:r>
            <w:proofErr w:type="spellStart"/>
            <w:r>
              <w:rPr>
                <w:rFonts w:ascii="Trebuchet MS" w:eastAsia="Trebuchet MS" w:hAnsi="Trebuchet MS" w:cs="Trebuchet MS"/>
                <w:i/>
                <w:iCs/>
                <w:color w:val="000000"/>
                <w:sz w:val="22"/>
                <w:szCs w:val="22"/>
              </w:rPr>
              <w:t>authorised</w:t>
            </w:r>
            <w:proofErr w:type="spellEnd"/>
            <w:r>
              <w:rPr>
                <w:rFonts w:ascii="Trebuchet MS" w:eastAsia="Trebuchet MS" w:hAnsi="Trebuchet MS" w:cs="Trebuchet MS"/>
                <w:i/>
                <w:iCs/>
                <w:color w:val="000000"/>
                <w:sz w:val="22"/>
                <w:szCs w:val="22"/>
              </w:rPr>
              <w:t>)</w:t>
            </w:r>
          </w:p>
          <w:p w14:paraId="716D4802" w14:textId="77777777" w:rsidR="00592C29" w:rsidRDefault="0048296D" w:rsidP="00A47347">
            <w:pPr>
              <w:spacing w:after="120" w:line="276" w:lineRule="auto"/>
              <w:rPr>
                <w:color w:val="000000"/>
                <w:sz w:val="22"/>
                <w:szCs w:val="22"/>
              </w:rPr>
            </w:pPr>
            <w:r>
              <w:rPr>
                <w:rFonts w:ascii="Trebuchet MS" w:eastAsia="Trebuchet MS" w:hAnsi="Trebuchet MS" w:cs="Trebuchet MS"/>
                <w:color w:val="000000"/>
                <w:sz w:val="22"/>
                <w:szCs w:val="22"/>
              </w:rPr>
              <w:t>The Company Bureau Leader is DEF Company Ltd</w:t>
            </w:r>
          </w:p>
          <w:p w14:paraId="08707A54" w14:textId="77777777" w:rsidR="00592C29" w:rsidRDefault="00592C29" w:rsidP="00A47347">
            <w:pPr>
              <w:spacing w:after="120" w:line="276" w:lineRule="auto"/>
              <w:rPr>
                <w:color w:val="000000"/>
                <w:sz w:val="22"/>
                <w:szCs w:val="22"/>
              </w:rPr>
            </w:pPr>
          </w:p>
          <w:p w14:paraId="5E1196E5" w14:textId="77777777" w:rsidR="00592C29" w:rsidRDefault="00592C29" w:rsidP="00A47347">
            <w:pPr>
              <w:spacing w:after="120" w:line="276" w:lineRule="auto"/>
              <w:rPr>
                <w:color w:val="000000"/>
                <w:sz w:val="22"/>
                <w:szCs w:val="22"/>
              </w:rPr>
            </w:pPr>
          </w:p>
        </w:tc>
      </w:tr>
      <w:tr w:rsidR="00592C29" w14:paraId="5FA096C3" w14:textId="77777777">
        <w:tc>
          <w:tcPr>
            <w:tcW w:w="2376" w:type="dxa"/>
            <w:tcMar>
              <w:top w:w="5" w:type="dxa"/>
              <w:left w:w="113" w:type="dxa"/>
              <w:bottom w:w="5" w:type="dxa"/>
              <w:right w:w="113" w:type="dxa"/>
            </w:tcMar>
            <w:hideMark/>
          </w:tcPr>
          <w:p w14:paraId="3FA06CBD" w14:textId="77777777" w:rsidR="00592C29" w:rsidRDefault="0048296D" w:rsidP="00A47347">
            <w:pPr>
              <w:spacing w:line="276" w:lineRule="auto"/>
              <w:rPr>
                <w:color w:val="000000"/>
                <w:sz w:val="22"/>
                <w:szCs w:val="22"/>
              </w:rPr>
            </w:pPr>
            <w:r>
              <w:rPr>
                <w:rFonts w:ascii="Trebuchet MS" w:eastAsia="Trebuchet MS" w:hAnsi="Trebuchet MS" w:cs="Trebuchet MS"/>
                <w:b/>
                <w:bCs/>
                <w:color w:val="000000"/>
                <w:sz w:val="22"/>
                <w:szCs w:val="22"/>
              </w:rPr>
              <w:t>BASIS OF AGREEMENT TO CONTRACT CHANGES:</w:t>
            </w:r>
          </w:p>
        </w:tc>
        <w:tc>
          <w:tcPr>
            <w:tcW w:w="7371" w:type="dxa"/>
            <w:tcMar>
              <w:top w:w="5" w:type="dxa"/>
              <w:left w:w="113" w:type="dxa"/>
              <w:bottom w:w="5" w:type="dxa"/>
              <w:right w:w="113" w:type="dxa"/>
            </w:tcMar>
            <w:hideMark/>
          </w:tcPr>
          <w:p w14:paraId="087869C7" w14:textId="77777777" w:rsidR="00592C29" w:rsidRDefault="0048296D" w:rsidP="00A47347">
            <w:pPr>
              <w:spacing w:after="120" w:line="276" w:lineRule="auto"/>
              <w:rPr>
                <w:color w:val="000000"/>
                <w:sz w:val="22"/>
                <w:szCs w:val="22"/>
              </w:rPr>
            </w:pPr>
            <w:r>
              <w:rPr>
                <w:rFonts w:ascii="Trebuchet MS" w:eastAsia="Trebuchet MS" w:hAnsi="Trebuchet MS" w:cs="Trebuchet MS"/>
                <w:color w:val="000000"/>
                <w:sz w:val="22"/>
                <w:szCs w:val="22"/>
              </w:rPr>
              <w:t>GUA (Version 2.0 February 2014) with Non–Marine Schedule (October</w:t>
            </w:r>
            <w:r>
              <w:rPr>
                <w:rFonts w:ascii="Trebuchet MS" w:eastAsia="Trebuchet MS" w:hAnsi="Trebuchet MS" w:cs="Trebuchet MS"/>
                <w:b/>
                <w:bCs/>
                <w:color w:val="000000"/>
                <w:sz w:val="22"/>
                <w:szCs w:val="22"/>
              </w:rPr>
              <w:t xml:space="preserve"> </w:t>
            </w:r>
            <w:r>
              <w:rPr>
                <w:rFonts w:ascii="Trebuchet MS" w:eastAsia="Trebuchet MS" w:hAnsi="Trebuchet MS" w:cs="Trebuchet MS"/>
                <w:color w:val="000000"/>
                <w:sz w:val="22"/>
                <w:szCs w:val="22"/>
              </w:rPr>
              <w:t>2001)</w:t>
            </w:r>
          </w:p>
          <w:p w14:paraId="2BB22184" w14:textId="77777777" w:rsidR="00592C29" w:rsidRDefault="0048296D" w:rsidP="00630EF8">
            <w:pPr>
              <w:spacing w:after="120"/>
              <w:rPr>
                <w:color w:val="000000"/>
                <w:sz w:val="22"/>
                <w:szCs w:val="22"/>
              </w:rPr>
            </w:pPr>
            <w:r>
              <w:rPr>
                <w:rFonts w:ascii="Trebuchet MS" w:eastAsia="Trebuchet MS" w:hAnsi="Trebuchet MS" w:cs="Trebuchet MS"/>
                <w:i/>
                <w:iCs/>
                <w:color w:val="000000"/>
                <w:sz w:val="22"/>
                <w:szCs w:val="22"/>
              </w:rPr>
              <w:t xml:space="preserve">(Note: This existing MRC model text references the applicable contract change agreement practice e.g. GUA or AVS100B). </w:t>
            </w:r>
          </w:p>
          <w:p w14:paraId="6BBC998B" w14:textId="77777777" w:rsidR="00592C29" w:rsidRDefault="0048296D" w:rsidP="00A47347">
            <w:pPr>
              <w:spacing w:after="120" w:line="276" w:lineRule="auto"/>
              <w:rPr>
                <w:color w:val="000000"/>
                <w:sz w:val="22"/>
                <w:szCs w:val="22"/>
              </w:rPr>
            </w:pPr>
            <w:r>
              <w:rPr>
                <w:rFonts w:ascii="Trebuchet MS" w:eastAsia="Trebuchet MS" w:hAnsi="Trebuchet MS" w:cs="Trebuchet MS"/>
                <w:color w:val="000000"/>
                <w:sz w:val="22"/>
                <w:szCs w:val="22"/>
              </w:rPr>
              <w:t xml:space="preserve">Wherever practicable, between the broker and each (re)insurer which have at any time the ability to send and receive ACORD messages:  </w:t>
            </w:r>
          </w:p>
          <w:p w14:paraId="3D5B6C79" w14:textId="77777777" w:rsidR="00592C29" w:rsidRDefault="0048296D" w:rsidP="00A47347">
            <w:pPr>
              <w:spacing w:after="120" w:line="276" w:lineRule="auto"/>
              <w:rPr>
                <w:color w:val="000000"/>
                <w:sz w:val="22"/>
                <w:szCs w:val="22"/>
              </w:rPr>
            </w:pPr>
            <w:r>
              <w:rPr>
                <w:rFonts w:ascii="Trebuchet MS" w:eastAsia="Trebuchet MS" w:hAnsi="Trebuchet MS" w:cs="Trebuchet MS"/>
                <w:color w:val="000000"/>
                <w:sz w:val="22"/>
                <w:szCs w:val="22"/>
              </w:rPr>
              <w:t>1.</w:t>
            </w:r>
            <w:r>
              <w:rPr>
                <w:rFonts w:ascii="Trebuchet MS" w:eastAsia="Trebuchet MS" w:hAnsi="Trebuchet MS" w:cs="Trebuchet MS"/>
                <w:color w:val="000000"/>
                <w:sz w:val="22"/>
                <w:szCs w:val="22"/>
              </w:rPr>
              <w:tab/>
              <w:t>the broker agrees that any proposed contract change will be requested via an ‘ACORD message’ or using an ACORD enabled electronic trading platform;</w:t>
            </w:r>
          </w:p>
          <w:p w14:paraId="775D24E9" w14:textId="77777777" w:rsidR="00592C29" w:rsidRDefault="0048296D" w:rsidP="00A47347">
            <w:pPr>
              <w:spacing w:after="120" w:line="276" w:lineRule="auto"/>
              <w:rPr>
                <w:color w:val="000000"/>
                <w:sz w:val="22"/>
                <w:szCs w:val="22"/>
              </w:rPr>
            </w:pPr>
            <w:r>
              <w:rPr>
                <w:rFonts w:ascii="Trebuchet MS" w:eastAsia="Trebuchet MS" w:hAnsi="Trebuchet MS" w:cs="Trebuchet MS"/>
                <w:color w:val="000000"/>
                <w:sz w:val="22"/>
                <w:szCs w:val="22"/>
              </w:rPr>
              <w:t>2.</w:t>
            </w:r>
            <w:r>
              <w:rPr>
                <w:rFonts w:ascii="Trebuchet MS" w:eastAsia="Trebuchet MS" w:hAnsi="Trebuchet MS" w:cs="Trebuchet MS"/>
                <w:color w:val="000000"/>
                <w:sz w:val="22"/>
                <w:szCs w:val="22"/>
              </w:rPr>
              <w:tab/>
              <w:t>whilst the parties may negotiate and agree any contract change in any legally effective manner, each relevant (re)insurer agrees to respond via an appropriate ‘ACORD message’ or using an ACORD enabled electronic trading platform;</w:t>
            </w:r>
          </w:p>
          <w:p w14:paraId="4B5DFF5F" w14:textId="77777777" w:rsidR="00592C29" w:rsidRDefault="0048296D" w:rsidP="00A47347">
            <w:pPr>
              <w:spacing w:after="120" w:line="276" w:lineRule="auto"/>
              <w:rPr>
                <w:color w:val="000000"/>
                <w:sz w:val="22"/>
                <w:szCs w:val="22"/>
              </w:rPr>
            </w:pPr>
            <w:r>
              <w:rPr>
                <w:rFonts w:ascii="Trebuchet MS" w:eastAsia="Trebuchet MS" w:hAnsi="Trebuchet MS" w:cs="Trebuchet MS"/>
                <w:color w:val="000000"/>
                <w:sz w:val="22"/>
                <w:szCs w:val="22"/>
              </w:rPr>
              <w:t>3.</w:t>
            </w:r>
            <w:r>
              <w:rPr>
                <w:rFonts w:ascii="Trebuchet MS" w:eastAsia="Trebuchet MS" w:hAnsi="Trebuchet MS" w:cs="Trebuchet MS"/>
                <w:color w:val="000000"/>
                <w:sz w:val="22"/>
                <w:szCs w:val="22"/>
              </w:rPr>
              <w:tab/>
              <w:t>where a (re)insurer has requested to receive notification of any contract change the broker agrees to send the notification via an ‘ACORD message’ or using an ACORD enabled electronic trading platform.</w:t>
            </w:r>
          </w:p>
          <w:p w14:paraId="4CA17F3A" w14:textId="77777777" w:rsidR="00592C29" w:rsidRDefault="0048296D" w:rsidP="00A47347">
            <w:pPr>
              <w:spacing w:after="120" w:line="276" w:lineRule="auto"/>
              <w:rPr>
                <w:color w:val="000000"/>
                <w:sz w:val="22"/>
                <w:szCs w:val="22"/>
              </w:rPr>
            </w:pPr>
            <w:r>
              <w:rPr>
                <w:rFonts w:ascii="Trebuchet MS" w:eastAsia="Trebuchet MS" w:hAnsi="Trebuchet MS" w:cs="Trebuchet MS"/>
                <w:i/>
                <w:iCs/>
                <w:color w:val="000000"/>
                <w:sz w:val="22"/>
                <w:szCs w:val="22"/>
              </w:rPr>
              <w:t xml:space="preserve">(Note: This model text promotes the use of ACORD messaging as the means of endorsement submission, agreement and notification). </w:t>
            </w:r>
          </w:p>
          <w:p w14:paraId="6A9AC330" w14:textId="77777777" w:rsidR="00592C29" w:rsidRDefault="00592C29" w:rsidP="00A47347">
            <w:pPr>
              <w:spacing w:after="120" w:line="276" w:lineRule="auto"/>
              <w:rPr>
                <w:color w:val="000000"/>
                <w:sz w:val="22"/>
                <w:szCs w:val="22"/>
              </w:rPr>
            </w:pPr>
          </w:p>
          <w:p w14:paraId="4E3EF096" w14:textId="77777777" w:rsidR="00592C29" w:rsidRDefault="00592C29" w:rsidP="00A47347">
            <w:pPr>
              <w:spacing w:after="120" w:line="276" w:lineRule="auto"/>
              <w:rPr>
                <w:color w:val="000000"/>
                <w:sz w:val="22"/>
                <w:szCs w:val="22"/>
              </w:rPr>
            </w:pPr>
          </w:p>
        </w:tc>
      </w:tr>
      <w:tr w:rsidR="00592C29" w14:paraId="5F2F2EAE" w14:textId="77777777">
        <w:tc>
          <w:tcPr>
            <w:tcW w:w="2376" w:type="dxa"/>
            <w:tcMar>
              <w:top w:w="5" w:type="dxa"/>
              <w:left w:w="113" w:type="dxa"/>
              <w:bottom w:w="5" w:type="dxa"/>
              <w:right w:w="113" w:type="dxa"/>
            </w:tcMar>
            <w:hideMark/>
          </w:tcPr>
          <w:p w14:paraId="2EC4A2BD" w14:textId="77777777" w:rsidR="00592C29" w:rsidRDefault="0048296D" w:rsidP="00A47347">
            <w:pPr>
              <w:spacing w:line="276" w:lineRule="auto"/>
              <w:rPr>
                <w:color w:val="000000"/>
                <w:sz w:val="22"/>
                <w:szCs w:val="22"/>
              </w:rPr>
            </w:pPr>
            <w:r>
              <w:rPr>
                <w:rFonts w:ascii="Trebuchet MS" w:eastAsia="Trebuchet MS" w:hAnsi="Trebuchet MS" w:cs="Trebuchet MS"/>
                <w:b/>
                <w:bCs/>
                <w:color w:val="000000"/>
                <w:sz w:val="22"/>
                <w:szCs w:val="22"/>
              </w:rPr>
              <w:t>OTHER AGREEMENT PARTIES FOR CONTRACT CHANGES, FOR PART 2 GUA CHANGES ONLY:</w:t>
            </w:r>
          </w:p>
        </w:tc>
        <w:tc>
          <w:tcPr>
            <w:tcW w:w="7371" w:type="dxa"/>
            <w:tcMar>
              <w:top w:w="5" w:type="dxa"/>
              <w:left w:w="113" w:type="dxa"/>
              <w:bottom w:w="5" w:type="dxa"/>
              <w:right w:w="113" w:type="dxa"/>
            </w:tcMar>
            <w:hideMark/>
          </w:tcPr>
          <w:p w14:paraId="48A3F5B7" w14:textId="77777777" w:rsidR="00592C29" w:rsidRDefault="0048296D" w:rsidP="00A47347">
            <w:pPr>
              <w:spacing w:after="120" w:line="276" w:lineRule="auto"/>
              <w:rPr>
                <w:color w:val="000000"/>
                <w:sz w:val="22"/>
                <w:szCs w:val="22"/>
              </w:rPr>
            </w:pPr>
            <w:r>
              <w:rPr>
                <w:rFonts w:ascii="Trebuchet MS" w:eastAsia="Trebuchet MS" w:hAnsi="Trebuchet MS" w:cs="Trebuchet MS"/>
                <w:color w:val="000000"/>
                <w:sz w:val="22"/>
                <w:szCs w:val="22"/>
              </w:rPr>
              <w:t>Slip leader only to agree part two changes.</w:t>
            </w:r>
          </w:p>
          <w:p w14:paraId="55164B24" w14:textId="27AAC276" w:rsidR="00592C29" w:rsidRDefault="0048296D" w:rsidP="00A47347">
            <w:pPr>
              <w:spacing w:after="120" w:line="276" w:lineRule="auto"/>
              <w:rPr>
                <w:rFonts w:ascii="Trebuchet MS" w:eastAsia="Trebuchet MS" w:hAnsi="Trebuchet MS" w:cs="Trebuchet MS"/>
                <w:i/>
                <w:iCs/>
                <w:color w:val="000000"/>
                <w:sz w:val="22"/>
                <w:szCs w:val="22"/>
              </w:rPr>
            </w:pPr>
            <w:r>
              <w:rPr>
                <w:rFonts w:ascii="Trebuchet MS" w:eastAsia="Trebuchet MS" w:hAnsi="Trebuchet MS" w:cs="Trebuchet MS"/>
                <w:i/>
                <w:iCs/>
                <w:color w:val="000000"/>
                <w:sz w:val="22"/>
                <w:szCs w:val="22"/>
              </w:rPr>
              <w:t>(NB. In respect of EEA risks, whilst subscribing outsourced managing agents are all agreeing on behalf of the single legal entity that is Lloyd’s Brussels, as EEA risks will be automatically 100% reinsured back to Lloyd’s Underwriters, managing agents may wish to insert their details here as an agreement party)</w:t>
            </w:r>
          </w:p>
          <w:p w14:paraId="5CF2FA03" w14:textId="77777777" w:rsidR="000B6F89" w:rsidRDefault="000B6F89" w:rsidP="00A47347">
            <w:pPr>
              <w:spacing w:after="120" w:line="276" w:lineRule="auto"/>
              <w:rPr>
                <w:color w:val="000000"/>
                <w:sz w:val="22"/>
                <w:szCs w:val="22"/>
              </w:rPr>
            </w:pPr>
          </w:p>
          <w:p w14:paraId="534D7FDD" w14:textId="77777777" w:rsidR="00592C29" w:rsidRDefault="00592C29" w:rsidP="00A47347">
            <w:pPr>
              <w:spacing w:after="120" w:line="276" w:lineRule="auto"/>
              <w:rPr>
                <w:color w:val="000000"/>
                <w:sz w:val="22"/>
                <w:szCs w:val="22"/>
              </w:rPr>
            </w:pPr>
          </w:p>
        </w:tc>
      </w:tr>
      <w:tr w:rsidR="00592C29" w14:paraId="513E96C2" w14:textId="77777777">
        <w:tc>
          <w:tcPr>
            <w:tcW w:w="2376" w:type="dxa"/>
            <w:tcMar>
              <w:top w:w="5" w:type="dxa"/>
              <w:left w:w="113" w:type="dxa"/>
              <w:bottom w:w="5" w:type="dxa"/>
              <w:right w:w="113" w:type="dxa"/>
            </w:tcMar>
            <w:hideMark/>
          </w:tcPr>
          <w:p w14:paraId="23816E77" w14:textId="77777777" w:rsidR="00592C29" w:rsidRDefault="0048296D" w:rsidP="000B6F89">
            <w:pPr>
              <w:spacing w:line="276" w:lineRule="auto"/>
              <w:rPr>
                <w:color w:val="000000"/>
                <w:sz w:val="22"/>
                <w:szCs w:val="22"/>
              </w:rPr>
            </w:pPr>
            <w:r>
              <w:rPr>
                <w:rFonts w:ascii="Trebuchet MS" w:eastAsia="Trebuchet MS" w:hAnsi="Trebuchet MS" w:cs="Trebuchet MS"/>
                <w:b/>
                <w:bCs/>
                <w:color w:val="000000"/>
                <w:sz w:val="22"/>
                <w:szCs w:val="22"/>
              </w:rPr>
              <w:lastRenderedPageBreak/>
              <w:t>AGREEMENT PARTIES FOR CONTRACT CHANGES, FOR THEIR PROPORTION ONLY:</w:t>
            </w:r>
          </w:p>
        </w:tc>
        <w:tc>
          <w:tcPr>
            <w:tcW w:w="7371" w:type="dxa"/>
            <w:tcMar>
              <w:top w:w="5" w:type="dxa"/>
              <w:left w:w="113" w:type="dxa"/>
              <w:bottom w:w="5" w:type="dxa"/>
              <w:right w:w="113" w:type="dxa"/>
            </w:tcMar>
            <w:hideMark/>
          </w:tcPr>
          <w:p w14:paraId="37778826" w14:textId="77777777" w:rsidR="00592C29" w:rsidRDefault="0048296D" w:rsidP="000B6F89">
            <w:pPr>
              <w:spacing w:after="120" w:line="276" w:lineRule="auto"/>
              <w:rPr>
                <w:color w:val="000000"/>
                <w:sz w:val="22"/>
                <w:szCs w:val="22"/>
              </w:rPr>
            </w:pPr>
            <w:r>
              <w:rPr>
                <w:rFonts w:ascii="Trebuchet MS" w:eastAsia="Trebuchet MS" w:hAnsi="Trebuchet MS" w:cs="Trebuchet MS"/>
                <w:color w:val="000000"/>
                <w:sz w:val="22"/>
                <w:szCs w:val="22"/>
              </w:rPr>
              <w:t>DEF Company Ltd to agree all contract changes.</w:t>
            </w:r>
          </w:p>
          <w:p w14:paraId="7FAEE721" w14:textId="33C35191" w:rsidR="00592C29" w:rsidRDefault="0048296D" w:rsidP="000B6F89">
            <w:pPr>
              <w:spacing w:after="120" w:line="276" w:lineRule="auto"/>
              <w:rPr>
                <w:color w:val="000000"/>
                <w:sz w:val="22"/>
                <w:szCs w:val="22"/>
              </w:rPr>
            </w:pPr>
            <w:r>
              <w:rPr>
                <w:rFonts w:ascii="Trebuchet MS" w:eastAsia="Trebuchet MS" w:hAnsi="Trebuchet MS" w:cs="Trebuchet MS"/>
                <w:i/>
                <w:iCs/>
                <w:color w:val="000000"/>
                <w:sz w:val="22"/>
                <w:szCs w:val="22"/>
              </w:rPr>
              <w:t>(NB. In respect of EEA risks, the subscribing outsourced Managing Agents underwrite on behalf of the single legal entity that is Lloyd’s Brussels, with EEA risks automatically reinsured 100% to those Lloyd’s Underwriters and Syndicates that may have inserted their details as an agreement party here)</w:t>
            </w:r>
          </w:p>
          <w:p w14:paraId="73E5C835" w14:textId="77777777" w:rsidR="00592C29" w:rsidRDefault="00592C29" w:rsidP="000B6F89">
            <w:pPr>
              <w:spacing w:after="120" w:line="276" w:lineRule="auto"/>
              <w:rPr>
                <w:color w:val="000000"/>
                <w:sz w:val="22"/>
                <w:szCs w:val="22"/>
              </w:rPr>
            </w:pPr>
          </w:p>
        </w:tc>
      </w:tr>
      <w:tr w:rsidR="00592C29" w14:paraId="48EBF35B" w14:textId="77777777">
        <w:tc>
          <w:tcPr>
            <w:tcW w:w="2376" w:type="dxa"/>
            <w:tcMar>
              <w:top w:w="5" w:type="dxa"/>
              <w:left w:w="113" w:type="dxa"/>
              <w:bottom w:w="5" w:type="dxa"/>
              <w:right w:w="113" w:type="dxa"/>
            </w:tcMar>
            <w:hideMark/>
          </w:tcPr>
          <w:p w14:paraId="692A73E7" w14:textId="77777777" w:rsidR="00592C29" w:rsidRDefault="0048296D" w:rsidP="000B6F89">
            <w:pPr>
              <w:spacing w:line="276" w:lineRule="auto"/>
              <w:rPr>
                <w:color w:val="000000"/>
                <w:sz w:val="22"/>
                <w:szCs w:val="22"/>
              </w:rPr>
            </w:pPr>
            <w:r>
              <w:rPr>
                <w:rFonts w:ascii="Trebuchet MS" w:eastAsia="Trebuchet MS" w:hAnsi="Trebuchet MS" w:cs="Trebuchet MS"/>
                <w:b/>
                <w:bCs/>
                <w:color w:val="000000"/>
                <w:spacing w:val="-4"/>
                <w:sz w:val="22"/>
                <w:szCs w:val="22"/>
              </w:rPr>
              <w:t xml:space="preserve">BASIS OF CLAIMS </w:t>
            </w:r>
            <w:r>
              <w:rPr>
                <w:rFonts w:ascii="Trebuchet MS" w:eastAsia="Trebuchet MS" w:hAnsi="Trebuchet MS" w:cs="Trebuchet MS"/>
                <w:b/>
                <w:bCs/>
                <w:color w:val="000000"/>
                <w:sz w:val="22"/>
                <w:szCs w:val="22"/>
              </w:rPr>
              <w:t>AGREEMENT:</w:t>
            </w:r>
          </w:p>
        </w:tc>
        <w:tc>
          <w:tcPr>
            <w:tcW w:w="7371" w:type="dxa"/>
            <w:tcMar>
              <w:top w:w="5" w:type="dxa"/>
              <w:left w:w="113" w:type="dxa"/>
              <w:bottom w:w="5" w:type="dxa"/>
              <w:right w:w="113" w:type="dxa"/>
            </w:tcMar>
            <w:hideMark/>
          </w:tcPr>
          <w:p w14:paraId="1CAD668C" w14:textId="77777777" w:rsidR="00592C29" w:rsidRDefault="0048296D" w:rsidP="000B6F89">
            <w:pPr>
              <w:keepNext/>
              <w:keepLines/>
              <w:spacing w:after="120" w:line="276" w:lineRule="auto"/>
              <w:rPr>
                <w:color w:val="000000"/>
                <w:sz w:val="22"/>
                <w:szCs w:val="22"/>
              </w:rPr>
            </w:pPr>
            <w:r>
              <w:rPr>
                <w:rFonts w:ascii="Trebuchet MS" w:eastAsia="Trebuchet MS" w:hAnsi="Trebuchet MS" w:cs="Trebuchet MS"/>
                <w:color w:val="000000"/>
                <w:sz w:val="22"/>
                <w:szCs w:val="22"/>
              </w:rPr>
              <w:t>As specified under the CLAIMS AGREEMENT PARTIES and to be managed in accordance with:</w:t>
            </w:r>
          </w:p>
          <w:p w14:paraId="19FBB124" w14:textId="4BC6000E" w:rsidR="00592C29" w:rsidRDefault="000B6F89" w:rsidP="000B6F89">
            <w:pPr>
              <w:spacing w:after="120"/>
              <w:ind w:left="567" w:hanging="567"/>
              <w:rPr>
                <w:color w:val="000000"/>
                <w:sz w:val="22"/>
                <w:szCs w:val="22"/>
              </w:rPr>
            </w:pPr>
            <w:proofErr w:type="spellStart"/>
            <w:r>
              <w:rPr>
                <w:rFonts w:ascii="Trebuchet MS" w:eastAsia="Trebuchet MS" w:hAnsi="Trebuchet MS" w:cs="Trebuchet MS"/>
                <w:color w:val="000000"/>
                <w:sz w:val="22"/>
                <w:szCs w:val="22"/>
              </w:rPr>
              <w:t>i</w:t>
            </w:r>
            <w:proofErr w:type="spellEnd"/>
            <w:r w:rsidR="0048296D">
              <w:rPr>
                <w:rFonts w:ascii="Trebuchet MS" w:eastAsia="Trebuchet MS" w:hAnsi="Trebuchet MS" w:cs="Trebuchet MS"/>
                <w:color w:val="000000"/>
                <w:sz w:val="22"/>
                <w:szCs w:val="22"/>
              </w:rPr>
              <w:t>)</w:t>
            </w:r>
            <w:r w:rsidR="0048296D">
              <w:rPr>
                <w:color w:val="000000"/>
                <w:sz w:val="14"/>
                <w:szCs w:val="14"/>
              </w:rPr>
              <w:t xml:space="preserve">           </w:t>
            </w:r>
            <w:r w:rsidR="0048296D">
              <w:rPr>
                <w:rFonts w:ascii="Trebuchet MS" w:eastAsia="Trebuchet MS" w:hAnsi="Trebuchet MS" w:cs="Trebuchet MS"/>
                <w:color w:val="000000"/>
                <w:sz w:val="22"/>
                <w:szCs w:val="22"/>
              </w:rPr>
              <w:t>The SINGLE CLAIMS AGREEMENT PARTY ARRANGEMENTS - LMA9150 [as attached] [as below] for claims or circumstances assigned as Single Claims Agreement Party Claims (SCAP Claims) or, where it is not applicable, then the following shall apply as appropriate:</w:t>
            </w:r>
          </w:p>
          <w:p w14:paraId="66E35204" w14:textId="552122BC" w:rsidR="00592C29" w:rsidRDefault="000B6F89" w:rsidP="000B6F89">
            <w:pPr>
              <w:spacing w:after="120"/>
              <w:ind w:left="567" w:hanging="567"/>
              <w:rPr>
                <w:color w:val="000000"/>
                <w:sz w:val="22"/>
                <w:szCs w:val="22"/>
              </w:rPr>
            </w:pPr>
            <w:r>
              <w:rPr>
                <w:rFonts w:ascii="Trebuchet MS" w:eastAsia="Trebuchet MS" w:hAnsi="Trebuchet MS" w:cs="Trebuchet MS"/>
                <w:color w:val="000000"/>
                <w:sz w:val="22"/>
                <w:szCs w:val="22"/>
              </w:rPr>
              <w:t>i</w:t>
            </w:r>
            <w:r w:rsidR="0048296D">
              <w:rPr>
                <w:rFonts w:ascii="Trebuchet MS" w:eastAsia="Trebuchet MS" w:hAnsi="Trebuchet MS" w:cs="Trebuchet MS"/>
                <w:color w:val="000000"/>
                <w:sz w:val="22"/>
                <w:szCs w:val="22"/>
              </w:rPr>
              <w:t>i)</w:t>
            </w:r>
            <w:r w:rsidR="0048296D">
              <w:rPr>
                <w:color w:val="000000"/>
                <w:sz w:val="14"/>
                <w:szCs w:val="14"/>
              </w:rPr>
              <w:t xml:space="preserve">         </w:t>
            </w:r>
            <w:r w:rsidR="0048296D">
              <w:rPr>
                <w:rFonts w:ascii="Trebuchet MS" w:eastAsia="Trebuchet MS" w:hAnsi="Trebuchet MS" w:cs="Trebuchet MS"/>
                <w:color w:val="000000"/>
                <w:sz w:val="22"/>
                <w:szCs w:val="22"/>
              </w:rPr>
              <w:t xml:space="preserve">The Lloyd’s Claims Scheme (Combined), or as amended or any successor thereto. </w:t>
            </w:r>
          </w:p>
          <w:p w14:paraId="3A905B35" w14:textId="77777777" w:rsidR="00592C29" w:rsidRDefault="0048296D" w:rsidP="000B6F89">
            <w:pPr>
              <w:spacing w:after="120" w:line="276" w:lineRule="auto"/>
              <w:ind w:left="567" w:hanging="567"/>
              <w:rPr>
                <w:color w:val="000000"/>
                <w:sz w:val="22"/>
                <w:szCs w:val="22"/>
              </w:rPr>
            </w:pPr>
            <w:r>
              <w:rPr>
                <w:rFonts w:ascii="Trebuchet MS" w:eastAsia="Trebuchet MS" w:hAnsi="Trebuchet MS" w:cs="Trebuchet MS"/>
                <w:i/>
                <w:iCs/>
                <w:color w:val="000000"/>
                <w:sz w:val="22"/>
                <w:szCs w:val="22"/>
              </w:rPr>
              <w:t>(N.B. The applicable Lloyd’s Claims Scheme/part will be determined by the rules and scope of the Scheme(s)).</w:t>
            </w:r>
          </w:p>
          <w:p w14:paraId="7C159313" w14:textId="3B9069AA" w:rsidR="00592C29" w:rsidRDefault="000B6F89" w:rsidP="000B6F89">
            <w:pPr>
              <w:spacing w:after="120"/>
              <w:ind w:left="567" w:hanging="567"/>
              <w:rPr>
                <w:color w:val="000000"/>
                <w:sz w:val="22"/>
                <w:szCs w:val="22"/>
              </w:rPr>
            </w:pPr>
            <w:r>
              <w:rPr>
                <w:rFonts w:ascii="Trebuchet MS" w:eastAsia="Trebuchet MS" w:hAnsi="Trebuchet MS" w:cs="Trebuchet MS"/>
                <w:color w:val="000000"/>
                <w:sz w:val="22"/>
                <w:szCs w:val="22"/>
              </w:rPr>
              <w:t>i</w:t>
            </w:r>
            <w:r w:rsidR="0048296D">
              <w:rPr>
                <w:rFonts w:ascii="Trebuchet MS" w:eastAsia="Trebuchet MS" w:hAnsi="Trebuchet MS" w:cs="Trebuchet MS"/>
                <w:color w:val="000000"/>
                <w:sz w:val="22"/>
                <w:szCs w:val="22"/>
              </w:rPr>
              <w:t>ii)</w:t>
            </w:r>
            <w:r w:rsidR="0048296D">
              <w:rPr>
                <w:color w:val="000000"/>
                <w:sz w:val="14"/>
                <w:szCs w:val="14"/>
              </w:rPr>
              <w:t xml:space="preserve">         </w:t>
            </w:r>
            <w:r w:rsidR="0048296D">
              <w:rPr>
                <w:rFonts w:ascii="Trebuchet MS" w:eastAsia="Trebuchet MS" w:hAnsi="Trebuchet MS" w:cs="Trebuchet MS"/>
                <w:color w:val="000000"/>
                <w:sz w:val="22"/>
                <w:szCs w:val="22"/>
              </w:rPr>
              <w:t>IUA claims agreement practices.</w:t>
            </w:r>
          </w:p>
          <w:p w14:paraId="52F5CCBE" w14:textId="52DCE0F2" w:rsidR="00592C29" w:rsidRDefault="000B6F89" w:rsidP="000B6F89">
            <w:pPr>
              <w:spacing w:after="120"/>
              <w:ind w:left="567" w:hanging="567"/>
              <w:rPr>
                <w:color w:val="000000"/>
                <w:sz w:val="22"/>
                <w:szCs w:val="22"/>
              </w:rPr>
            </w:pPr>
            <w:r>
              <w:rPr>
                <w:rFonts w:ascii="Trebuchet MS" w:eastAsia="Trebuchet MS" w:hAnsi="Trebuchet MS" w:cs="Trebuchet MS"/>
                <w:color w:val="000000"/>
                <w:sz w:val="22"/>
                <w:szCs w:val="22"/>
              </w:rPr>
              <w:t>i</w:t>
            </w:r>
            <w:r w:rsidR="0048296D">
              <w:rPr>
                <w:rFonts w:ascii="Trebuchet MS" w:eastAsia="Trebuchet MS" w:hAnsi="Trebuchet MS" w:cs="Trebuchet MS"/>
                <w:color w:val="000000"/>
                <w:sz w:val="22"/>
                <w:szCs w:val="22"/>
              </w:rPr>
              <w:t>v)</w:t>
            </w:r>
            <w:r w:rsidR="0048296D">
              <w:rPr>
                <w:color w:val="000000"/>
                <w:sz w:val="14"/>
                <w:szCs w:val="14"/>
              </w:rPr>
              <w:t xml:space="preserve">      </w:t>
            </w:r>
            <w:r w:rsidR="0048296D">
              <w:rPr>
                <w:rFonts w:ascii="Trebuchet MS" w:eastAsia="Trebuchet MS" w:hAnsi="Trebuchet MS" w:cs="Trebuchet MS"/>
                <w:color w:val="000000"/>
                <w:sz w:val="22"/>
                <w:szCs w:val="22"/>
              </w:rPr>
              <w:t>The practices of any company(</w:t>
            </w:r>
            <w:proofErr w:type="spellStart"/>
            <w:r w:rsidR="0048296D">
              <w:rPr>
                <w:rFonts w:ascii="Trebuchet MS" w:eastAsia="Trebuchet MS" w:hAnsi="Trebuchet MS" w:cs="Trebuchet MS"/>
                <w:color w:val="000000"/>
                <w:sz w:val="22"/>
                <w:szCs w:val="22"/>
              </w:rPr>
              <w:t>ies</w:t>
            </w:r>
            <w:proofErr w:type="spellEnd"/>
            <w:r w:rsidR="0048296D">
              <w:rPr>
                <w:rFonts w:ascii="Trebuchet MS" w:eastAsia="Trebuchet MS" w:hAnsi="Trebuchet MS" w:cs="Trebuchet MS"/>
                <w:color w:val="000000"/>
                <w:sz w:val="22"/>
                <w:szCs w:val="22"/>
              </w:rPr>
              <w:t>) electing to agree claims in respect of their own participation.</w:t>
            </w:r>
          </w:p>
          <w:p w14:paraId="6B23B860" w14:textId="77777777" w:rsidR="00592C29" w:rsidRDefault="0048296D" w:rsidP="000B6F89">
            <w:pPr>
              <w:spacing w:after="120" w:line="276" w:lineRule="auto"/>
              <w:rPr>
                <w:color w:val="000000"/>
                <w:sz w:val="22"/>
                <w:szCs w:val="22"/>
              </w:rPr>
            </w:pPr>
            <w:r>
              <w:rPr>
                <w:rFonts w:ascii="Trebuchet MS" w:eastAsia="Trebuchet MS" w:hAnsi="Trebuchet MS" w:cs="Trebuchet MS"/>
                <w:color w:val="000000"/>
                <w:sz w:val="22"/>
                <w:szCs w:val="22"/>
              </w:rPr>
              <w:t>The applicable arrangements (scheme, agreement or practices) will be determined by the rules and scope of said arrangements and should be referred to as appropriate.</w:t>
            </w:r>
          </w:p>
          <w:p w14:paraId="141F20FA" w14:textId="77777777" w:rsidR="00592C29" w:rsidRDefault="00592C29" w:rsidP="000B6F89">
            <w:pPr>
              <w:spacing w:after="120" w:line="276" w:lineRule="auto"/>
              <w:rPr>
                <w:color w:val="000000"/>
                <w:sz w:val="22"/>
                <w:szCs w:val="22"/>
              </w:rPr>
            </w:pPr>
          </w:p>
          <w:p w14:paraId="54652FE9" w14:textId="254CF351" w:rsidR="000B6F89" w:rsidRDefault="000B6F89" w:rsidP="000B6F89">
            <w:pPr>
              <w:spacing w:after="120" w:line="276" w:lineRule="auto"/>
              <w:rPr>
                <w:color w:val="000000"/>
                <w:sz w:val="22"/>
                <w:szCs w:val="22"/>
              </w:rPr>
            </w:pPr>
          </w:p>
        </w:tc>
      </w:tr>
      <w:tr w:rsidR="00592C29" w14:paraId="41E05367" w14:textId="77777777">
        <w:tc>
          <w:tcPr>
            <w:tcW w:w="2376" w:type="dxa"/>
            <w:tcMar>
              <w:top w:w="5" w:type="dxa"/>
              <w:left w:w="113" w:type="dxa"/>
              <w:bottom w:w="5" w:type="dxa"/>
              <w:right w:w="113" w:type="dxa"/>
            </w:tcMar>
            <w:hideMark/>
          </w:tcPr>
          <w:p w14:paraId="1EE3D19D" w14:textId="77777777" w:rsidR="00592C29" w:rsidRDefault="0048296D" w:rsidP="000B6F89">
            <w:pPr>
              <w:spacing w:line="276" w:lineRule="auto"/>
              <w:rPr>
                <w:color w:val="000000"/>
                <w:sz w:val="22"/>
                <w:szCs w:val="22"/>
              </w:rPr>
            </w:pPr>
            <w:r>
              <w:rPr>
                <w:rFonts w:ascii="Trebuchet MS" w:eastAsia="Trebuchet MS" w:hAnsi="Trebuchet MS" w:cs="Trebuchet MS"/>
                <w:b/>
                <w:bCs/>
                <w:color w:val="000000"/>
                <w:sz w:val="22"/>
                <w:szCs w:val="22"/>
              </w:rPr>
              <w:t>CLAIMS AGREEMENT PARTIES:</w:t>
            </w:r>
          </w:p>
        </w:tc>
        <w:tc>
          <w:tcPr>
            <w:tcW w:w="7371" w:type="dxa"/>
            <w:tcMar>
              <w:top w:w="5" w:type="dxa"/>
              <w:left w:w="113" w:type="dxa"/>
              <w:bottom w:w="5" w:type="dxa"/>
              <w:right w:w="113" w:type="dxa"/>
            </w:tcMar>
            <w:hideMark/>
          </w:tcPr>
          <w:p w14:paraId="24ED2890" w14:textId="77777777" w:rsidR="00592C29" w:rsidRDefault="0048296D" w:rsidP="000B6F89">
            <w:pPr>
              <w:spacing w:after="120" w:line="276" w:lineRule="auto"/>
              <w:ind w:left="709" w:hanging="709"/>
              <w:rPr>
                <w:color w:val="000000"/>
                <w:sz w:val="22"/>
                <w:szCs w:val="22"/>
              </w:rPr>
            </w:pPr>
            <w:r>
              <w:rPr>
                <w:rFonts w:ascii="Trebuchet MS" w:eastAsia="Trebuchet MS" w:hAnsi="Trebuchet MS" w:cs="Trebuchet MS"/>
                <w:color w:val="000000"/>
                <w:sz w:val="22"/>
                <w:szCs w:val="22"/>
              </w:rPr>
              <w:t>A.</w:t>
            </w:r>
            <w:r>
              <w:rPr>
                <w:rFonts w:ascii="Trebuchet MS" w:eastAsia="Trebuchet MS" w:hAnsi="Trebuchet MS" w:cs="Trebuchet MS"/>
                <w:color w:val="000000"/>
                <w:sz w:val="22"/>
                <w:szCs w:val="22"/>
              </w:rPr>
              <w:tab/>
              <w:t>Claims falling within the scope of the LMA9150 to be agreed by Slip Leader only on behalf of all (re)insurers (1) subscribing to this Contract on the same contractual terms (other than premium and brokerage) and (2) to these Arrangements.</w:t>
            </w:r>
          </w:p>
          <w:p w14:paraId="3939DC74" w14:textId="77777777" w:rsidR="00592C29" w:rsidRDefault="0048296D" w:rsidP="000B6F89">
            <w:pPr>
              <w:spacing w:after="120" w:line="276" w:lineRule="auto"/>
              <w:ind w:left="709" w:hanging="709"/>
              <w:rPr>
                <w:color w:val="000000"/>
                <w:sz w:val="22"/>
                <w:szCs w:val="22"/>
              </w:rPr>
            </w:pPr>
            <w:r>
              <w:rPr>
                <w:color w:val="000000"/>
                <w:sz w:val="22"/>
                <w:szCs w:val="22"/>
              </w:rPr>
              <w:tab/>
            </w:r>
            <w:r>
              <w:rPr>
                <w:rFonts w:ascii="Trebuchet MS" w:eastAsia="Trebuchet MS" w:hAnsi="Trebuchet MS" w:cs="Trebuchet MS"/>
                <w:color w:val="000000"/>
                <w:sz w:val="22"/>
                <w:szCs w:val="22"/>
              </w:rPr>
              <w:t>For the purposes of calculating the Threshold Amount, the sterling rate on the date that a financial value of the claim is first established by the Slip Leader shall be used and the rate of exchange shall be the Bank of England spot rate for the purchase of sterling at the time of the deemed conversion.</w:t>
            </w:r>
          </w:p>
          <w:p w14:paraId="7BCB1432" w14:textId="77777777" w:rsidR="00592C29" w:rsidRDefault="00592C29" w:rsidP="000B6F89">
            <w:pPr>
              <w:spacing w:after="120" w:line="276" w:lineRule="auto"/>
              <w:ind w:left="709" w:hanging="709"/>
              <w:rPr>
                <w:color w:val="000000"/>
                <w:sz w:val="22"/>
                <w:szCs w:val="22"/>
              </w:rPr>
            </w:pPr>
          </w:p>
          <w:p w14:paraId="38D2BC00" w14:textId="77777777" w:rsidR="00592C29" w:rsidRDefault="0048296D" w:rsidP="000B6F89">
            <w:pPr>
              <w:spacing w:after="120" w:line="276" w:lineRule="auto"/>
              <w:ind w:left="709" w:hanging="709"/>
              <w:rPr>
                <w:color w:val="000000"/>
                <w:sz w:val="22"/>
                <w:szCs w:val="22"/>
              </w:rPr>
            </w:pPr>
            <w:r>
              <w:rPr>
                <w:rFonts w:ascii="Trebuchet MS" w:eastAsia="Trebuchet MS" w:hAnsi="Trebuchet MS" w:cs="Trebuchet MS"/>
                <w:color w:val="000000"/>
                <w:sz w:val="22"/>
                <w:szCs w:val="22"/>
              </w:rPr>
              <w:t>B.</w:t>
            </w:r>
            <w:r>
              <w:rPr>
                <w:rFonts w:ascii="Trebuchet MS" w:eastAsia="Trebuchet MS" w:hAnsi="Trebuchet MS" w:cs="Trebuchet MS"/>
                <w:color w:val="000000"/>
                <w:sz w:val="22"/>
                <w:szCs w:val="22"/>
              </w:rPr>
              <w:tab/>
              <w:t>For all other claims:</w:t>
            </w:r>
          </w:p>
          <w:p w14:paraId="499525B7" w14:textId="09A66F2A" w:rsidR="00592C29" w:rsidRDefault="00D30BFF" w:rsidP="000B6F89">
            <w:pPr>
              <w:spacing w:after="120"/>
              <w:ind w:left="3600" w:hanging="2891"/>
              <w:rPr>
                <w:color w:val="000000"/>
                <w:sz w:val="22"/>
                <w:szCs w:val="22"/>
              </w:rPr>
            </w:pPr>
            <w:proofErr w:type="spellStart"/>
            <w:r>
              <w:rPr>
                <w:rFonts w:ascii="Trebuchet MS" w:eastAsia="Trebuchet MS" w:hAnsi="Trebuchet MS" w:cs="Trebuchet MS"/>
                <w:color w:val="000000"/>
                <w:sz w:val="22"/>
                <w:szCs w:val="22"/>
              </w:rPr>
              <w:t>i</w:t>
            </w:r>
            <w:proofErr w:type="spellEnd"/>
            <w:r w:rsidR="0048296D">
              <w:rPr>
                <w:rFonts w:ascii="Trebuchet MS" w:eastAsia="Trebuchet MS" w:hAnsi="Trebuchet MS" w:cs="Trebuchet MS"/>
                <w:color w:val="000000"/>
                <w:sz w:val="22"/>
                <w:szCs w:val="22"/>
              </w:rPr>
              <w:t>)</w:t>
            </w:r>
            <w:r w:rsidR="0048296D">
              <w:rPr>
                <w:color w:val="000000"/>
                <w:sz w:val="14"/>
                <w:szCs w:val="14"/>
              </w:rPr>
              <w:t xml:space="preserve">                  </w:t>
            </w:r>
            <w:r w:rsidR="0048296D">
              <w:rPr>
                <w:rFonts w:ascii="Trebuchet MS" w:eastAsia="Trebuchet MS" w:hAnsi="Trebuchet MS" w:cs="Trebuchet MS"/>
                <w:color w:val="000000"/>
                <w:sz w:val="22"/>
                <w:szCs w:val="22"/>
              </w:rPr>
              <w:t>For Lloyd’s syndicates</w:t>
            </w:r>
          </w:p>
          <w:p w14:paraId="6E89ED7A" w14:textId="77777777" w:rsidR="00592C29" w:rsidRDefault="0048296D" w:rsidP="000B6F89">
            <w:pPr>
              <w:spacing w:after="120" w:line="276" w:lineRule="auto"/>
              <w:ind w:left="709"/>
              <w:rPr>
                <w:color w:val="000000"/>
                <w:sz w:val="22"/>
                <w:szCs w:val="22"/>
              </w:rPr>
            </w:pPr>
            <w:r>
              <w:rPr>
                <w:rFonts w:ascii="Trebuchet MS" w:eastAsia="Trebuchet MS" w:hAnsi="Trebuchet MS" w:cs="Trebuchet MS"/>
                <w:color w:val="000000"/>
                <w:sz w:val="22"/>
                <w:szCs w:val="22"/>
              </w:rPr>
              <w:t>The leading Lloyd's syndicate and, where required by the applicable Lloyd's Claims Scheme, the second Lloyd's syndicate.</w:t>
            </w:r>
          </w:p>
          <w:p w14:paraId="0C131C30" w14:textId="77777777" w:rsidR="00592C29" w:rsidRDefault="0048296D" w:rsidP="000B6F89">
            <w:pPr>
              <w:spacing w:after="120" w:line="276" w:lineRule="auto"/>
              <w:ind w:left="709"/>
              <w:rPr>
                <w:color w:val="000000"/>
                <w:sz w:val="22"/>
                <w:szCs w:val="22"/>
              </w:rPr>
            </w:pPr>
            <w:r>
              <w:rPr>
                <w:rFonts w:ascii="Trebuchet MS" w:eastAsia="Trebuchet MS" w:hAnsi="Trebuchet MS" w:cs="Trebuchet MS"/>
                <w:color w:val="000000"/>
                <w:sz w:val="22"/>
                <w:szCs w:val="22"/>
              </w:rPr>
              <w:t>The second Lloyd’s Syndicate is JKL (1234).</w:t>
            </w:r>
          </w:p>
          <w:p w14:paraId="542D16D5" w14:textId="77777777" w:rsidR="00592C29" w:rsidRDefault="0048296D" w:rsidP="000B6F89">
            <w:pPr>
              <w:spacing w:after="120" w:line="276" w:lineRule="auto"/>
              <w:rPr>
                <w:color w:val="000000"/>
                <w:sz w:val="22"/>
                <w:szCs w:val="22"/>
              </w:rPr>
            </w:pPr>
            <w:r>
              <w:rPr>
                <w:rFonts w:ascii="Trebuchet MS" w:eastAsia="Trebuchet MS" w:hAnsi="Trebuchet MS" w:cs="Trebuchet MS"/>
                <w:i/>
                <w:iCs/>
                <w:color w:val="000000"/>
                <w:sz w:val="22"/>
                <w:szCs w:val="22"/>
              </w:rPr>
              <w:t>(Where known by the broker, they may insert the second Lloyd’s Syndicate name here – or may leave space for the relevant underwriter to apply their stamp below).</w:t>
            </w:r>
          </w:p>
          <w:p w14:paraId="6B0443F6" w14:textId="07B3E75A" w:rsidR="00592C29" w:rsidRDefault="00D30BFF" w:rsidP="000B6F89">
            <w:pPr>
              <w:spacing w:after="120"/>
              <w:ind w:left="1418" w:hanging="709"/>
              <w:rPr>
                <w:color w:val="000000"/>
                <w:sz w:val="22"/>
                <w:szCs w:val="22"/>
              </w:rPr>
            </w:pPr>
            <w:r>
              <w:rPr>
                <w:rFonts w:ascii="Trebuchet MS" w:eastAsia="Trebuchet MS" w:hAnsi="Trebuchet MS" w:cs="Trebuchet MS"/>
                <w:color w:val="000000"/>
                <w:sz w:val="22"/>
                <w:szCs w:val="22"/>
              </w:rPr>
              <w:lastRenderedPageBreak/>
              <w:t>i</w:t>
            </w:r>
            <w:r w:rsidR="0048296D">
              <w:rPr>
                <w:rFonts w:ascii="Trebuchet MS" w:eastAsia="Trebuchet MS" w:hAnsi="Trebuchet MS" w:cs="Trebuchet MS"/>
                <w:color w:val="000000"/>
                <w:sz w:val="22"/>
                <w:szCs w:val="22"/>
              </w:rPr>
              <w:t>i)</w:t>
            </w:r>
            <w:r w:rsidR="0048296D">
              <w:rPr>
                <w:color w:val="000000"/>
                <w:sz w:val="14"/>
                <w:szCs w:val="14"/>
              </w:rPr>
              <w:t xml:space="preserve">                </w:t>
            </w:r>
            <w:r w:rsidR="0048296D">
              <w:rPr>
                <w:rFonts w:ascii="Trebuchet MS" w:eastAsia="Trebuchet MS" w:hAnsi="Trebuchet MS" w:cs="Trebuchet MS"/>
                <w:color w:val="000000"/>
                <w:sz w:val="22"/>
                <w:szCs w:val="22"/>
              </w:rPr>
              <w:t>Those companies acting in accordance with the IUA claims agreement practices, excepting those that may have opted out via iii below.</w:t>
            </w:r>
          </w:p>
          <w:p w14:paraId="1DB02031" w14:textId="77777777" w:rsidR="00592C29" w:rsidRDefault="0048296D" w:rsidP="000B6F89">
            <w:pPr>
              <w:spacing w:after="120" w:line="276" w:lineRule="auto"/>
              <w:rPr>
                <w:color w:val="000000"/>
                <w:sz w:val="22"/>
                <w:szCs w:val="22"/>
              </w:rPr>
            </w:pPr>
            <w:r>
              <w:rPr>
                <w:rFonts w:ascii="Trebuchet MS" w:eastAsia="Trebuchet MS" w:hAnsi="Trebuchet MS" w:cs="Trebuchet MS"/>
                <w:color w:val="000000"/>
                <w:sz w:val="22"/>
                <w:szCs w:val="22"/>
              </w:rPr>
              <w:t>(</w:t>
            </w:r>
            <w:r>
              <w:rPr>
                <w:rFonts w:ascii="Trebuchet MS" w:eastAsia="Trebuchet MS" w:hAnsi="Trebuchet MS" w:cs="Trebuchet MS"/>
                <w:i/>
                <w:iCs/>
                <w:color w:val="000000"/>
                <w:sz w:val="22"/>
                <w:szCs w:val="22"/>
              </w:rPr>
              <w:t xml:space="preserve">The companies that apply the IUA claims agreement practices do not need to be individually identified here). </w:t>
            </w:r>
          </w:p>
          <w:p w14:paraId="2D378531" w14:textId="0D6579F4" w:rsidR="00592C29" w:rsidRDefault="00D30BFF" w:rsidP="000B6F89">
            <w:pPr>
              <w:spacing w:after="120"/>
              <w:ind w:left="1418" w:hanging="709"/>
              <w:rPr>
                <w:color w:val="000000"/>
                <w:sz w:val="22"/>
                <w:szCs w:val="22"/>
              </w:rPr>
            </w:pPr>
            <w:r>
              <w:rPr>
                <w:rFonts w:ascii="Trebuchet MS" w:eastAsia="Trebuchet MS" w:hAnsi="Trebuchet MS" w:cs="Trebuchet MS"/>
                <w:color w:val="000000"/>
                <w:sz w:val="22"/>
                <w:szCs w:val="22"/>
              </w:rPr>
              <w:t>i</w:t>
            </w:r>
            <w:r w:rsidR="0048296D">
              <w:rPr>
                <w:rFonts w:ascii="Trebuchet MS" w:eastAsia="Trebuchet MS" w:hAnsi="Trebuchet MS" w:cs="Trebuchet MS"/>
                <w:color w:val="000000"/>
                <w:sz w:val="22"/>
                <w:szCs w:val="22"/>
              </w:rPr>
              <w:t>ii)</w:t>
            </w:r>
            <w:r w:rsidR="0048296D">
              <w:rPr>
                <w:rFonts w:ascii="Trebuchet MS" w:eastAsia="Trebuchet MS" w:hAnsi="Trebuchet MS" w:cs="Trebuchet MS"/>
                <w:color w:val="000000"/>
                <w:sz w:val="22"/>
                <w:szCs w:val="22"/>
              </w:rPr>
              <w:tab/>
              <w:t xml:space="preserve">Those companies that have specifically elected to agree claims in respect of their own participation. </w:t>
            </w:r>
          </w:p>
          <w:p w14:paraId="274D98FD" w14:textId="77777777" w:rsidR="00592C29" w:rsidRDefault="0048296D" w:rsidP="000B6F89">
            <w:pPr>
              <w:spacing w:after="120" w:line="276" w:lineRule="auto"/>
              <w:ind w:left="709"/>
              <w:rPr>
                <w:color w:val="000000"/>
                <w:sz w:val="22"/>
                <w:szCs w:val="22"/>
              </w:rPr>
            </w:pPr>
            <w:r>
              <w:rPr>
                <w:rFonts w:ascii="Trebuchet MS" w:eastAsia="Trebuchet MS" w:hAnsi="Trebuchet MS" w:cs="Trebuchet MS"/>
                <w:color w:val="000000"/>
                <w:sz w:val="22"/>
                <w:szCs w:val="22"/>
              </w:rPr>
              <w:t>DEF Company</w:t>
            </w:r>
          </w:p>
          <w:p w14:paraId="0F0A9075" w14:textId="77777777" w:rsidR="00592C29" w:rsidRDefault="0048296D" w:rsidP="000B6F89">
            <w:pPr>
              <w:spacing w:after="120" w:line="276" w:lineRule="auto"/>
              <w:rPr>
                <w:color w:val="000000"/>
                <w:sz w:val="22"/>
                <w:szCs w:val="22"/>
              </w:rPr>
            </w:pPr>
            <w:r>
              <w:rPr>
                <w:rFonts w:ascii="Trebuchet MS" w:eastAsia="Trebuchet MS" w:hAnsi="Trebuchet MS" w:cs="Trebuchet MS"/>
                <w:i/>
                <w:iCs/>
                <w:color w:val="000000"/>
                <w:sz w:val="22"/>
                <w:szCs w:val="22"/>
              </w:rPr>
              <w:t>(Where known by the broker, the company(</w:t>
            </w:r>
            <w:proofErr w:type="spellStart"/>
            <w:r>
              <w:rPr>
                <w:rFonts w:ascii="Trebuchet MS" w:eastAsia="Trebuchet MS" w:hAnsi="Trebuchet MS" w:cs="Trebuchet MS"/>
                <w:i/>
                <w:iCs/>
                <w:color w:val="000000"/>
                <w:sz w:val="22"/>
                <w:szCs w:val="22"/>
              </w:rPr>
              <w:t>ies</w:t>
            </w:r>
            <w:proofErr w:type="spellEnd"/>
            <w:r>
              <w:rPr>
                <w:rFonts w:ascii="Trebuchet MS" w:eastAsia="Trebuchet MS" w:hAnsi="Trebuchet MS" w:cs="Trebuchet MS"/>
                <w:i/>
                <w:iCs/>
                <w:color w:val="000000"/>
                <w:sz w:val="22"/>
                <w:szCs w:val="22"/>
              </w:rPr>
              <w:t>) electing to agree claims in respect of their own participation can be recorded here by the broker – otherwise this should be indicated by the relevant company(</w:t>
            </w:r>
            <w:proofErr w:type="spellStart"/>
            <w:r>
              <w:rPr>
                <w:rFonts w:ascii="Trebuchet MS" w:eastAsia="Trebuchet MS" w:hAnsi="Trebuchet MS" w:cs="Trebuchet MS"/>
                <w:i/>
                <w:iCs/>
                <w:color w:val="000000"/>
                <w:sz w:val="22"/>
                <w:szCs w:val="22"/>
              </w:rPr>
              <w:t>ies</w:t>
            </w:r>
            <w:proofErr w:type="spellEnd"/>
            <w:r>
              <w:rPr>
                <w:rFonts w:ascii="Trebuchet MS" w:eastAsia="Trebuchet MS" w:hAnsi="Trebuchet MS" w:cs="Trebuchet MS"/>
                <w:i/>
                <w:iCs/>
                <w:color w:val="000000"/>
                <w:sz w:val="22"/>
                <w:szCs w:val="22"/>
              </w:rPr>
              <w:t xml:space="preserve">) placing their stamp(s) under this heading).  </w:t>
            </w:r>
          </w:p>
          <w:p w14:paraId="7CF85473" w14:textId="3525CFAE" w:rsidR="00592C29" w:rsidRDefault="00D30BFF" w:rsidP="000B6F89">
            <w:pPr>
              <w:spacing w:after="120"/>
              <w:ind w:left="1418" w:hanging="709"/>
              <w:rPr>
                <w:color w:val="000000"/>
                <w:sz w:val="22"/>
                <w:szCs w:val="22"/>
              </w:rPr>
            </w:pPr>
            <w:r>
              <w:rPr>
                <w:rFonts w:ascii="Trebuchet MS" w:eastAsia="Trebuchet MS" w:hAnsi="Trebuchet MS" w:cs="Trebuchet MS"/>
                <w:color w:val="000000"/>
                <w:sz w:val="22"/>
                <w:szCs w:val="22"/>
              </w:rPr>
              <w:t>i</w:t>
            </w:r>
            <w:r w:rsidR="0048296D">
              <w:rPr>
                <w:rFonts w:ascii="Trebuchet MS" w:eastAsia="Trebuchet MS" w:hAnsi="Trebuchet MS" w:cs="Trebuchet MS"/>
                <w:color w:val="000000"/>
                <w:sz w:val="22"/>
                <w:szCs w:val="22"/>
              </w:rPr>
              <w:t>v)</w:t>
            </w:r>
            <w:r w:rsidR="0048296D">
              <w:rPr>
                <w:color w:val="000000"/>
                <w:sz w:val="14"/>
                <w:szCs w:val="14"/>
              </w:rPr>
              <w:t xml:space="preserve">           </w:t>
            </w:r>
            <w:r w:rsidR="0048296D">
              <w:rPr>
                <w:rFonts w:ascii="Trebuchet MS" w:eastAsia="Trebuchet MS" w:hAnsi="Trebuchet MS" w:cs="Trebuchet MS"/>
                <w:color w:val="000000"/>
                <w:sz w:val="22"/>
                <w:szCs w:val="22"/>
              </w:rPr>
              <w:t>All other subscribing insurers that are not party to the Lloyd’s/IUA claims agreement practices, each in respect of their own participation.</w:t>
            </w:r>
          </w:p>
          <w:p w14:paraId="0FDD1551" w14:textId="77777777" w:rsidR="00592C29" w:rsidRDefault="0048296D">
            <w:pPr>
              <w:spacing w:after="200" w:line="276" w:lineRule="auto"/>
              <w:rPr>
                <w:color w:val="000000"/>
                <w:sz w:val="22"/>
                <w:szCs w:val="22"/>
              </w:rPr>
            </w:pPr>
            <w:r>
              <w:rPr>
                <w:rFonts w:ascii="Trebuchet MS" w:eastAsia="Trebuchet MS" w:hAnsi="Trebuchet MS" w:cs="Trebuchet MS"/>
                <w:i/>
                <w:iCs/>
                <w:color w:val="000000"/>
                <w:sz w:val="22"/>
                <w:szCs w:val="22"/>
              </w:rPr>
              <w:t>(Companies that are not a party to the IUA Claims Agreement Practices will be handled under this category; they do not need to be individually identified).</w:t>
            </w:r>
          </w:p>
          <w:p w14:paraId="79355FED" w14:textId="77777777" w:rsidR="00592C29" w:rsidRDefault="0048296D">
            <w:pPr>
              <w:spacing w:after="200" w:line="276" w:lineRule="auto"/>
              <w:ind w:left="1418" w:hanging="709"/>
              <w:rPr>
                <w:color w:val="000000"/>
                <w:sz w:val="22"/>
                <w:szCs w:val="22"/>
              </w:rPr>
            </w:pPr>
            <w:r>
              <w:rPr>
                <w:rFonts w:ascii="Trebuchet MS" w:eastAsia="Trebuchet MS" w:hAnsi="Trebuchet MS" w:cs="Trebuchet MS"/>
                <w:color w:val="000000"/>
                <w:sz w:val="22"/>
                <w:szCs w:val="22"/>
              </w:rPr>
              <w:t>v)</w:t>
            </w:r>
            <w:r>
              <w:rPr>
                <w:rFonts w:ascii="Trebuchet MS" w:eastAsia="Trebuchet MS" w:hAnsi="Trebuchet MS" w:cs="Trebuchet MS"/>
                <w:color w:val="000000"/>
                <w:sz w:val="22"/>
                <w:szCs w:val="22"/>
              </w:rPr>
              <w:tab/>
              <w:t>Notwithstanding anything contained in the above to the contrary, any ex gratia payments to be agreed by each (re)insurer for their own participation.</w:t>
            </w:r>
          </w:p>
          <w:p w14:paraId="0FADFC4A" w14:textId="77777777" w:rsidR="00592C29" w:rsidRDefault="00592C29">
            <w:pPr>
              <w:spacing w:after="120" w:line="276" w:lineRule="auto"/>
              <w:rPr>
                <w:color w:val="000000"/>
                <w:sz w:val="22"/>
                <w:szCs w:val="22"/>
              </w:rPr>
            </w:pPr>
          </w:p>
          <w:p w14:paraId="20B459A8" w14:textId="77777777" w:rsidR="00592C29" w:rsidRDefault="00592C29">
            <w:pPr>
              <w:spacing w:after="120" w:line="276" w:lineRule="auto"/>
              <w:rPr>
                <w:color w:val="000000"/>
                <w:sz w:val="22"/>
                <w:szCs w:val="22"/>
              </w:rPr>
            </w:pPr>
          </w:p>
        </w:tc>
      </w:tr>
      <w:tr w:rsidR="00592C29" w14:paraId="60CF1BE2" w14:textId="77777777">
        <w:tc>
          <w:tcPr>
            <w:tcW w:w="2376" w:type="dxa"/>
            <w:tcMar>
              <w:top w:w="5" w:type="dxa"/>
              <w:left w:w="113" w:type="dxa"/>
              <w:bottom w:w="5" w:type="dxa"/>
              <w:right w:w="113" w:type="dxa"/>
            </w:tcMar>
            <w:hideMark/>
          </w:tcPr>
          <w:p w14:paraId="55EC7A4C" w14:textId="77777777" w:rsidR="00592C29" w:rsidRDefault="0048296D" w:rsidP="00674CE7">
            <w:pPr>
              <w:spacing w:line="276" w:lineRule="auto"/>
              <w:rPr>
                <w:color w:val="000000"/>
                <w:sz w:val="22"/>
                <w:szCs w:val="22"/>
              </w:rPr>
            </w:pPr>
            <w:r>
              <w:rPr>
                <w:rFonts w:ascii="Trebuchet MS" w:eastAsia="Trebuchet MS" w:hAnsi="Trebuchet MS" w:cs="Trebuchet MS"/>
                <w:b/>
                <w:bCs/>
                <w:color w:val="000000"/>
                <w:sz w:val="22"/>
                <w:szCs w:val="22"/>
              </w:rPr>
              <w:lastRenderedPageBreak/>
              <w:t>CLAIMS ADMINISTRATION:</w:t>
            </w:r>
          </w:p>
        </w:tc>
        <w:tc>
          <w:tcPr>
            <w:tcW w:w="7371" w:type="dxa"/>
            <w:tcMar>
              <w:top w:w="5" w:type="dxa"/>
              <w:left w:w="113" w:type="dxa"/>
              <w:bottom w:w="5" w:type="dxa"/>
              <w:right w:w="113" w:type="dxa"/>
            </w:tcMar>
            <w:hideMark/>
          </w:tcPr>
          <w:p w14:paraId="6C1C9451" w14:textId="77777777" w:rsidR="00592C29" w:rsidRDefault="0048296D" w:rsidP="00674CE7">
            <w:pPr>
              <w:spacing w:after="120" w:line="276" w:lineRule="auto"/>
              <w:rPr>
                <w:color w:val="000000"/>
                <w:sz w:val="22"/>
                <w:szCs w:val="22"/>
              </w:rPr>
            </w:pPr>
            <w:r>
              <w:rPr>
                <w:rFonts w:ascii="Trebuchet MS" w:eastAsia="Trebuchet MS" w:hAnsi="Trebuchet MS" w:cs="Trebuchet MS"/>
                <w:color w:val="000000"/>
                <w:sz w:val="22"/>
                <w:szCs w:val="22"/>
              </w:rPr>
              <w:t>Broker XYZ and insurers agree that any claims hereunder (including any claims related costs/fees) will be notified and administered via ECF with any payment(s) processed via CLASS, unless both parties agree to do otherwise.</w:t>
            </w:r>
          </w:p>
          <w:p w14:paraId="13D6F823" w14:textId="77777777" w:rsidR="00592C29" w:rsidRDefault="0048296D" w:rsidP="00674CE7">
            <w:pPr>
              <w:spacing w:after="120" w:line="276" w:lineRule="auto"/>
              <w:jc w:val="both"/>
              <w:rPr>
                <w:color w:val="000000"/>
                <w:sz w:val="22"/>
                <w:szCs w:val="22"/>
              </w:rPr>
            </w:pPr>
            <w:r>
              <w:rPr>
                <w:rFonts w:ascii="Trebuchet MS" w:eastAsia="Trebuchet MS" w:hAnsi="Trebuchet MS" w:cs="Trebuchet MS"/>
                <w:color w:val="000000"/>
                <w:sz w:val="22"/>
                <w:szCs w:val="22"/>
              </w:rPr>
              <w:t>Where claims or circumstances are not administered via ECF, notification, administration and payment(s) will be electronic.</w:t>
            </w:r>
          </w:p>
          <w:p w14:paraId="6E59C975" w14:textId="343A8293" w:rsidR="00592C29" w:rsidRDefault="0048296D" w:rsidP="00674CE7">
            <w:pPr>
              <w:spacing w:after="120" w:line="276" w:lineRule="auto"/>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Where a Lloyd’s syndicate or IUA company is not an agreement party to the claim or circumstance (per CLAIMS AGREEMENT PARTIES A. above), they agree to accept correct ECF sequences for administrative purposes to ensure information is circulated to all subscribing parties.</w:t>
            </w:r>
          </w:p>
          <w:p w14:paraId="43B020C9" w14:textId="77777777" w:rsidR="00ED6793" w:rsidRDefault="00ED6793" w:rsidP="00674CE7">
            <w:pPr>
              <w:spacing w:after="120" w:line="276" w:lineRule="auto"/>
              <w:rPr>
                <w:color w:val="000000"/>
                <w:sz w:val="22"/>
                <w:szCs w:val="22"/>
              </w:rPr>
            </w:pPr>
          </w:p>
          <w:p w14:paraId="05928398" w14:textId="77777777" w:rsidR="00592C29" w:rsidRDefault="00592C29" w:rsidP="00674CE7">
            <w:pPr>
              <w:spacing w:after="120" w:line="276" w:lineRule="auto"/>
              <w:rPr>
                <w:color w:val="000000"/>
                <w:sz w:val="22"/>
                <w:szCs w:val="22"/>
              </w:rPr>
            </w:pPr>
          </w:p>
        </w:tc>
      </w:tr>
      <w:tr w:rsidR="00592C29" w14:paraId="6CB66C8C" w14:textId="77777777">
        <w:tc>
          <w:tcPr>
            <w:tcW w:w="2376" w:type="dxa"/>
            <w:tcMar>
              <w:top w:w="5" w:type="dxa"/>
              <w:left w:w="113" w:type="dxa"/>
              <w:bottom w:w="5" w:type="dxa"/>
              <w:right w:w="113" w:type="dxa"/>
            </w:tcMar>
            <w:hideMark/>
          </w:tcPr>
          <w:p w14:paraId="046D99C0" w14:textId="77777777" w:rsidR="00592C29" w:rsidRDefault="0048296D" w:rsidP="00674CE7">
            <w:pPr>
              <w:spacing w:line="276" w:lineRule="auto"/>
              <w:rPr>
                <w:color w:val="000000"/>
                <w:sz w:val="22"/>
                <w:szCs w:val="22"/>
              </w:rPr>
            </w:pPr>
            <w:r>
              <w:rPr>
                <w:rFonts w:ascii="Trebuchet MS" w:eastAsia="Trebuchet MS" w:hAnsi="Trebuchet MS" w:cs="Trebuchet MS"/>
                <w:b/>
                <w:bCs/>
                <w:color w:val="000000"/>
                <w:sz w:val="22"/>
                <w:szCs w:val="22"/>
              </w:rPr>
              <w:t>RULES AND EXTENT OF ANY OTHER DELEGATED CLAIMS AUTHORITY:</w:t>
            </w:r>
          </w:p>
        </w:tc>
        <w:tc>
          <w:tcPr>
            <w:tcW w:w="7371" w:type="dxa"/>
            <w:tcMar>
              <w:top w:w="5" w:type="dxa"/>
              <w:left w:w="113" w:type="dxa"/>
              <w:bottom w:w="5" w:type="dxa"/>
              <w:right w:w="113" w:type="dxa"/>
            </w:tcMar>
            <w:hideMark/>
          </w:tcPr>
          <w:p w14:paraId="7BB01CC2" w14:textId="77777777" w:rsidR="00592C29" w:rsidRDefault="0048296D" w:rsidP="00674CE7">
            <w:pPr>
              <w:spacing w:after="120" w:line="276" w:lineRule="auto"/>
              <w:rPr>
                <w:color w:val="000000"/>
                <w:sz w:val="22"/>
                <w:szCs w:val="22"/>
              </w:rPr>
            </w:pPr>
            <w:r>
              <w:rPr>
                <w:rFonts w:ascii="Trebuchet MS" w:eastAsia="Trebuchet MS" w:hAnsi="Trebuchet MS" w:cs="Trebuchet MS"/>
                <w:color w:val="000000"/>
                <w:sz w:val="22"/>
                <w:szCs w:val="22"/>
              </w:rPr>
              <w:t xml:space="preserve">None, unless otherwise specified here by any of the </w:t>
            </w:r>
          </w:p>
          <w:p w14:paraId="2E4C3FA8" w14:textId="77777777" w:rsidR="00592C29" w:rsidRDefault="0048296D" w:rsidP="00674CE7">
            <w:pPr>
              <w:spacing w:after="120" w:line="276" w:lineRule="auto"/>
              <w:ind w:left="3600" w:hanging="3600"/>
              <w:rPr>
                <w:color w:val="000000"/>
                <w:sz w:val="22"/>
                <w:szCs w:val="22"/>
              </w:rPr>
            </w:pPr>
            <w:r>
              <w:rPr>
                <w:rFonts w:ascii="Trebuchet MS" w:eastAsia="Trebuchet MS" w:hAnsi="Trebuchet MS" w:cs="Trebuchet MS"/>
                <w:color w:val="000000"/>
                <w:sz w:val="22"/>
                <w:szCs w:val="22"/>
              </w:rPr>
              <w:t>claims</w:t>
            </w:r>
            <w:r>
              <w:rPr>
                <w:rFonts w:ascii="Trebuchet MS" w:eastAsia="Trebuchet MS" w:hAnsi="Trebuchet MS" w:cs="Trebuchet MS"/>
                <w:b/>
                <w:bCs/>
                <w:color w:val="000000"/>
                <w:sz w:val="22"/>
                <w:szCs w:val="22"/>
              </w:rPr>
              <w:t xml:space="preserve"> </w:t>
            </w:r>
            <w:r>
              <w:rPr>
                <w:rFonts w:ascii="Trebuchet MS" w:eastAsia="Trebuchet MS" w:hAnsi="Trebuchet MS" w:cs="Trebuchet MS"/>
                <w:color w:val="000000"/>
                <w:sz w:val="22"/>
                <w:szCs w:val="22"/>
              </w:rPr>
              <w:t>agreement parties shown above.</w:t>
            </w:r>
          </w:p>
          <w:p w14:paraId="3E32C934" w14:textId="77777777" w:rsidR="00592C29" w:rsidRDefault="00592C29" w:rsidP="00674CE7">
            <w:pPr>
              <w:spacing w:after="120" w:line="276" w:lineRule="auto"/>
              <w:rPr>
                <w:color w:val="000000"/>
                <w:sz w:val="22"/>
                <w:szCs w:val="22"/>
              </w:rPr>
            </w:pPr>
          </w:p>
          <w:p w14:paraId="3D5D9A12" w14:textId="77777777" w:rsidR="00592C29" w:rsidRDefault="00592C29" w:rsidP="00674CE7">
            <w:pPr>
              <w:spacing w:after="120" w:line="276" w:lineRule="auto"/>
              <w:rPr>
                <w:color w:val="000000"/>
                <w:sz w:val="22"/>
                <w:szCs w:val="22"/>
              </w:rPr>
            </w:pPr>
          </w:p>
          <w:p w14:paraId="4AEC77A2" w14:textId="77777777" w:rsidR="00592C29" w:rsidRDefault="00592C29" w:rsidP="00674CE7">
            <w:pPr>
              <w:spacing w:after="120" w:line="276" w:lineRule="auto"/>
              <w:rPr>
                <w:color w:val="000000"/>
                <w:sz w:val="22"/>
                <w:szCs w:val="22"/>
              </w:rPr>
            </w:pPr>
          </w:p>
        </w:tc>
      </w:tr>
    </w:tbl>
    <w:p w14:paraId="68D35276" w14:textId="77777777" w:rsidR="00ED6793" w:rsidRDefault="00ED6793">
      <w:r>
        <w:br w:type="page"/>
      </w:r>
    </w:p>
    <w:tbl>
      <w:tblPr>
        <w:tblW w:w="9747" w:type="dxa"/>
        <w:tblInd w:w="113" w:type="dxa"/>
        <w:tblCellMar>
          <w:left w:w="0" w:type="dxa"/>
          <w:right w:w="0" w:type="dxa"/>
        </w:tblCellMar>
        <w:tblLook w:val="04A0" w:firstRow="1" w:lastRow="0" w:firstColumn="1" w:lastColumn="0" w:noHBand="0" w:noVBand="1"/>
      </w:tblPr>
      <w:tblGrid>
        <w:gridCol w:w="2376"/>
        <w:gridCol w:w="7371"/>
      </w:tblGrid>
      <w:tr w:rsidR="00592C29" w14:paraId="55FFF205" w14:textId="77777777">
        <w:tc>
          <w:tcPr>
            <w:tcW w:w="2376" w:type="dxa"/>
            <w:tcMar>
              <w:top w:w="5" w:type="dxa"/>
              <w:left w:w="113" w:type="dxa"/>
              <w:bottom w:w="5" w:type="dxa"/>
              <w:right w:w="113" w:type="dxa"/>
            </w:tcMar>
            <w:hideMark/>
          </w:tcPr>
          <w:p w14:paraId="2D6F29E0" w14:textId="56E6A1A0" w:rsidR="00592C29" w:rsidRDefault="0048296D" w:rsidP="00674CE7">
            <w:pPr>
              <w:spacing w:line="276" w:lineRule="auto"/>
              <w:rPr>
                <w:color w:val="000000"/>
                <w:sz w:val="22"/>
                <w:szCs w:val="22"/>
              </w:rPr>
            </w:pPr>
            <w:r>
              <w:rPr>
                <w:rFonts w:ascii="Trebuchet MS" w:eastAsia="Trebuchet MS" w:hAnsi="Trebuchet MS" w:cs="Trebuchet MS"/>
                <w:b/>
                <w:bCs/>
                <w:color w:val="000000"/>
                <w:sz w:val="22"/>
                <w:szCs w:val="22"/>
              </w:rPr>
              <w:lastRenderedPageBreak/>
              <w:t>EXPERT(S) FEES COLLECTION:</w:t>
            </w:r>
          </w:p>
        </w:tc>
        <w:tc>
          <w:tcPr>
            <w:tcW w:w="7371" w:type="dxa"/>
            <w:tcMar>
              <w:top w:w="5" w:type="dxa"/>
              <w:left w:w="113" w:type="dxa"/>
              <w:bottom w:w="5" w:type="dxa"/>
              <w:right w:w="113" w:type="dxa"/>
            </w:tcMar>
            <w:hideMark/>
          </w:tcPr>
          <w:p w14:paraId="1CA64953" w14:textId="77777777" w:rsidR="00592C29" w:rsidRDefault="0048296D" w:rsidP="00674CE7">
            <w:pPr>
              <w:spacing w:after="120" w:line="276" w:lineRule="auto"/>
              <w:rPr>
                <w:color w:val="000000"/>
                <w:sz w:val="22"/>
                <w:szCs w:val="22"/>
              </w:rPr>
            </w:pPr>
            <w:r>
              <w:rPr>
                <w:rFonts w:ascii="Trebuchet MS" w:eastAsia="Trebuchet MS" w:hAnsi="Trebuchet MS" w:cs="Trebuchet MS"/>
                <w:color w:val="000000"/>
                <w:sz w:val="22"/>
                <w:szCs w:val="22"/>
              </w:rPr>
              <w:t>ANO Ltd to collect fees for all contract security, including overseas.</w:t>
            </w:r>
          </w:p>
          <w:p w14:paraId="3257AB8D" w14:textId="00F5BBCA" w:rsidR="00592C29" w:rsidRDefault="00592C29" w:rsidP="00674CE7">
            <w:pPr>
              <w:spacing w:after="120" w:line="276" w:lineRule="auto"/>
              <w:rPr>
                <w:color w:val="000000"/>
                <w:sz w:val="22"/>
                <w:szCs w:val="22"/>
              </w:rPr>
            </w:pPr>
          </w:p>
          <w:p w14:paraId="6E31E90E" w14:textId="77777777" w:rsidR="00674CE7" w:rsidRDefault="00674CE7" w:rsidP="00674CE7">
            <w:pPr>
              <w:spacing w:after="120" w:line="276" w:lineRule="auto"/>
              <w:rPr>
                <w:color w:val="000000"/>
                <w:sz w:val="22"/>
                <w:szCs w:val="22"/>
              </w:rPr>
            </w:pPr>
          </w:p>
          <w:p w14:paraId="685D151D" w14:textId="77777777" w:rsidR="00592C29" w:rsidRDefault="00592C29" w:rsidP="00674CE7">
            <w:pPr>
              <w:spacing w:after="120" w:line="276" w:lineRule="auto"/>
              <w:rPr>
                <w:color w:val="000000"/>
                <w:sz w:val="22"/>
                <w:szCs w:val="22"/>
              </w:rPr>
            </w:pPr>
          </w:p>
        </w:tc>
      </w:tr>
      <w:tr w:rsidR="00592C29" w14:paraId="77339610" w14:textId="77777777">
        <w:tc>
          <w:tcPr>
            <w:tcW w:w="2376" w:type="dxa"/>
            <w:tcMar>
              <w:top w:w="5" w:type="dxa"/>
              <w:left w:w="113" w:type="dxa"/>
              <w:bottom w:w="5" w:type="dxa"/>
              <w:right w:w="113" w:type="dxa"/>
            </w:tcMar>
            <w:hideMark/>
          </w:tcPr>
          <w:p w14:paraId="56F486A7" w14:textId="77777777" w:rsidR="00592C29" w:rsidRDefault="0048296D">
            <w:pPr>
              <w:spacing w:after="200" w:line="276" w:lineRule="auto"/>
              <w:rPr>
                <w:color w:val="000000"/>
                <w:sz w:val="22"/>
                <w:szCs w:val="22"/>
              </w:rPr>
            </w:pPr>
            <w:r>
              <w:rPr>
                <w:rFonts w:ascii="Trebuchet MS" w:eastAsia="Trebuchet MS" w:hAnsi="Trebuchet MS" w:cs="Trebuchet MS"/>
                <w:b/>
                <w:bCs/>
                <w:color w:val="000000"/>
                <w:sz w:val="22"/>
                <w:szCs w:val="22"/>
              </w:rPr>
              <w:t>SETTLEMENT DUE DATE:</w:t>
            </w:r>
            <w:r>
              <w:rPr>
                <w:rFonts w:ascii="Trebuchet MS" w:eastAsia="Trebuchet MS" w:hAnsi="Trebuchet MS" w:cs="Trebuchet MS"/>
                <w:color w:val="000000"/>
                <w:sz w:val="22"/>
                <w:szCs w:val="22"/>
              </w:rPr>
              <w:tab/>
            </w:r>
          </w:p>
        </w:tc>
        <w:tc>
          <w:tcPr>
            <w:tcW w:w="7371" w:type="dxa"/>
            <w:tcMar>
              <w:top w:w="5" w:type="dxa"/>
              <w:left w:w="113" w:type="dxa"/>
              <w:bottom w:w="5" w:type="dxa"/>
              <w:right w:w="113" w:type="dxa"/>
            </w:tcMar>
            <w:hideMark/>
          </w:tcPr>
          <w:p w14:paraId="7DDE9087" w14:textId="77777777" w:rsidR="00592C29" w:rsidRDefault="0048296D" w:rsidP="00674CE7">
            <w:pPr>
              <w:spacing w:after="120" w:line="276" w:lineRule="auto"/>
              <w:rPr>
                <w:color w:val="000000"/>
                <w:sz w:val="22"/>
                <w:szCs w:val="22"/>
              </w:rPr>
            </w:pPr>
            <w:r>
              <w:rPr>
                <w:rFonts w:ascii="Trebuchet MS" w:eastAsia="Trebuchet MS" w:hAnsi="Trebuchet MS" w:cs="Trebuchet MS"/>
                <w:color w:val="000000"/>
                <w:sz w:val="22"/>
                <w:szCs w:val="22"/>
              </w:rPr>
              <w:t>1</w:t>
            </w:r>
            <w:r>
              <w:rPr>
                <w:rFonts w:ascii="Trebuchet MS" w:eastAsia="Trebuchet MS" w:hAnsi="Trebuchet MS" w:cs="Trebuchet MS"/>
                <w:color w:val="000000"/>
                <w:sz w:val="22"/>
                <w:szCs w:val="22"/>
                <w:vertAlign w:val="superscript"/>
              </w:rPr>
              <w:t>st</w:t>
            </w:r>
            <w:r>
              <w:rPr>
                <w:rFonts w:ascii="Trebuchet MS" w:eastAsia="Trebuchet MS" w:hAnsi="Trebuchet MS" w:cs="Trebuchet MS"/>
                <w:color w:val="000000"/>
                <w:sz w:val="22"/>
                <w:szCs w:val="22"/>
              </w:rPr>
              <w:t xml:space="preserve"> April YYYY.</w:t>
            </w:r>
          </w:p>
          <w:p w14:paraId="2B24D1D0" w14:textId="77777777" w:rsidR="00592C29" w:rsidRDefault="00592C29" w:rsidP="00674CE7">
            <w:pPr>
              <w:spacing w:after="120" w:line="276" w:lineRule="auto"/>
              <w:rPr>
                <w:color w:val="000000"/>
                <w:sz w:val="22"/>
                <w:szCs w:val="22"/>
              </w:rPr>
            </w:pPr>
          </w:p>
          <w:p w14:paraId="7B83DF56" w14:textId="77777777" w:rsidR="00674CE7" w:rsidRDefault="00674CE7" w:rsidP="00674CE7">
            <w:pPr>
              <w:spacing w:after="120" w:line="276" w:lineRule="auto"/>
              <w:rPr>
                <w:color w:val="000000"/>
                <w:sz w:val="22"/>
                <w:szCs w:val="22"/>
              </w:rPr>
            </w:pPr>
          </w:p>
          <w:p w14:paraId="5E5B7F68" w14:textId="3E91D422" w:rsidR="00674CE7" w:rsidRDefault="00674CE7" w:rsidP="00674CE7">
            <w:pPr>
              <w:spacing w:after="120" w:line="276" w:lineRule="auto"/>
              <w:rPr>
                <w:color w:val="000000"/>
                <w:sz w:val="22"/>
                <w:szCs w:val="22"/>
              </w:rPr>
            </w:pPr>
          </w:p>
        </w:tc>
      </w:tr>
      <w:tr w:rsidR="00592C29" w14:paraId="21397BE7" w14:textId="77777777">
        <w:tc>
          <w:tcPr>
            <w:tcW w:w="2376" w:type="dxa"/>
            <w:tcMar>
              <w:top w:w="5" w:type="dxa"/>
              <w:left w:w="113" w:type="dxa"/>
              <w:bottom w:w="5" w:type="dxa"/>
              <w:right w:w="113" w:type="dxa"/>
            </w:tcMar>
            <w:hideMark/>
          </w:tcPr>
          <w:p w14:paraId="1110E97D" w14:textId="77777777" w:rsidR="00592C29" w:rsidRDefault="0048296D" w:rsidP="00674CE7">
            <w:pPr>
              <w:spacing w:line="276" w:lineRule="auto"/>
              <w:rPr>
                <w:color w:val="000000"/>
                <w:sz w:val="22"/>
                <w:szCs w:val="22"/>
              </w:rPr>
            </w:pPr>
            <w:r>
              <w:rPr>
                <w:rFonts w:ascii="Trebuchet MS" w:eastAsia="Trebuchet MS" w:hAnsi="Trebuchet MS" w:cs="Trebuchet MS"/>
                <w:b/>
                <w:bCs/>
                <w:color w:val="000000"/>
                <w:sz w:val="22"/>
                <w:szCs w:val="22"/>
              </w:rPr>
              <w:t xml:space="preserve">BUREAU </w:t>
            </w:r>
          </w:p>
          <w:p w14:paraId="50DA15AF" w14:textId="77777777" w:rsidR="00592C29" w:rsidRDefault="0048296D" w:rsidP="00674CE7">
            <w:pPr>
              <w:spacing w:line="276" w:lineRule="auto"/>
              <w:ind w:left="3600" w:hanging="3600"/>
              <w:rPr>
                <w:color w:val="000000"/>
                <w:sz w:val="22"/>
                <w:szCs w:val="22"/>
              </w:rPr>
            </w:pPr>
            <w:r>
              <w:rPr>
                <w:rFonts w:ascii="Trebuchet MS" w:eastAsia="Trebuchet MS" w:hAnsi="Trebuchet MS" w:cs="Trebuchet MS"/>
                <w:b/>
                <w:bCs/>
                <w:color w:val="000000"/>
                <w:sz w:val="22"/>
                <w:szCs w:val="22"/>
              </w:rPr>
              <w:t>ARRANGEMENTS:</w:t>
            </w:r>
          </w:p>
          <w:p w14:paraId="597EBA08" w14:textId="77777777" w:rsidR="00592C29" w:rsidRDefault="00592C29" w:rsidP="00674CE7">
            <w:pPr>
              <w:spacing w:line="276" w:lineRule="auto"/>
              <w:rPr>
                <w:color w:val="000000"/>
                <w:sz w:val="22"/>
                <w:szCs w:val="22"/>
              </w:rPr>
            </w:pPr>
          </w:p>
        </w:tc>
        <w:tc>
          <w:tcPr>
            <w:tcW w:w="7371" w:type="dxa"/>
            <w:tcMar>
              <w:top w:w="5" w:type="dxa"/>
              <w:left w:w="113" w:type="dxa"/>
              <w:bottom w:w="5" w:type="dxa"/>
              <w:right w:w="113" w:type="dxa"/>
            </w:tcMar>
          </w:tcPr>
          <w:p w14:paraId="6DB3AE7A" w14:textId="77777777" w:rsidR="00592C29" w:rsidRDefault="00592C29">
            <w:pPr>
              <w:spacing w:after="120" w:line="276" w:lineRule="auto"/>
              <w:rPr>
                <w:color w:val="000000"/>
                <w:sz w:val="22"/>
                <w:szCs w:val="22"/>
              </w:rPr>
            </w:pPr>
          </w:p>
        </w:tc>
      </w:tr>
    </w:tbl>
    <w:p w14:paraId="355310E1" w14:textId="77777777" w:rsidR="00592C29" w:rsidRDefault="0048296D">
      <w:pPr>
        <w:spacing w:after="200" w:line="276" w:lineRule="auto"/>
        <w:rPr>
          <w:sz w:val="40"/>
          <w:szCs w:val="40"/>
        </w:rPr>
      </w:pPr>
      <w:r>
        <w:rPr>
          <w:sz w:val="40"/>
          <w:szCs w:val="40"/>
        </w:rPr>
        <w:br w:type="page"/>
      </w:r>
    </w:p>
    <w:tbl>
      <w:tblPr>
        <w:tblW w:w="9747" w:type="dxa"/>
        <w:tblInd w:w="113" w:type="dxa"/>
        <w:tblCellMar>
          <w:left w:w="0" w:type="dxa"/>
          <w:right w:w="0" w:type="dxa"/>
        </w:tblCellMar>
        <w:tblLook w:val="04A0" w:firstRow="1" w:lastRow="0" w:firstColumn="1" w:lastColumn="0" w:noHBand="0" w:noVBand="1"/>
      </w:tblPr>
      <w:tblGrid>
        <w:gridCol w:w="2376"/>
        <w:gridCol w:w="7371"/>
      </w:tblGrid>
      <w:tr w:rsidR="00592C29" w14:paraId="1DEF122F" w14:textId="77777777">
        <w:tc>
          <w:tcPr>
            <w:tcW w:w="9747" w:type="dxa"/>
            <w:gridSpan w:val="2"/>
            <w:tcMar>
              <w:top w:w="5" w:type="dxa"/>
              <w:left w:w="113" w:type="dxa"/>
              <w:bottom w:w="5" w:type="dxa"/>
              <w:right w:w="113" w:type="dxa"/>
            </w:tcMar>
            <w:hideMark/>
          </w:tcPr>
          <w:p w14:paraId="4EBB57E9" w14:textId="338936C9" w:rsidR="00592C29" w:rsidRDefault="0048296D">
            <w:pPr>
              <w:spacing w:after="200" w:line="276" w:lineRule="auto"/>
              <w:rPr>
                <w:color w:val="000000"/>
                <w:sz w:val="40"/>
                <w:szCs w:val="40"/>
              </w:rPr>
            </w:pPr>
            <w:r>
              <w:rPr>
                <w:rFonts w:ascii="Trebuchet MS" w:eastAsia="Trebuchet MS" w:hAnsi="Trebuchet MS" w:cs="Trebuchet MS"/>
                <w:b/>
                <w:bCs/>
                <w:color w:val="000000"/>
                <w:sz w:val="40"/>
                <w:szCs w:val="40"/>
              </w:rPr>
              <w:lastRenderedPageBreak/>
              <w:t>Fiscal and Regulatory</w:t>
            </w:r>
          </w:p>
          <w:p w14:paraId="04286D20" w14:textId="77777777" w:rsidR="00592C29" w:rsidRDefault="00592C29">
            <w:pPr>
              <w:spacing w:after="120" w:line="276" w:lineRule="auto"/>
              <w:rPr>
                <w:color w:val="000000"/>
                <w:sz w:val="22"/>
                <w:szCs w:val="22"/>
              </w:rPr>
            </w:pPr>
          </w:p>
        </w:tc>
      </w:tr>
      <w:tr w:rsidR="00592C29" w14:paraId="10EA7890" w14:textId="77777777">
        <w:tc>
          <w:tcPr>
            <w:tcW w:w="2376" w:type="dxa"/>
            <w:tcMar>
              <w:top w:w="5" w:type="dxa"/>
              <w:left w:w="113" w:type="dxa"/>
              <w:bottom w:w="5" w:type="dxa"/>
              <w:right w:w="113" w:type="dxa"/>
            </w:tcMar>
            <w:hideMark/>
          </w:tcPr>
          <w:p w14:paraId="77995955" w14:textId="77777777" w:rsidR="00592C29" w:rsidRDefault="0048296D" w:rsidP="00981BF4">
            <w:pPr>
              <w:spacing w:line="276" w:lineRule="auto"/>
              <w:rPr>
                <w:color w:val="000000"/>
                <w:sz w:val="22"/>
                <w:szCs w:val="22"/>
              </w:rPr>
            </w:pPr>
            <w:r>
              <w:rPr>
                <w:rFonts w:ascii="Trebuchet MS" w:eastAsia="Trebuchet MS" w:hAnsi="Trebuchet MS" w:cs="Trebuchet MS"/>
                <w:b/>
                <w:bCs/>
                <w:color w:val="000000"/>
                <w:sz w:val="22"/>
                <w:szCs w:val="22"/>
              </w:rPr>
              <w:t>TAX PAYABLE BY INSURER(S):</w:t>
            </w:r>
          </w:p>
        </w:tc>
        <w:tc>
          <w:tcPr>
            <w:tcW w:w="7371" w:type="dxa"/>
            <w:tcMar>
              <w:top w:w="5" w:type="dxa"/>
              <w:left w:w="113" w:type="dxa"/>
              <w:bottom w:w="5" w:type="dxa"/>
              <w:right w:w="113" w:type="dxa"/>
            </w:tcMar>
            <w:hideMark/>
          </w:tcPr>
          <w:p w14:paraId="5104FDED" w14:textId="77777777" w:rsidR="00592C29" w:rsidRDefault="0048296D" w:rsidP="00981BF4">
            <w:pPr>
              <w:spacing w:after="120" w:line="276" w:lineRule="auto"/>
              <w:ind w:left="1701" w:hanging="1701"/>
              <w:rPr>
                <w:color w:val="000000"/>
                <w:sz w:val="22"/>
                <w:szCs w:val="22"/>
              </w:rPr>
            </w:pPr>
            <w:r>
              <w:rPr>
                <w:rFonts w:ascii="Trebuchet MS" w:eastAsia="Trebuchet MS" w:hAnsi="Trebuchet MS" w:cs="Trebuchet MS"/>
                <w:color w:val="000000"/>
                <w:sz w:val="22"/>
                <w:szCs w:val="22"/>
              </w:rPr>
              <w:t>UK</w:t>
            </w:r>
            <w:r>
              <w:rPr>
                <w:rFonts w:ascii="Trebuchet MS" w:eastAsia="Trebuchet MS" w:hAnsi="Trebuchet MS" w:cs="Trebuchet MS"/>
                <w:color w:val="000000"/>
                <w:sz w:val="22"/>
                <w:szCs w:val="22"/>
              </w:rPr>
              <w:tab/>
              <w:t>None applicable</w:t>
            </w:r>
          </w:p>
          <w:p w14:paraId="478E443D" w14:textId="77777777" w:rsidR="00592C29" w:rsidRDefault="0048296D" w:rsidP="00981BF4">
            <w:pPr>
              <w:spacing w:after="120" w:line="276" w:lineRule="auto"/>
              <w:ind w:left="1701" w:hanging="1701"/>
              <w:rPr>
                <w:color w:val="000000"/>
                <w:sz w:val="22"/>
                <w:szCs w:val="22"/>
              </w:rPr>
            </w:pPr>
            <w:r>
              <w:rPr>
                <w:rFonts w:ascii="Trebuchet MS" w:eastAsia="Trebuchet MS" w:hAnsi="Trebuchet MS" w:cs="Trebuchet MS"/>
                <w:color w:val="000000"/>
                <w:sz w:val="22"/>
                <w:szCs w:val="22"/>
              </w:rPr>
              <w:t>Spain</w:t>
            </w:r>
            <w:r>
              <w:rPr>
                <w:rFonts w:ascii="Trebuchet MS" w:eastAsia="Trebuchet MS" w:hAnsi="Trebuchet MS" w:cs="Trebuchet MS"/>
                <w:color w:val="000000"/>
                <w:sz w:val="22"/>
                <w:szCs w:val="22"/>
              </w:rPr>
              <w:tab/>
              <w:t>Fire Brigade Charge at 5% of 20% of Gross Premium apportioned to fire only risks (GBP 40,000)</w:t>
            </w:r>
          </w:p>
          <w:p w14:paraId="37DCBB84" w14:textId="77777777" w:rsidR="00592C29" w:rsidRDefault="0048296D" w:rsidP="00981BF4">
            <w:pPr>
              <w:spacing w:after="120" w:line="276" w:lineRule="auto"/>
              <w:ind w:left="1701" w:hanging="1701"/>
              <w:rPr>
                <w:color w:val="000000"/>
                <w:sz w:val="22"/>
                <w:szCs w:val="22"/>
              </w:rPr>
            </w:pPr>
            <w:r>
              <w:rPr>
                <w:rFonts w:ascii="Trebuchet MS" w:eastAsia="Trebuchet MS" w:hAnsi="Trebuchet MS" w:cs="Trebuchet MS"/>
                <w:color w:val="000000"/>
                <w:sz w:val="22"/>
                <w:szCs w:val="22"/>
              </w:rPr>
              <w:t>Austria</w:t>
            </w:r>
            <w:r>
              <w:rPr>
                <w:rFonts w:ascii="Trebuchet MS" w:eastAsia="Trebuchet MS" w:hAnsi="Trebuchet MS" w:cs="Trebuchet MS"/>
                <w:color w:val="000000"/>
                <w:sz w:val="22"/>
                <w:szCs w:val="22"/>
              </w:rPr>
              <w:tab/>
              <w:t xml:space="preserve">Fire Brigade Charge at 4% of 20% of Gross Premium apportioned to fire only risks (GBP 10,000).  </w:t>
            </w:r>
          </w:p>
          <w:p w14:paraId="2A128B40" w14:textId="77777777" w:rsidR="00592C29" w:rsidRDefault="0048296D" w:rsidP="00981BF4">
            <w:pPr>
              <w:tabs>
                <w:tab w:val="left" w:pos="1701"/>
              </w:tabs>
              <w:spacing w:after="120" w:line="276" w:lineRule="auto"/>
              <w:ind w:left="1701" w:hanging="1701"/>
              <w:rPr>
                <w:color w:val="000000"/>
                <w:sz w:val="22"/>
                <w:szCs w:val="22"/>
              </w:rPr>
            </w:pPr>
            <w:r>
              <w:rPr>
                <w:rFonts w:ascii="Trebuchet MS" w:eastAsia="Trebuchet MS" w:hAnsi="Trebuchet MS" w:cs="Trebuchet MS"/>
                <w:color w:val="000000"/>
                <w:sz w:val="22"/>
                <w:szCs w:val="22"/>
              </w:rPr>
              <w:t>New Zealand</w:t>
            </w:r>
            <w:r>
              <w:rPr>
                <w:rFonts w:ascii="Trebuchet MS" w:eastAsia="Trebuchet MS" w:hAnsi="Trebuchet MS" w:cs="Trebuchet MS"/>
                <w:color w:val="000000"/>
                <w:sz w:val="22"/>
                <w:szCs w:val="22"/>
              </w:rPr>
              <w:tab/>
              <w:t>Income Tax and Fire Services Commission administered by the insured/their agent as specified within Risk Details.</w:t>
            </w:r>
          </w:p>
          <w:p w14:paraId="2474D6FD" w14:textId="77777777" w:rsidR="00592C29" w:rsidRDefault="00592C29" w:rsidP="00981BF4">
            <w:pPr>
              <w:spacing w:after="120" w:line="276" w:lineRule="auto"/>
              <w:rPr>
                <w:color w:val="000000"/>
                <w:sz w:val="22"/>
                <w:szCs w:val="22"/>
              </w:rPr>
            </w:pPr>
          </w:p>
          <w:p w14:paraId="31687F5A" w14:textId="77777777" w:rsidR="00592C29" w:rsidRDefault="00592C29" w:rsidP="00981BF4">
            <w:pPr>
              <w:spacing w:after="120" w:line="276" w:lineRule="auto"/>
              <w:rPr>
                <w:color w:val="000000"/>
                <w:sz w:val="22"/>
                <w:szCs w:val="22"/>
              </w:rPr>
            </w:pPr>
          </w:p>
        </w:tc>
      </w:tr>
      <w:tr w:rsidR="00592C29" w14:paraId="53DDDE82" w14:textId="77777777">
        <w:tc>
          <w:tcPr>
            <w:tcW w:w="2376" w:type="dxa"/>
            <w:tcMar>
              <w:top w:w="5" w:type="dxa"/>
              <w:left w:w="113" w:type="dxa"/>
              <w:bottom w:w="5" w:type="dxa"/>
              <w:right w:w="113" w:type="dxa"/>
            </w:tcMar>
            <w:hideMark/>
          </w:tcPr>
          <w:p w14:paraId="0E1FF020" w14:textId="77777777" w:rsidR="00592C29" w:rsidRDefault="0048296D" w:rsidP="00981BF4">
            <w:pPr>
              <w:spacing w:line="276" w:lineRule="auto"/>
              <w:rPr>
                <w:color w:val="000000"/>
                <w:sz w:val="22"/>
                <w:szCs w:val="22"/>
              </w:rPr>
            </w:pPr>
            <w:r>
              <w:rPr>
                <w:rFonts w:ascii="Trebuchet MS" w:eastAsia="Trebuchet MS" w:hAnsi="Trebuchet MS" w:cs="Trebuchet MS"/>
                <w:b/>
                <w:bCs/>
                <w:color w:val="000000"/>
                <w:sz w:val="22"/>
                <w:szCs w:val="22"/>
              </w:rPr>
              <w:t>COUNTRY OF ORIGIN:</w:t>
            </w:r>
          </w:p>
        </w:tc>
        <w:tc>
          <w:tcPr>
            <w:tcW w:w="7371" w:type="dxa"/>
            <w:tcMar>
              <w:top w:w="5" w:type="dxa"/>
              <w:left w:w="113" w:type="dxa"/>
              <w:bottom w:w="5" w:type="dxa"/>
              <w:right w:w="113" w:type="dxa"/>
            </w:tcMar>
            <w:hideMark/>
          </w:tcPr>
          <w:p w14:paraId="7A4BBDDC" w14:textId="77777777" w:rsidR="00592C29" w:rsidRDefault="0048296D" w:rsidP="00981BF4">
            <w:pPr>
              <w:spacing w:after="120" w:line="276" w:lineRule="auto"/>
              <w:rPr>
                <w:color w:val="000000"/>
                <w:sz w:val="22"/>
                <w:szCs w:val="22"/>
              </w:rPr>
            </w:pPr>
            <w:r>
              <w:rPr>
                <w:rFonts w:ascii="Trebuchet MS" w:eastAsia="Trebuchet MS" w:hAnsi="Trebuchet MS" w:cs="Trebuchet MS"/>
                <w:color w:val="000000"/>
                <w:sz w:val="22"/>
                <w:szCs w:val="22"/>
              </w:rPr>
              <w:t>UK</w:t>
            </w:r>
          </w:p>
          <w:p w14:paraId="46BF90A4" w14:textId="77777777" w:rsidR="00592C29" w:rsidRDefault="00592C29" w:rsidP="00981BF4">
            <w:pPr>
              <w:spacing w:after="120" w:line="276" w:lineRule="auto"/>
              <w:rPr>
                <w:color w:val="000000"/>
                <w:sz w:val="22"/>
                <w:szCs w:val="22"/>
              </w:rPr>
            </w:pPr>
          </w:p>
          <w:p w14:paraId="3E1CB6D3" w14:textId="77777777" w:rsidR="00592C29" w:rsidRDefault="00592C29" w:rsidP="00981BF4">
            <w:pPr>
              <w:spacing w:after="120" w:line="276" w:lineRule="auto"/>
              <w:rPr>
                <w:color w:val="000000"/>
                <w:sz w:val="22"/>
                <w:szCs w:val="22"/>
              </w:rPr>
            </w:pPr>
          </w:p>
          <w:p w14:paraId="6E9E8EEC" w14:textId="77777777" w:rsidR="00592C29" w:rsidRDefault="00592C29" w:rsidP="00981BF4">
            <w:pPr>
              <w:spacing w:after="120" w:line="276" w:lineRule="auto"/>
              <w:rPr>
                <w:color w:val="000000"/>
                <w:sz w:val="22"/>
                <w:szCs w:val="22"/>
              </w:rPr>
            </w:pPr>
          </w:p>
        </w:tc>
      </w:tr>
      <w:tr w:rsidR="00592C29" w14:paraId="768EE87B" w14:textId="77777777">
        <w:tc>
          <w:tcPr>
            <w:tcW w:w="2376" w:type="dxa"/>
            <w:tcMar>
              <w:top w:w="5" w:type="dxa"/>
              <w:left w:w="113" w:type="dxa"/>
              <w:bottom w:w="5" w:type="dxa"/>
              <w:right w:w="113" w:type="dxa"/>
            </w:tcMar>
            <w:hideMark/>
          </w:tcPr>
          <w:p w14:paraId="01ADF4ED" w14:textId="77777777" w:rsidR="00592C29" w:rsidRDefault="0048296D" w:rsidP="00981BF4">
            <w:pPr>
              <w:spacing w:line="276" w:lineRule="auto"/>
              <w:rPr>
                <w:color w:val="000000"/>
                <w:sz w:val="22"/>
                <w:szCs w:val="22"/>
              </w:rPr>
            </w:pPr>
            <w:r>
              <w:rPr>
                <w:rFonts w:ascii="Trebuchet MS" w:eastAsia="Trebuchet MS" w:hAnsi="Trebuchet MS" w:cs="Trebuchet MS"/>
                <w:b/>
                <w:bCs/>
                <w:color w:val="000000"/>
                <w:sz w:val="22"/>
                <w:szCs w:val="22"/>
              </w:rPr>
              <w:t>REGULATORY RISK LOCATION:</w:t>
            </w:r>
          </w:p>
        </w:tc>
        <w:tc>
          <w:tcPr>
            <w:tcW w:w="7371" w:type="dxa"/>
            <w:tcMar>
              <w:top w:w="5" w:type="dxa"/>
              <w:left w:w="113" w:type="dxa"/>
              <w:bottom w:w="5" w:type="dxa"/>
              <w:right w:w="113" w:type="dxa"/>
            </w:tcMar>
            <w:hideMark/>
          </w:tcPr>
          <w:p w14:paraId="0999D775" w14:textId="77777777" w:rsidR="00592C29" w:rsidRDefault="0048296D" w:rsidP="00981BF4">
            <w:pPr>
              <w:spacing w:after="120" w:line="276" w:lineRule="auto"/>
              <w:rPr>
                <w:color w:val="000000"/>
                <w:sz w:val="22"/>
                <w:szCs w:val="22"/>
              </w:rPr>
            </w:pPr>
            <w:r>
              <w:rPr>
                <w:rFonts w:ascii="Trebuchet MS" w:eastAsia="Trebuchet MS" w:hAnsi="Trebuchet MS" w:cs="Trebuchet MS"/>
                <w:color w:val="000000"/>
                <w:sz w:val="22"/>
                <w:szCs w:val="22"/>
              </w:rPr>
              <w:t xml:space="preserve">UK </w:t>
            </w:r>
            <w:r>
              <w:rPr>
                <w:rFonts w:ascii="Trebuchet MS" w:eastAsia="Trebuchet MS" w:hAnsi="Trebuchet MS" w:cs="Trebuchet MS"/>
                <w:color w:val="000000"/>
                <w:sz w:val="22"/>
                <w:szCs w:val="22"/>
              </w:rPr>
              <w:tab/>
            </w:r>
            <w:r>
              <w:rPr>
                <w:rFonts w:ascii="Trebuchet MS" w:eastAsia="Trebuchet MS" w:hAnsi="Trebuchet MS" w:cs="Trebuchet MS"/>
                <w:color w:val="000000"/>
                <w:sz w:val="22"/>
                <w:szCs w:val="22"/>
              </w:rPr>
              <w:tab/>
            </w:r>
            <w:r>
              <w:rPr>
                <w:rFonts w:ascii="Trebuchet MS" w:eastAsia="Trebuchet MS" w:hAnsi="Trebuchet MS" w:cs="Trebuchet MS"/>
                <w:color w:val="000000"/>
                <w:sz w:val="22"/>
                <w:szCs w:val="22"/>
              </w:rPr>
              <w:tab/>
            </w:r>
          </w:p>
          <w:p w14:paraId="6DEB4F30" w14:textId="77777777" w:rsidR="00592C29" w:rsidRDefault="0048296D" w:rsidP="00981BF4">
            <w:pPr>
              <w:spacing w:after="120" w:line="276" w:lineRule="auto"/>
              <w:rPr>
                <w:color w:val="000000"/>
                <w:sz w:val="22"/>
                <w:szCs w:val="22"/>
              </w:rPr>
            </w:pPr>
            <w:r>
              <w:rPr>
                <w:rFonts w:ascii="Trebuchet MS" w:eastAsia="Trebuchet MS" w:hAnsi="Trebuchet MS" w:cs="Trebuchet MS"/>
                <w:color w:val="000000"/>
                <w:sz w:val="22"/>
                <w:szCs w:val="22"/>
              </w:rPr>
              <w:t xml:space="preserve">Spain </w:t>
            </w:r>
            <w:r>
              <w:rPr>
                <w:rFonts w:ascii="Trebuchet MS" w:eastAsia="Trebuchet MS" w:hAnsi="Trebuchet MS" w:cs="Trebuchet MS"/>
                <w:color w:val="000000"/>
                <w:sz w:val="22"/>
                <w:szCs w:val="22"/>
              </w:rPr>
              <w:tab/>
            </w:r>
            <w:r>
              <w:rPr>
                <w:rFonts w:ascii="Trebuchet MS" w:eastAsia="Trebuchet MS" w:hAnsi="Trebuchet MS" w:cs="Trebuchet MS"/>
                <w:color w:val="000000"/>
                <w:sz w:val="22"/>
                <w:szCs w:val="22"/>
              </w:rPr>
              <w:tab/>
            </w:r>
            <w:r>
              <w:rPr>
                <w:rFonts w:ascii="Trebuchet MS" w:eastAsia="Trebuchet MS" w:hAnsi="Trebuchet MS" w:cs="Trebuchet MS"/>
                <w:color w:val="000000"/>
                <w:sz w:val="22"/>
                <w:szCs w:val="22"/>
              </w:rPr>
              <w:tab/>
            </w:r>
          </w:p>
          <w:p w14:paraId="7749D14C" w14:textId="77777777" w:rsidR="00592C29" w:rsidRDefault="0048296D" w:rsidP="00981BF4">
            <w:pPr>
              <w:spacing w:after="120" w:line="276" w:lineRule="auto"/>
              <w:rPr>
                <w:color w:val="000000"/>
                <w:sz w:val="22"/>
                <w:szCs w:val="22"/>
              </w:rPr>
            </w:pPr>
            <w:r>
              <w:rPr>
                <w:rFonts w:ascii="Trebuchet MS" w:eastAsia="Trebuchet MS" w:hAnsi="Trebuchet MS" w:cs="Trebuchet MS"/>
                <w:color w:val="000000"/>
                <w:sz w:val="22"/>
                <w:szCs w:val="22"/>
              </w:rPr>
              <w:t xml:space="preserve">Austria </w:t>
            </w:r>
            <w:r>
              <w:rPr>
                <w:rFonts w:ascii="Trebuchet MS" w:eastAsia="Trebuchet MS" w:hAnsi="Trebuchet MS" w:cs="Trebuchet MS"/>
                <w:color w:val="000000"/>
                <w:sz w:val="22"/>
                <w:szCs w:val="22"/>
              </w:rPr>
              <w:tab/>
              <w:t xml:space="preserve">  </w:t>
            </w:r>
            <w:r>
              <w:rPr>
                <w:rFonts w:ascii="Trebuchet MS" w:eastAsia="Trebuchet MS" w:hAnsi="Trebuchet MS" w:cs="Trebuchet MS"/>
                <w:color w:val="000000"/>
                <w:sz w:val="22"/>
                <w:szCs w:val="22"/>
              </w:rPr>
              <w:tab/>
            </w:r>
          </w:p>
          <w:p w14:paraId="65EF3EAD" w14:textId="77777777" w:rsidR="00592C29" w:rsidRDefault="0048296D" w:rsidP="00981BF4">
            <w:pPr>
              <w:spacing w:after="120" w:line="276" w:lineRule="auto"/>
              <w:rPr>
                <w:color w:val="000000"/>
                <w:sz w:val="22"/>
                <w:szCs w:val="22"/>
              </w:rPr>
            </w:pPr>
            <w:r>
              <w:rPr>
                <w:rFonts w:ascii="Trebuchet MS" w:eastAsia="Trebuchet MS" w:hAnsi="Trebuchet MS" w:cs="Trebuchet MS"/>
                <w:color w:val="000000"/>
                <w:sz w:val="22"/>
                <w:szCs w:val="22"/>
              </w:rPr>
              <w:t xml:space="preserve">New Zealand   </w:t>
            </w:r>
            <w:r>
              <w:rPr>
                <w:rFonts w:ascii="Trebuchet MS" w:eastAsia="Trebuchet MS" w:hAnsi="Trebuchet MS" w:cs="Trebuchet MS"/>
                <w:color w:val="000000"/>
                <w:sz w:val="22"/>
                <w:szCs w:val="22"/>
              </w:rPr>
              <w:tab/>
            </w:r>
          </w:p>
          <w:p w14:paraId="26446C9C" w14:textId="77777777" w:rsidR="00592C29" w:rsidRDefault="00592C29" w:rsidP="00257143">
            <w:pPr>
              <w:spacing w:after="120" w:line="276" w:lineRule="auto"/>
              <w:rPr>
                <w:color w:val="000000"/>
                <w:sz w:val="22"/>
                <w:szCs w:val="22"/>
              </w:rPr>
            </w:pPr>
          </w:p>
          <w:p w14:paraId="2A075685" w14:textId="77777777" w:rsidR="00592C29" w:rsidRDefault="00592C29" w:rsidP="00981BF4">
            <w:pPr>
              <w:spacing w:after="120" w:line="276" w:lineRule="auto"/>
              <w:rPr>
                <w:color w:val="000000"/>
                <w:sz w:val="22"/>
                <w:szCs w:val="22"/>
              </w:rPr>
            </w:pPr>
          </w:p>
        </w:tc>
      </w:tr>
      <w:tr w:rsidR="00592C29" w14:paraId="271F0EF4" w14:textId="77777777">
        <w:tc>
          <w:tcPr>
            <w:tcW w:w="2376" w:type="dxa"/>
            <w:tcMar>
              <w:top w:w="5" w:type="dxa"/>
              <w:left w:w="113" w:type="dxa"/>
              <w:bottom w:w="5" w:type="dxa"/>
              <w:right w:w="113" w:type="dxa"/>
            </w:tcMar>
            <w:hideMark/>
          </w:tcPr>
          <w:p w14:paraId="6379B16A" w14:textId="77777777" w:rsidR="00592C29" w:rsidRDefault="0048296D" w:rsidP="00981BF4">
            <w:pPr>
              <w:spacing w:line="276" w:lineRule="auto"/>
              <w:rPr>
                <w:color w:val="000000"/>
                <w:sz w:val="22"/>
                <w:szCs w:val="22"/>
              </w:rPr>
            </w:pPr>
            <w:r>
              <w:rPr>
                <w:rFonts w:ascii="Trebuchet MS" w:eastAsia="Trebuchet MS" w:hAnsi="Trebuchet MS" w:cs="Trebuchet MS"/>
                <w:b/>
                <w:bCs/>
                <w:color w:val="000000"/>
                <w:sz w:val="22"/>
                <w:szCs w:val="22"/>
              </w:rPr>
              <w:t xml:space="preserve">SURPLUS LINES </w:t>
            </w:r>
          </w:p>
          <w:p w14:paraId="4E981DBA" w14:textId="77777777" w:rsidR="00592C29" w:rsidRDefault="0048296D" w:rsidP="00981BF4">
            <w:pPr>
              <w:spacing w:line="276" w:lineRule="auto"/>
              <w:rPr>
                <w:color w:val="000000"/>
                <w:sz w:val="22"/>
                <w:szCs w:val="22"/>
              </w:rPr>
            </w:pPr>
            <w:r>
              <w:rPr>
                <w:rFonts w:ascii="Trebuchet MS" w:eastAsia="Trebuchet MS" w:hAnsi="Trebuchet MS" w:cs="Trebuchet MS"/>
                <w:b/>
                <w:bCs/>
                <w:color w:val="000000"/>
                <w:sz w:val="22"/>
                <w:szCs w:val="22"/>
              </w:rPr>
              <w:t>BROKER:</w:t>
            </w:r>
          </w:p>
        </w:tc>
        <w:tc>
          <w:tcPr>
            <w:tcW w:w="7371" w:type="dxa"/>
            <w:tcMar>
              <w:top w:w="5" w:type="dxa"/>
              <w:left w:w="113" w:type="dxa"/>
              <w:bottom w:w="5" w:type="dxa"/>
              <w:right w:w="113" w:type="dxa"/>
            </w:tcMar>
            <w:hideMark/>
          </w:tcPr>
          <w:p w14:paraId="3CB949D4" w14:textId="77777777" w:rsidR="00592C29" w:rsidRDefault="0048296D" w:rsidP="00981BF4">
            <w:pPr>
              <w:spacing w:after="120" w:line="276" w:lineRule="auto"/>
              <w:rPr>
                <w:color w:val="000000"/>
                <w:sz w:val="22"/>
                <w:szCs w:val="22"/>
              </w:rPr>
            </w:pPr>
            <w:r>
              <w:rPr>
                <w:rFonts w:ascii="Trebuchet MS" w:eastAsia="Trebuchet MS" w:hAnsi="Trebuchet MS" w:cs="Trebuchet MS"/>
                <w:color w:val="000000"/>
                <w:sz w:val="22"/>
                <w:szCs w:val="22"/>
              </w:rPr>
              <w:t>None</w:t>
            </w:r>
          </w:p>
          <w:p w14:paraId="2B521B04" w14:textId="77777777" w:rsidR="00592C29" w:rsidRDefault="00592C29" w:rsidP="00981BF4">
            <w:pPr>
              <w:spacing w:after="120" w:line="276" w:lineRule="auto"/>
              <w:rPr>
                <w:color w:val="000000"/>
                <w:sz w:val="22"/>
                <w:szCs w:val="22"/>
              </w:rPr>
            </w:pPr>
          </w:p>
          <w:p w14:paraId="07E3297F" w14:textId="77777777" w:rsidR="00592C29" w:rsidRDefault="00592C29" w:rsidP="00981BF4">
            <w:pPr>
              <w:spacing w:after="120" w:line="276" w:lineRule="auto"/>
              <w:rPr>
                <w:color w:val="000000"/>
                <w:sz w:val="22"/>
                <w:szCs w:val="22"/>
              </w:rPr>
            </w:pPr>
          </w:p>
          <w:p w14:paraId="30BB93BA" w14:textId="77777777" w:rsidR="00592C29" w:rsidRDefault="00592C29" w:rsidP="00981BF4">
            <w:pPr>
              <w:spacing w:after="120" w:line="276" w:lineRule="auto"/>
              <w:rPr>
                <w:color w:val="000000"/>
                <w:sz w:val="22"/>
                <w:szCs w:val="22"/>
              </w:rPr>
            </w:pPr>
          </w:p>
        </w:tc>
      </w:tr>
      <w:tr w:rsidR="00592C29" w14:paraId="1AEA9791" w14:textId="77777777">
        <w:tc>
          <w:tcPr>
            <w:tcW w:w="2376" w:type="dxa"/>
            <w:tcMar>
              <w:top w:w="5" w:type="dxa"/>
              <w:left w:w="113" w:type="dxa"/>
              <w:bottom w:w="5" w:type="dxa"/>
              <w:right w:w="113" w:type="dxa"/>
            </w:tcMar>
            <w:hideMark/>
          </w:tcPr>
          <w:p w14:paraId="6D8D6BF2" w14:textId="77777777" w:rsidR="00592C29" w:rsidRDefault="0048296D" w:rsidP="00981BF4">
            <w:pPr>
              <w:spacing w:line="276" w:lineRule="auto"/>
              <w:rPr>
                <w:color w:val="000000"/>
                <w:sz w:val="22"/>
                <w:szCs w:val="22"/>
              </w:rPr>
            </w:pPr>
            <w:r>
              <w:rPr>
                <w:rFonts w:ascii="Trebuchet MS" w:eastAsia="Trebuchet MS" w:hAnsi="Trebuchet MS" w:cs="Trebuchet MS"/>
                <w:b/>
                <w:bCs/>
                <w:color w:val="000000"/>
                <w:sz w:val="22"/>
                <w:szCs w:val="22"/>
              </w:rPr>
              <w:t>ALLOCATION OF PREMIUM TO CODING:</w:t>
            </w:r>
          </w:p>
        </w:tc>
        <w:tc>
          <w:tcPr>
            <w:tcW w:w="7371" w:type="dxa"/>
            <w:tcMar>
              <w:top w:w="5" w:type="dxa"/>
              <w:left w:w="113" w:type="dxa"/>
              <w:bottom w:w="5" w:type="dxa"/>
              <w:right w:w="113" w:type="dxa"/>
            </w:tcMar>
            <w:hideMark/>
          </w:tcPr>
          <w:p w14:paraId="657323CA" w14:textId="77777777" w:rsidR="00592C29" w:rsidRDefault="0048296D" w:rsidP="00981BF4">
            <w:pPr>
              <w:spacing w:after="120" w:line="276" w:lineRule="auto"/>
              <w:rPr>
                <w:color w:val="000000"/>
                <w:sz w:val="22"/>
                <w:szCs w:val="22"/>
              </w:rPr>
            </w:pPr>
            <w:r>
              <w:rPr>
                <w:rFonts w:ascii="Trebuchet MS" w:eastAsia="Trebuchet MS" w:hAnsi="Trebuchet MS" w:cs="Trebuchet MS"/>
                <w:i/>
                <w:iCs/>
                <w:color w:val="000000"/>
                <w:sz w:val="22"/>
                <w:szCs w:val="22"/>
              </w:rPr>
              <w:t>(Enter Risk Code(s) and any allocation.)</w:t>
            </w:r>
          </w:p>
          <w:p w14:paraId="2803FE72" w14:textId="77777777" w:rsidR="00592C29" w:rsidRDefault="0048296D" w:rsidP="00981BF4">
            <w:pPr>
              <w:spacing w:after="120" w:line="276" w:lineRule="auto"/>
              <w:rPr>
                <w:color w:val="000000"/>
                <w:sz w:val="22"/>
                <w:szCs w:val="22"/>
              </w:rPr>
            </w:pPr>
            <w:r>
              <w:rPr>
                <w:rFonts w:ascii="Trebuchet MS" w:eastAsia="Trebuchet MS" w:hAnsi="Trebuchet MS" w:cs="Trebuchet MS"/>
                <w:color w:val="000000"/>
                <w:sz w:val="22"/>
                <w:szCs w:val="22"/>
              </w:rPr>
              <w:t>P3(100%)</w:t>
            </w:r>
          </w:p>
          <w:p w14:paraId="44DC9E83" w14:textId="33813591" w:rsidR="00592C29" w:rsidRDefault="00592C29" w:rsidP="00981BF4">
            <w:pPr>
              <w:spacing w:after="120" w:line="276" w:lineRule="auto"/>
              <w:rPr>
                <w:color w:val="000000"/>
                <w:sz w:val="22"/>
                <w:szCs w:val="22"/>
              </w:rPr>
            </w:pPr>
          </w:p>
          <w:p w14:paraId="7EF0D044" w14:textId="77777777" w:rsidR="00262268" w:rsidRDefault="00262268" w:rsidP="00981BF4">
            <w:pPr>
              <w:spacing w:after="120" w:line="276" w:lineRule="auto"/>
              <w:rPr>
                <w:color w:val="000000"/>
                <w:sz w:val="22"/>
                <w:szCs w:val="22"/>
              </w:rPr>
            </w:pPr>
          </w:p>
          <w:p w14:paraId="5EB9D9EF" w14:textId="77777777" w:rsidR="00592C29" w:rsidRDefault="00592C29" w:rsidP="00981BF4">
            <w:pPr>
              <w:spacing w:after="120" w:line="276" w:lineRule="auto"/>
              <w:rPr>
                <w:color w:val="000000"/>
                <w:sz w:val="22"/>
                <w:szCs w:val="22"/>
              </w:rPr>
            </w:pPr>
          </w:p>
        </w:tc>
      </w:tr>
      <w:tr w:rsidR="00592C29" w14:paraId="041D76B2" w14:textId="77777777">
        <w:tc>
          <w:tcPr>
            <w:tcW w:w="2376" w:type="dxa"/>
            <w:tcMar>
              <w:top w:w="5" w:type="dxa"/>
              <w:left w:w="113" w:type="dxa"/>
              <w:bottom w:w="5" w:type="dxa"/>
              <w:right w:w="113" w:type="dxa"/>
            </w:tcMar>
            <w:hideMark/>
          </w:tcPr>
          <w:p w14:paraId="34C5652D" w14:textId="77777777" w:rsidR="00592C29" w:rsidRDefault="0048296D" w:rsidP="00257143">
            <w:pPr>
              <w:spacing w:line="276" w:lineRule="auto"/>
              <w:rPr>
                <w:color w:val="000000"/>
                <w:sz w:val="22"/>
                <w:szCs w:val="22"/>
              </w:rPr>
            </w:pPr>
            <w:r>
              <w:rPr>
                <w:rFonts w:ascii="Trebuchet MS" w:eastAsia="Trebuchet MS" w:hAnsi="Trebuchet MS" w:cs="Trebuchet MS"/>
                <w:b/>
                <w:bCs/>
                <w:color w:val="000000"/>
                <w:sz w:val="22"/>
                <w:szCs w:val="22"/>
              </w:rPr>
              <w:t>REGULATORY CLIENT CLASSIFICATION:</w:t>
            </w:r>
          </w:p>
        </w:tc>
        <w:tc>
          <w:tcPr>
            <w:tcW w:w="7371" w:type="dxa"/>
            <w:tcMar>
              <w:top w:w="5" w:type="dxa"/>
              <w:left w:w="113" w:type="dxa"/>
              <w:bottom w:w="5" w:type="dxa"/>
              <w:right w:w="113" w:type="dxa"/>
            </w:tcMar>
            <w:hideMark/>
          </w:tcPr>
          <w:p w14:paraId="6FD04D32" w14:textId="0309F85F" w:rsidR="00592C29" w:rsidRDefault="0048296D" w:rsidP="00257143">
            <w:pPr>
              <w:spacing w:after="120" w:line="276" w:lineRule="auto"/>
              <w:rPr>
                <w:color w:val="000000"/>
                <w:sz w:val="22"/>
                <w:szCs w:val="22"/>
              </w:rPr>
            </w:pPr>
            <w:r>
              <w:rPr>
                <w:rFonts w:ascii="Trebuchet MS" w:eastAsia="Trebuchet MS" w:hAnsi="Trebuchet MS" w:cs="Trebuchet MS"/>
                <w:color w:val="000000"/>
                <w:sz w:val="22"/>
                <w:szCs w:val="22"/>
              </w:rPr>
              <w:t>Large Risk</w:t>
            </w:r>
          </w:p>
          <w:p w14:paraId="252E5C8B" w14:textId="77777777" w:rsidR="00592C29" w:rsidRDefault="00592C29" w:rsidP="00257143">
            <w:pPr>
              <w:spacing w:after="120" w:line="276" w:lineRule="auto"/>
              <w:rPr>
                <w:color w:val="000000"/>
                <w:sz w:val="22"/>
                <w:szCs w:val="22"/>
              </w:rPr>
            </w:pPr>
          </w:p>
          <w:p w14:paraId="7EA11131" w14:textId="77777777" w:rsidR="00592C29" w:rsidRDefault="00592C29">
            <w:pPr>
              <w:spacing w:after="200" w:line="276" w:lineRule="auto"/>
              <w:rPr>
                <w:color w:val="000000"/>
                <w:sz w:val="22"/>
                <w:szCs w:val="22"/>
              </w:rPr>
            </w:pPr>
          </w:p>
        </w:tc>
      </w:tr>
    </w:tbl>
    <w:p w14:paraId="5A4BBB95" w14:textId="77777777" w:rsidR="00592C29" w:rsidRDefault="0048296D">
      <w:pPr>
        <w:spacing w:after="200" w:line="276" w:lineRule="auto"/>
        <w:rPr>
          <w:sz w:val="22"/>
          <w:szCs w:val="22"/>
        </w:rPr>
      </w:pPr>
      <w:r>
        <w:rPr>
          <w:sz w:val="22"/>
          <w:szCs w:val="22"/>
        </w:rPr>
        <w:br w:type="page"/>
      </w:r>
    </w:p>
    <w:tbl>
      <w:tblPr>
        <w:tblW w:w="0" w:type="auto"/>
        <w:tblInd w:w="113" w:type="dxa"/>
        <w:tblCellMar>
          <w:left w:w="0" w:type="dxa"/>
          <w:right w:w="0" w:type="dxa"/>
        </w:tblCellMar>
        <w:tblLook w:val="04A0" w:firstRow="1" w:lastRow="0" w:firstColumn="1" w:lastColumn="0" w:noHBand="0" w:noVBand="1"/>
      </w:tblPr>
      <w:tblGrid>
        <w:gridCol w:w="2376"/>
        <w:gridCol w:w="6840"/>
      </w:tblGrid>
      <w:tr w:rsidR="00592C29" w14:paraId="2CAA547B" w14:textId="77777777">
        <w:tc>
          <w:tcPr>
            <w:tcW w:w="9216" w:type="dxa"/>
            <w:gridSpan w:val="2"/>
            <w:tcMar>
              <w:top w:w="5" w:type="dxa"/>
              <w:left w:w="113" w:type="dxa"/>
              <w:bottom w:w="5" w:type="dxa"/>
              <w:right w:w="113" w:type="dxa"/>
            </w:tcMar>
            <w:hideMark/>
          </w:tcPr>
          <w:p w14:paraId="26681840" w14:textId="2CDB3488" w:rsidR="00592C29" w:rsidRDefault="0048296D">
            <w:pPr>
              <w:spacing w:after="200" w:line="276" w:lineRule="auto"/>
              <w:rPr>
                <w:rFonts w:ascii="Trebuchet MS" w:eastAsia="Trebuchet MS" w:hAnsi="Trebuchet MS" w:cs="Trebuchet MS"/>
                <w:b/>
                <w:bCs/>
                <w:color w:val="000000"/>
                <w:sz w:val="40"/>
                <w:szCs w:val="40"/>
              </w:rPr>
            </w:pPr>
            <w:r>
              <w:rPr>
                <w:rFonts w:ascii="Trebuchet MS" w:eastAsia="Trebuchet MS" w:hAnsi="Trebuchet MS" w:cs="Trebuchet MS"/>
                <w:b/>
                <w:bCs/>
                <w:color w:val="000000"/>
                <w:sz w:val="40"/>
                <w:szCs w:val="40"/>
              </w:rPr>
              <w:lastRenderedPageBreak/>
              <w:t>Broker Remuneration &amp; Deductions</w:t>
            </w:r>
          </w:p>
          <w:p w14:paraId="707B06E4" w14:textId="77777777" w:rsidR="00263806" w:rsidRDefault="00263806">
            <w:pPr>
              <w:spacing w:after="200" w:line="276" w:lineRule="auto"/>
              <w:rPr>
                <w:color w:val="000000"/>
                <w:sz w:val="40"/>
                <w:szCs w:val="40"/>
              </w:rPr>
            </w:pPr>
          </w:p>
          <w:p w14:paraId="02770FEB" w14:textId="77777777" w:rsidR="00592C29" w:rsidRDefault="00592C29">
            <w:pPr>
              <w:spacing w:after="200" w:line="276" w:lineRule="auto"/>
              <w:rPr>
                <w:color w:val="000000"/>
                <w:sz w:val="22"/>
                <w:szCs w:val="22"/>
              </w:rPr>
            </w:pPr>
          </w:p>
        </w:tc>
      </w:tr>
      <w:tr w:rsidR="00592C29" w14:paraId="7C33F568" w14:textId="77777777">
        <w:tc>
          <w:tcPr>
            <w:tcW w:w="2376" w:type="dxa"/>
            <w:tcMar>
              <w:top w:w="5" w:type="dxa"/>
              <w:left w:w="113" w:type="dxa"/>
              <w:bottom w:w="5" w:type="dxa"/>
              <w:right w:w="113" w:type="dxa"/>
            </w:tcMar>
            <w:hideMark/>
          </w:tcPr>
          <w:p w14:paraId="1D77CFAD" w14:textId="77777777" w:rsidR="00592C29" w:rsidRDefault="0048296D" w:rsidP="00263806">
            <w:pPr>
              <w:spacing w:line="276" w:lineRule="auto"/>
              <w:rPr>
                <w:color w:val="000000"/>
                <w:sz w:val="22"/>
                <w:szCs w:val="22"/>
              </w:rPr>
            </w:pPr>
            <w:r>
              <w:rPr>
                <w:rFonts w:ascii="Trebuchet MS" w:eastAsia="Trebuchet MS" w:hAnsi="Trebuchet MS" w:cs="Trebuchet MS"/>
                <w:b/>
                <w:bCs/>
                <w:color w:val="000000"/>
                <w:sz w:val="22"/>
                <w:szCs w:val="22"/>
              </w:rPr>
              <w:t>FEE PAYABLE BY CLIENT?:</w:t>
            </w:r>
          </w:p>
        </w:tc>
        <w:tc>
          <w:tcPr>
            <w:tcW w:w="6840" w:type="dxa"/>
            <w:tcMar>
              <w:top w:w="5" w:type="dxa"/>
              <w:left w:w="113" w:type="dxa"/>
              <w:bottom w:w="5" w:type="dxa"/>
              <w:right w:w="113" w:type="dxa"/>
            </w:tcMar>
            <w:hideMark/>
          </w:tcPr>
          <w:p w14:paraId="1866D3ED" w14:textId="77777777" w:rsidR="00592C29" w:rsidRDefault="0048296D" w:rsidP="00263806">
            <w:pPr>
              <w:spacing w:after="120" w:line="276" w:lineRule="auto"/>
              <w:rPr>
                <w:color w:val="000000"/>
                <w:sz w:val="22"/>
                <w:szCs w:val="22"/>
              </w:rPr>
            </w:pPr>
            <w:r>
              <w:rPr>
                <w:rFonts w:ascii="Trebuchet MS" w:eastAsia="Trebuchet MS" w:hAnsi="Trebuchet MS" w:cs="Trebuchet MS"/>
                <w:color w:val="000000"/>
                <w:sz w:val="22"/>
                <w:szCs w:val="22"/>
              </w:rPr>
              <w:t>No</w:t>
            </w:r>
          </w:p>
          <w:p w14:paraId="3BDCE7CA" w14:textId="77777777" w:rsidR="00592C29" w:rsidRDefault="00592C29" w:rsidP="00263806">
            <w:pPr>
              <w:spacing w:after="120" w:line="276" w:lineRule="auto"/>
              <w:rPr>
                <w:color w:val="000000"/>
                <w:sz w:val="22"/>
                <w:szCs w:val="22"/>
              </w:rPr>
            </w:pPr>
          </w:p>
          <w:p w14:paraId="24B50F2B" w14:textId="77777777" w:rsidR="00592C29" w:rsidRDefault="00592C29" w:rsidP="00263806">
            <w:pPr>
              <w:spacing w:after="120" w:line="276" w:lineRule="auto"/>
              <w:rPr>
                <w:color w:val="000000"/>
                <w:sz w:val="22"/>
                <w:szCs w:val="22"/>
              </w:rPr>
            </w:pPr>
          </w:p>
          <w:p w14:paraId="5113B5D8" w14:textId="77777777" w:rsidR="00592C29" w:rsidRDefault="00592C29" w:rsidP="00263806">
            <w:pPr>
              <w:spacing w:after="120" w:line="276" w:lineRule="auto"/>
              <w:rPr>
                <w:color w:val="000000"/>
                <w:sz w:val="22"/>
                <w:szCs w:val="22"/>
              </w:rPr>
            </w:pPr>
          </w:p>
        </w:tc>
      </w:tr>
      <w:tr w:rsidR="00592C29" w14:paraId="11D887DF" w14:textId="77777777">
        <w:tc>
          <w:tcPr>
            <w:tcW w:w="2376" w:type="dxa"/>
            <w:tcMar>
              <w:top w:w="5" w:type="dxa"/>
              <w:left w:w="113" w:type="dxa"/>
              <w:bottom w:w="5" w:type="dxa"/>
              <w:right w:w="113" w:type="dxa"/>
            </w:tcMar>
            <w:hideMark/>
          </w:tcPr>
          <w:p w14:paraId="705AA418" w14:textId="77777777" w:rsidR="00592C29" w:rsidRDefault="0048296D" w:rsidP="00263806">
            <w:pPr>
              <w:spacing w:line="276" w:lineRule="auto"/>
              <w:rPr>
                <w:color w:val="000000"/>
                <w:sz w:val="22"/>
                <w:szCs w:val="22"/>
              </w:rPr>
            </w:pPr>
            <w:r>
              <w:rPr>
                <w:rFonts w:ascii="Trebuchet MS" w:eastAsia="Trebuchet MS" w:hAnsi="Trebuchet MS" w:cs="Trebuchet MS"/>
                <w:b/>
                <w:bCs/>
                <w:color w:val="000000"/>
                <w:sz w:val="22"/>
                <w:szCs w:val="22"/>
              </w:rPr>
              <w:t>TOTAL BROKERAGE:</w:t>
            </w:r>
          </w:p>
        </w:tc>
        <w:tc>
          <w:tcPr>
            <w:tcW w:w="6840" w:type="dxa"/>
            <w:tcMar>
              <w:top w:w="5" w:type="dxa"/>
              <w:left w:w="113" w:type="dxa"/>
              <w:bottom w:w="5" w:type="dxa"/>
              <w:right w:w="113" w:type="dxa"/>
            </w:tcMar>
            <w:hideMark/>
          </w:tcPr>
          <w:p w14:paraId="60561CBC" w14:textId="77777777" w:rsidR="00592C29" w:rsidRDefault="0048296D" w:rsidP="00263806">
            <w:pPr>
              <w:spacing w:after="120" w:line="276" w:lineRule="auto"/>
              <w:rPr>
                <w:color w:val="000000"/>
                <w:sz w:val="22"/>
                <w:szCs w:val="22"/>
              </w:rPr>
            </w:pPr>
            <w:r>
              <w:rPr>
                <w:rFonts w:ascii="Trebuchet MS" w:eastAsia="Trebuchet MS" w:hAnsi="Trebuchet MS" w:cs="Trebuchet MS"/>
                <w:color w:val="000000"/>
                <w:sz w:val="22"/>
                <w:szCs w:val="22"/>
              </w:rPr>
              <w:t>10%</w:t>
            </w:r>
          </w:p>
          <w:p w14:paraId="6299476A" w14:textId="77777777" w:rsidR="00592C29" w:rsidRDefault="00592C29" w:rsidP="00263806">
            <w:pPr>
              <w:spacing w:after="120" w:line="276" w:lineRule="auto"/>
              <w:rPr>
                <w:color w:val="000000"/>
                <w:sz w:val="22"/>
                <w:szCs w:val="22"/>
              </w:rPr>
            </w:pPr>
          </w:p>
          <w:p w14:paraId="2D5595A9" w14:textId="77777777" w:rsidR="00592C29" w:rsidRDefault="00592C29" w:rsidP="00263806">
            <w:pPr>
              <w:spacing w:after="120" w:line="276" w:lineRule="auto"/>
              <w:rPr>
                <w:color w:val="000000"/>
                <w:sz w:val="22"/>
                <w:szCs w:val="22"/>
              </w:rPr>
            </w:pPr>
          </w:p>
          <w:p w14:paraId="475B3A4D" w14:textId="77777777" w:rsidR="00592C29" w:rsidRDefault="00592C29" w:rsidP="00263806">
            <w:pPr>
              <w:spacing w:after="120" w:line="276" w:lineRule="auto"/>
              <w:rPr>
                <w:color w:val="000000"/>
                <w:sz w:val="22"/>
                <w:szCs w:val="22"/>
              </w:rPr>
            </w:pPr>
          </w:p>
        </w:tc>
      </w:tr>
      <w:tr w:rsidR="00592C29" w14:paraId="64EDA2E3" w14:textId="77777777">
        <w:tc>
          <w:tcPr>
            <w:tcW w:w="2376" w:type="dxa"/>
            <w:tcMar>
              <w:top w:w="5" w:type="dxa"/>
              <w:left w:w="113" w:type="dxa"/>
              <w:bottom w:w="5" w:type="dxa"/>
              <w:right w:w="113" w:type="dxa"/>
            </w:tcMar>
            <w:hideMark/>
          </w:tcPr>
          <w:p w14:paraId="3AE13F11" w14:textId="77777777" w:rsidR="00592C29" w:rsidRDefault="0048296D" w:rsidP="00263806">
            <w:pPr>
              <w:spacing w:line="276" w:lineRule="auto"/>
              <w:rPr>
                <w:color w:val="000000"/>
                <w:sz w:val="22"/>
                <w:szCs w:val="22"/>
              </w:rPr>
            </w:pPr>
            <w:r>
              <w:rPr>
                <w:rFonts w:ascii="Trebuchet MS" w:eastAsia="Trebuchet MS" w:hAnsi="Trebuchet MS" w:cs="Trebuchet MS"/>
                <w:b/>
                <w:bCs/>
                <w:color w:val="000000"/>
                <w:sz w:val="22"/>
                <w:szCs w:val="22"/>
              </w:rPr>
              <w:t>OTHER DEDUCTIONS FROM PREMIUM:</w:t>
            </w:r>
          </w:p>
        </w:tc>
        <w:tc>
          <w:tcPr>
            <w:tcW w:w="6840" w:type="dxa"/>
            <w:tcMar>
              <w:top w:w="5" w:type="dxa"/>
              <w:left w:w="113" w:type="dxa"/>
              <w:bottom w:w="5" w:type="dxa"/>
              <w:right w:w="113" w:type="dxa"/>
            </w:tcMar>
            <w:hideMark/>
          </w:tcPr>
          <w:p w14:paraId="6E3D4CD5" w14:textId="77777777" w:rsidR="00592C29" w:rsidRDefault="0048296D" w:rsidP="00263806">
            <w:pPr>
              <w:spacing w:after="120" w:line="276" w:lineRule="auto"/>
              <w:rPr>
                <w:color w:val="000000"/>
                <w:sz w:val="22"/>
                <w:szCs w:val="22"/>
              </w:rPr>
            </w:pPr>
            <w:r>
              <w:rPr>
                <w:rFonts w:ascii="Trebuchet MS" w:eastAsia="Trebuchet MS" w:hAnsi="Trebuchet MS" w:cs="Trebuchet MS"/>
                <w:color w:val="000000"/>
                <w:sz w:val="22"/>
                <w:szCs w:val="22"/>
              </w:rPr>
              <w:t xml:space="preserve">5% Survey fee payable to XYZ Inc </w:t>
            </w:r>
          </w:p>
          <w:p w14:paraId="40B98988" w14:textId="77777777" w:rsidR="00592C29" w:rsidRDefault="00592C29" w:rsidP="00263806">
            <w:pPr>
              <w:spacing w:after="120" w:line="276" w:lineRule="auto"/>
              <w:ind w:left="1985" w:hanging="1985"/>
              <w:rPr>
                <w:color w:val="000000"/>
                <w:sz w:val="22"/>
                <w:szCs w:val="22"/>
              </w:rPr>
            </w:pPr>
          </w:p>
          <w:p w14:paraId="28DDED84" w14:textId="77777777" w:rsidR="00592C29" w:rsidRDefault="00592C29" w:rsidP="00263806">
            <w:pPr>
              <w:spacing w:after="120" w:line="276" w:lineRule="auto"/>
              <w:rPr>
                <w:color w:val="000000"/>
                <w:sz w:val="22"/>
                <w:szCs w:val="22"/>
              </w:rPr>
            </w:pPr>
          </w:p>
        </w:tc>
      </w:tr>
    </w:tbl>
    <w:p w14:paraId="0B8ED8AD" w14:textId="77777777" w:rsidR="00592C29" w:rsidRDefault="00592C29">
      <w:pPr>
        <w:spacing w:after="200" w:line="276" w:lineRule="auto"/>
        <w:rPr>
          <w:sz w:val="22"/>
          <w:szCs w:val="22"/>
        </w:rPr>
      </w:pPr>
    </w:p>
    <w:p w14:paraId="021B2225" w14:textId="77777777" w:rsidR="00592C29" w:rsidRDefault="00592C29">
      <w:pPr>
        <w:rPr>
          <w:sz w:val="22"/>
          <w:szCs w:val="22"/>
        </w:rPr>
      </w:pPr>
    </w:p>
    <w:p w14:paraId="65F988E1" w14:textId="77777777" w:rsidR="00592C29" w:rsidRDefault="0048296D">
      <w:pPr>
        <w:spacing w:after="200" w:line="276" w:lineRule="auto"/>
        <w:rPr>
          <w:sz w:val="22"/>
          <w:szCs w:val="22"/>
        </w:rPr>
      </w:pPr>
      <w:r>
        <w:rPr>
          <w:sz w:val="22"/>
          <w:szCs w:val="22"/>
        </w:rPr>
        <w:br w:type="page"/>
      </w:r>
    </w:p>
    <w:p w14:paraId="2C2BAECA" w14:textId="7228B2A3" w:rsidR="00592C29" w:rsidRDefault="0048296D">
      <w:pPr>
        <w:pStyle w:val="Heading1"/>
        <w:rPr>
          <w:sz w:val="40"/>
          <w:szCs w:val="40"/>
        </w:rPr>
      </w:pPr>
      <w:bookmarkStart w:id="70" w:name="_Toc21706660"/>
      <w:bookmarkStart w:id="71" w:name="_Toc31396095"/>
      <w:r>
        <w:rPr>
          <w:rFonts w:ascii="Arial" w:eastAsia="Arial" w:hAnsi="Arial" w:cs="Arial"/>
          <w:color w:val="0070C0"/>
          <w:sz w:val="40"/>
          <w:szCs w:val="40"/>
        </w:rPr>
        <w:lastRenderedPageBreak/>
        <w:t>Appendix 3 –</w:t>
      </w:r>
      <w:r w:rsidR="00263806">
        <w:rPr>
          <w:rFonts w:ascii="Arial" w:eastAsia="Arial" w:hAnsi="Arial" w:cs="Arial"/>
          <w:color w:val="0070C0"/>
          <w:sz w:val="40"/>
          <w:szCs w:val="40"/>
        </w:rPr>
        <w:t xml:space="preserve"> </w:t>
      </w:r>
      <w:r w:rsidRPr="00263806">
        <w:rPr>
          <w:rFonts w:ascii="Arial" w:eastAsia="Arial" w:hAnsi="Arial" w:cs="Arial"/>
          <w:color w:val="0070C0"/>
          <w:sz w:val="40"/>
          <w:szCs w:val="40"/>
        </w:rPr>
        <w:t>BIPAR Principles</w:t>
      </w:r>
      <w:bookmarkEnd w:id="70"/>
      <w:bookmarkEnd w:id="71"/>
    </w:p>
    <w:p w14:paraId="22DD3D19" w14:textId="77777777" w:rsidR="00592C29" w:rsidRDefault="00592C29">
      <w:pPr>
        <w:spacing w:after="200" w:line="276" w:lineRule="auto"/>
        <w:rPr>
          <w:sz w:val="22"/>
          <w:szCs w:val="22"/>
        </w:rPr>
      </w:pPr>
    </w:p>
    <w:p w14:paraId="1C7DA706" w14:textId="77777777" w:rsidR="00592C29" w:rsidRPr="00263806" w:rsidRDefault="0048296D">
      <w:pPr>
        <w:spacing w:before="120"/>
        <w:ind w:left="720"/>
        <w:jc w:val="both"/>
        <w:rPr>
          <w:sz w:val="22"/>
          <w:szCs w:val="22"/>
        </w:rPr>
      </w:pPr>
      <w:r w:rsidRPr="00263806">
        <w:rPr>
          <w:rFonts w:ascii="Arial" w:eastAsia="Arial" w:hAnsi="Arial" w:cs="Arial"/>
          <w:i/>
          <w:iCs/>
          <w:sz w:val="22"/>
          <w:szCs w:val="22"/>
        </w:rPr>
        <w:t>{intentionally left blank}</w:t>
      </w:r>
    </w:p>
    <w:p w14:paraId="1B7D5AD6" w14:textId="77777777" w:rsidR="00592C29" w:rsidRPr="00263806" w:rsidRDefault="00592C29">
      <w:pPr>
        <w:spacing w:after="200" w:line="276" w:lineRule="auto"/>
        <w:rPr>
          <w:sz w:val="22"/>
          <w:szCs w:val="22"/>
        </w:rPr>
      </w:pPr>
    </w:p>
    <w:p w14:paraId="33128C6C" w14:textId="61E55ED0" w:rsidR="00592C29" w:rsidRDefault="00592C29">
      <w:pPr>
        <w:pStyle w:val="Heading2"/>
        <w:rPr>
          <w:sz w:val="28"/>
          <w:szCs w:val="28"/>
        </w:rPr>
      </w:pPr>
    </w:p>
    <w:p w14:paraId="69A1EC6A" w14:textId="77777777" w:rsidR="00592C29" w:rsidRDefault="00592C29">
      <w:pPr>
        <w:spacing w:after="200" w:line="276" w:lineRule="auto"/>
        <w:rPr>
          <w:sz w:val="22"/>
          <w:szCs w:val="22"/>
        </w:rPr>
      </w:pPr>
    </w:p>
    <w:p w14:paraId="03F78EE7" w14:textId="77777777" w:rsidR="00592C29" w:rsidRDefault="0048296D">
      <w:pPr>
        <w:spacing w:after="200" w:line="276" w:lineRule="auto"/>
        <w:rPr>
          <w:sz w:val="22"/>
          <w:szCs w:val="22"/>
        </w:rPr>
      </w:pPr>
      <w:r>
        <w:rPr>
          <w:sz w:val="22"/>
          <w:szCs w:val="22"/>
        </w:rPr>
        <w:br w:type="page"/>
      </w:r>
    </w:p>
    <w:p w14:paraId="572D40D7" w14:textId="77777777" w:rsidR="00592C29" w:rsidRDefault="0048296D">
      <w:pPr>
        <w:pStyle w:val="Heading1"/>
        <w:rPr>
          <w:sz w:val="40"/>
          <w:szCs w:val="40"/>
        </w:rPr>
      </w:pPr>
      <w:bookmarkStart w:id="72" w:name="_Toc21706661"/>
      <w:bookmarkStart w:id="73" w:name="_Toc31396096"/>
      <w:r>
        <w:rPr>
          <w:rFonts w:ascii="Arial" w:eastAsia="Arial" w:hAnsi="Arial" w:cs="Arial"/>
          <w:color w:val="0070C0"/>
          <w:sz w:val="40"/>
          <w:szCs w:val="40"/>
        </w:rPr>
        <w:lastRenderedPageBreak/>
        <w:t>Appendix 4 – Document Revision / Change History</w:t>
      </w:r>
      <w:bookmarkEnd w:id="72"/>
      <w:bookmarkEnd w:id="73"/>
    </w:p>
    <w:p w14:paraId="7E1D6A5E" w14:textId="77777777" w:rsidR="00592C29" w:rsidRDefault="00592C29">
      <w:pPr>
        <w:rPr>
          <w:sz w:val="22"/>
          <w:szCs w:val="22"/>
        </w:rPr>
      </w:pPr>
    </w:p>
    <w:tbl>
      <w:tblPr>
        <w:tblW w:w="0" w:type="auto"/>
        <w:tblInd w:w="113" w:type="dxa"/>
        <w:tblCellMar>
          <w:left w:w="0" w:type="dxa"/>
          <w:right w:w="0" w:type="dxa"/>
        </w:tblCellMar>
        <w:tblLook w:val="04A0" w:firstRow="1" w:lastRow="0" w:firstColumn="1" w:lastColumn="0" w:noHBand="0" w:noVBand="1"/>
      </w:tblPr>
      <w:tblGrid>
        <w:gridCol w:w="1620"/>
        <w:gridCol w:w="1620"/>
        <w:gridCol w:w="6120"/>
      </w:tblGrid>
      <w:tr w:rsidR="00592C29" w14:paraId="3A4ED590" w14:textId="77777777">
        <w:trPr>
          <w:tblHeader/>
        </w:trPr>
        <w:tc>
          <w:tcPr>
            <w:tcW w:w="1620" w:type="dxa"/>
            <w:tcMar>
              <w:top w:w="5" w:type="dxa"/>
              <w:left w:w="113" w:type="dxa"/>
              <w:bottom w:w="5" w:type="dxa"/>
              <w:right w:w="113" w:type="dxa"/>
            </w:tcMar>
            <w:hideMark/>
          </w:tcPr>
          <w:p w14:paraId="05E9EA68" w14:textId="77777777" w:rsidR="00592C29" w:rsidRDefault="0048296D">
            <w:pPr>
              <w:keepNext/>
              <w:keepLines/>
              <w:spacing w:before="20"/>
              <w:rPr>
                <w:rFonts w:ascii="Arial" w:eastAsia="Arial" w:hAnsi="Arial" w:cs="Arial"/>
                <w:b/>
                <w:bCs/>
                <w:color w:val="000000"/>
                <w:sz w:val="20"/>
                <w:szCs w:val="20"/>
              </w:rPr>
            </w:pPr>
            <w:bookmarkStart w:id="74" w:name="_Toc44937064"/>
            <w:r>
              <w:rPr>
                <w:rFonts w:ascii="Arial" w:eastAsia="Arial" w:hAnsi="Arial" w:cs="Arial"/>
                <w:b/>
                <w:bCs/>
                <w:color w:val="000000"/>
                <w:sz w:val="20"/>
                <w:szCs w:val="20"/>
              </w:rPr>
              <w:t>Version</w:t>
            </w:r>
            <w:bookmarkEnd w:id="74"/>
          </w:p>
          <w:p w14:paraId="4986986D" w14:textId="165CEC82" w:rsidR="00E70C08" w:rsidRDefault="00E70C08">
            <w:pPr>
              <w:keepNext/>
              <w:keepLines/>
              <w:spacing w:before="20"/>
              <w:rPr>
                <w:color w:val="000000"/>
                <w:sz w:val="20"/>
                <w:szCs w:val="20"/>
              </w:rPr>
            </w:pPr>
          </w:p>
        </w:tc>
        <w:tc>
          <w:tcPr>
            <w:tcW w:w="1620" w:type="dxa"/>
            <w:tcMar>
              <w:top w:w="5" w:type="dxa"/>
              <w:left w:w="113" w:type="dxa"/>
              <w:bottom w:w="5" w:type="dxa"/>
              <w:right w:w="113" w:type="dxa"/>
            </w:tcMar>
            <w:hideMark/>
          </w:tcPr>
          <w:p w14:paraId="4B92663D" w14:textId="77777777" w:rsidR="00592C29" w:rsidRDefault="0048296D">
            <w:pPr>
              <w:keepNext/>
              <w:keepLines/>
              <w:spacing w:before="20"/>
              <w:rPr>
                <w:color w:val="000000"/>
                <w:sz w:val="20"/>
                <w:szCs w:val="20"/>
              </w:rPr>
            </w:pPr>
            <w:bookmarkStart w:id="75" w:name="_Toc44937065"/>
            <w:r>
              <w:rPr>
                <w:rFonts w:ascii="Arial" w:eastAsia="Arial" w:hAnsi="Arial" w:cs="Arial"/>
                <w:b/>
                <w:bCs/>
                <w:color w:val="000000"/>
                <w:sz w:val="20"/>
                <w:szCs w:val="20"/>
              </w:rPr>
              <w:t>Date</w:t>
            </w:r>
            <w:bookmarkEnd w:id="75"/>
          </w:p>
        </w:tc>
        <w:tc>
          <w:tcPr>
            <w:tcW w:w="6120" w:type="dxa"/>
            <w:tcMar>
              <w:top w:w="5" w:type="dxa"/>
              <w:left w:w="113" w:type="dxa"/>
              <w:bottom w:w="5" w:type="dxa"/>
              <w:right w:w="113" w:type="dxa"/>
            </w:tcMar>
            <w:hideMark/>
          </w:tcPr>
          <w:p w14:paraId="4A69076E" w14:textId="77777777" w:rsidR="00592C29" w:rsidRDefault="0048296D">
            <w:pPr>
              <w:keepNext/>
              <w:keepLines/>
              <w:spacing w:before="20"/>
              <w:rPr>
                <w:color w:val="000000"/>
                <w:sz w:val="20"/>
                <w:szCs w:val="20"/>
              </w:rPr>
            </w:pPr>
            <w:bookmarkStart w:id="76" w:name="_Toc44937066"/>
            <w:r>
              <w:rPr>
                <w:rFonts w:ascii="Arial" w:eastAsia="Arial" w:hAnsi="Arial" w:cs="Arial"/>
                <w:b/>
                <w:bCs/>
                <w:color w:val="000000"/>
                <w:sz w:val="20"/>
                <w:szCs w:val="20"/>
              </w:rPr>
              <w:t>Description of Change</w:t>
            </w:r>
            <w:bookmarkEnd w:id="76"/>
          </w:p>
        </w:tc>
      </w:tr>
      <w:tr w:rsidR="00592C29" w14:paraId="6E18AF30" w14:textId="77777777">
        <w:tc>
          <w:tcPr>
            <w:tcW w:w="1620" w:type="dxa"/>
            <w:tcMar>
              <w:top w:w="5" w:type="dxa"/>
              <w:left w:w="113" w:type="dxa"/>
              <w:bottom w:w="5" w:type="dxa"/>
              <w:right w:w="113" w:type="dxa"/>
            </w:tcMar>
            <w:hideMark/>
          </w:tcPr>
          <w:p w14:paraId="7D63BD8A" w14:textId="77777777" w:rsidR="00592C29" w:rsidRDefault="0048296D">
            <w:pPr>
              <w:spacing w:before="20"/>
              <w:rPr>
                <w:color w:val="000000"/>
                <w:sz w:val="20"/>
                <w:szCs w:val="20"/>
              </w:rPr>
            </w:pPr>
            <w:r>
              <w:rPr>
                <w:rFonts w:ascii="Arial" w:eastAsia="Arial" w:hAnsi="Arial" w:cs="Arial"/>
                <w:color w:val="000000"/>
                <w:sz w:val="20"/>
                <w:szCs w:val="20"/>
              </w:rPr>
              <w:t>1.0</w:t>
            </w:r>
          </w:p>
        </w:tc>
        <w:tc>
          <w:tcPr>
            <w:tcW w:w="1620" w:type="dxa"/>
            <w:tcMar>
              <w:top w:w="5" w:type="dxa"/>
              <w:left w:w="113" w:type="dxa"/>
              <w:bottom w:w="5" w:type="dxa"/>
              <w:right w:w="113" w:type="dxa"/>
            </w:tcMar>
            <w:hideMark/>
          </w:tcPr>
          <w:p w14:paraId="766B5B3A" w14:textId="77777777" w:rsidR="00592C29" w:rsidRDefault="0048296D">
            <w:pPr>
              <w:spacing w:before="20"/>
              <w:rPr>
                <w:color w:val="000000"/>
                <w:sz w:val="20"/>
                <w:szCs w:val="20"/>
              </w:rPr>
            </w:pPr>
            <w:r>
              <w:rPr>
                <w:rFonts w:ascii="Arial" w:eastAsia="Arial" w:hAnsi="Arial" w:cs="Arial"/>
                <w:color w:val="000000"/>
                <w:sz w:val="20"/>
                <w:szCs w:val="20"/>
              </w:rPr>
              <w:t>03 September 2018</w:t>
            </w:r>
          </w:p>
        </w:tc>
        <w:tc>
          <w:tcPr>
            <w:tcW w:w="6120" w:type="dxa"/>
            <w:tcMar>
              <w:top w:w="5" w:type="dxa"/>
              <w:left w:w="113" w:type="dxa"/>
              <w:bottom w:w="5" w:type="dxa"/>
              <w:right w:w="113" w:type="dxa"/>
            </w:tcMar>
            <w:hideMark/>
          </w:tcPr>
          <w:p w14:paraId="4D10FFA8" w14:textId="5B0C42E4" w:rsidR="00592C29" w:rsidRDefault="0048296D" w:rsidP="00EE01F1">
            <w:pPr>
              <w:spacing w:after="120"/>
              <w:rPr>
                <w:color w:val="000000"/>
                <w:sz w:val="20"/>
                <w:szCs w:val="20"/>
              </w:rPr>
            </w:pPr>
            <w:r>
              <w:rPr>
                <w:rFonts w:ascii="Arial" w:eastAsia="Arial" w:hAnsi="Arial" w:cs="Arial"/>
                <w:color w:val="000000"/>
                <w:sz w:val="20"/>
                <w:szCs w:val="20"/>
              </w:rPr>
              <w:t>Lloyd’s Supplementary Guidance for the creation of MRC(s) in respect of risks underwritten by Lloyd’s Brussels with effect from 01 January 2019.</w:t>
            </w:r>
            <w:r w:rsidR="004B44D9">
              <w:rPr>
                <w:rFonts w:ascii="Arial" w:eastAsia="Arial" w:hAnsi="Arial" w:cs="Arial"/>
                <w:color w:val="000000"/>
                <w:sz w:val="20"/>
                <w:szCs w:val="20"/>
              </w:rPr>
              <w:t xml:space="preserve"> </w:t>
            </w:r>
            <w:r>
              <w:rPr>
                <w:rFonts w:ascii="Arial" w:eastAsia="Arial" w:hAnsi="Arial" w:cs="Arial"/>
                <w:color w:val="000000"/>
                <w:sz w:val="20"/>
                <w:szCs w:val="20"/>
              </w:rPr>
              <w:t>This should be read alongside version.1.9 of the Market Reform Contract (Open Market) Implementation Guide.</w:t>
            </w:r>
          </w:p>
          <w:p w14:paraId="202CB496" w14:textId="2573C45A" w:rsidR="00432479" w:rsidRDefault="00432479">
            <w:pPr>
              <w:spacing w:before="20"/>
              <w:rPr>
                <w:color w:val="000000"/>
                <w:sz w:val="20"/>
                <w:szCs w:val="20"/>
              </w:rPr>
            </w:pPr>
          </w:p>
        </w:tc>
      </w:tr>
      <w:tr w:rsidR="00592C29" w14:paraId="1F4A5C2F" w14:textId="77777777">
        <w:tc>
          <w:tcPr>
            <w:tcW w:w="1620" w:type="dxa"/>
            <w:tcMar>
              <w:top w:w="5" w:type="dxa"/>
              <w:left w:w="113" w:type="dxa"/>
              <w:bottom w:w="5" w:type="dxa"/>
              <w:right w:w="113" w:type="dxa"/>
            </w:tcMar>
            <w:hideMark/>
          </w:tcPr>
          <w:p w14:paraId="4405B654" w14:textId="77777777" w:rsidR="00592C29" w:rsidRDefault="0048296D">
            <w:pPr>
              <w:spacing w:before="20"/>
              <w:rPr>
                <w:color w:val="000000"/>
                <w:sz w:val="20"/>
                <w:szCs w:val="20"/>
              </w:rPr>
            </w:pPr>
            <w:r>
              <w:rPr>
                <w:rFonts w:ascii="Arial" w:eastAsia="Arial" w:hAnsi="Arial" w:cs="Arial"/>
                <w:color w:val="000000"/>
                <w:sz w:val="20"/>
                <w:szCs w:val="20"/>
              </w:rPr>
              <w:t>1.1</w:t>
            </w:r>
          </w:p>
        </w:tc>
        <w:tc>
          <w:tcPr>
            <w:tcW w:w="1620" w:type="dxa"/>
            <w:tcMar>
              <w:top w:w="5" w:type="dxa"/>
              <w:left w:w="113" w:type="dxa"/>
              <w:bottom w:w="5" w:type="dxa"/>
              <w:right w:w="113" w:type="dxa"/>
            </w:tcMar>
            <w:hideMark/>
          </w:tcPr>
          <w:p w14:paraId="2A3091F4" w14:textId="77777777" w:rsidR="00592C29" w:rsidRDefault="0048296D">
            <w:pPr>
              <w:spacing w:before="20"/>
              <w:rPr>
                <w:color w:val="000000"/>
                <w:sz w:val="20"/>
                <w:szCs w:val="20"/>
              </w:rPr>
            </w:pPr>
            <w:r>
              <w:rPr>
                <w:rFonts w:ascii="Arial" w:eastAsia="Arial" w:hAnsi="Arial" w:cs="Arial"/>
                <w:color w:val="000000"/>
                <w:sz w:val="20"/>
                <w:szCs w:val="20"/>
              </w:rPr>
              <w:t>20 December 2018</w:t>
            </w:r>
          </w:p>
        </w:tc>
        <w:tc>
          <w:tcPr>
            <w:tcW w:w="6120" w:type="dxa"/>
            <w:tcMar>
              <w:top w:w="5" w:type="dxa"/>
              <w:left w:w="113" w:type="dxa"/>
              <w:bottom w:w="5" w:type="dxa"/>
              <w:right w:w="113" w:type="dxa"/>
            </w:tcMar>
            <w:hideMark/>
          </w:tcPr>
          <w:p w14:paraId="245C0486" w14:textId="1FD58FBA" w:rsidR="00592C29" w:rsidRDefault="004B44D9">
            <w:pPr>
              <w:spacing w:before="20"/>
              <w:rPr>
                <w:color w:val="000000"/>
                <w:sz w:val="20"/>
                <w:szCs w:val="20"/>
              </w:rPr>
            </w:pPr>
            <w:r>
              <w:rPr>
                <w:rFonts w:ascii="Arial" w:eastAsia="Arial" w:hAnsi="Arial" w:cs="Arial"/>
                <w:color w:val="000000"/>
                <w:sz w:val="20"/>
                <w:szCs w:val="20"/>
              </w:rPr>
              <w:t xml:space="preserve">The </w:t>
            </w:r>
            <w:r w:rsidR="0048296D">
              <w:rPr>
                <w:rFonts w:ascii="Arial" w:eastAsia="Arial" w:hAnsi="Arial" w:cs="Arial"/>
                <w:color w:val="000000"/>
                <w:sz w:val="20"/>
                <w:szCs w:val="20"/>
              </w:rPr>
              <w:t>Lloyd’s Supplementary Guidance</w:t>
            </w:r>
            <w:r>
              <w:rPr>
                <w:rFonts w:ascii="Arial" w:eastAsia="Arial" w:hAnsi="Arial" w:cs="Arial"/>
                <w:color w:val="000000"/>
                <w:sz w:val="20"/>
                <w:szCs w:val="20"/>
              </w:rPr>
              <w:t>,</w:t>
            </w:r>
            <w:r w:rsidR="0048296D">
              <w:rPr>
                <w:rFonts w:ascii="Arial" w:eastAsia="Arial" w:hAnsi="Arial" w:cs="Arial"/>
                <w:color w:val="000000"/>
                <w:sz w:val="20"/>
                <w:szCs w:val="20"/>
              </w:rPr>
              <w:t xml:space="preserve"> for the creation of MRC(s) in respect of risks located in the EEA underwritten by Lloyd’s Brussels with effect from 01 January 2019</w:t>
            </w:r>
            <w:r>
              <w:rPr>
                <w:rFonts w:ascii="Arial" w:eastAsia="Arial" w:hAnsi="Arial" w:cs="Arial"/>
                <w:color w:val="000000"/>
                <w:sz w:val="20"/>
                <w:szCs w:val="20"/>
              </w:rPr>
              <w:t>,</w:t>
            </w:r>
            <w:r w:rsidR="0048296D">
              <w:rPr>
                <w:rFonts w:ascii="Arial" w:eastAsia="Arial" w:hAnsi="Arial" w:cs="Arial"/>
                <w:color w:val="000000"/>
                <w:sz w:val="20"/>
                <w:szCs w:val="20"/>
              </w:rPr>
              <w:t xml:space="preserve"> has been updated to:</w:t>
            </w:r>
          </w:p>
          <w:p w14:paraId="79265C12" w14:textId="77777777" w:rsidR="00592C29" w:rsidRDefault="0048296D">
            <w:pPr>
              <w:numPr>
                <w:ilvl w:val="0"/>
                <w:numId w:val="40"/>
              </w:numPr>
              <w:pBdr>
                <w:left w:val="none" w:sz="0" w:space="8" w:color="auto"/>
              </w:pBdr>
              <w:spacing w:before="20"/>
              <w:ind w:hanging="424"/>
              <w:rPr>
                <w:color w:val="000000"/>
                <w:sz w:val="20"/>
                <w:szCs w:val="20"/>
              </w:rPr>
            </w:pPr>
            <w:r>
              <w:rPr>
                <w:rFonts w:ascii="Arial" w:eastAsia="Arial" w:hAnsi="Arial" w:cs="Arial"/>
                <w:color w:val="000000"/>
                <w:sz w:val="20"/>
                <w:szCs w:val="20"/>
              </w:rPr>
              <w:t>reflect the fact that Lloyd’s Brussels is now able to underwrite non-proportional excess of loss reinsurance, in addition to direct and facultative reinsurance;</w:t>
            </w:r>
          </w:p>
          <w:p w14:paraId="4FA7251C" w14:textId="77777777" w:rsidR="00592C29" w:rsidRDefault="0048296D">
            <w:pPr>
              <w:numPr>
                <w:ilvl w:val="0"/>
                <w:numId w:val="40"/>
              </w:numPr>
              <w:pBdr>
                <w:left w:val="none" w:sz="0" w:space="8" w:color="auto"/>
              </w:pBdr>
              <w:spacing w:before="20"/>
              <w:ind w:hanging="424"/>
              <w:rPr>
                <w:color w:val="000000"/>
                <w:sz w:val="20"/>
                <w:szCs w:val="20"/>
              </w:rPr>
            </w:pPr>
            <w:r>
              <w:rPr>
                <w:rFonts w:ascii="Arial" w:eastAsia="Arial" w:hAnsi="Arial" w:cs="Arial"/>
                <w:color w:val="000000"/>
                <w:sz w:val="20"/>
                <w:szCs w:val="20"/>
              </w:rPr>
              <w:t>clarify the application of the GUA, following amended stance adopted by Lloyd’s Brussels;</w:t>
            </w:r>
          </w:p>
          <w:p w14:paraId="5A4785B4" w14:textId="77777777" w:rsidR="00592C29" w:rsidRDefault="0048296D">
            <w:pPr>
              <w:numPr>
                <w:ilvl w:val="0"/>
                <w:numId w:val="40"/>
              </w:numPr>
              <w:pBdr>
                <w:left w:val="none" w:sz="0" w:space="8" w:color="auto"/>
              </w:pBdr>
              <w:spacing w:before="20"/>
              <w:ind w:hanging="424"/>
              <w:rPr>
                <w:color w:val="000000"/>
                <w:sz w:val="20"/>
                <w:szCs w:val="20"/>
              </w:rPr>
            </w:pPr>
            <w:r>
              <w:rPr>
                <w:rFonts w:ascii="Arial" w:eastAsia="Arial" w:hAnsi="Arial" w:cs="Arial"/>
                <w:color w:val="000000"/>
                <w:sz w:val="20"/>
                <w:szCs w:val="20"/>
              </w:rPr>
              <w:t>reflect the fact Lloyd’s Brussels has not yet been given regulatory approval to underwrite Monaco risks;</w:t>
            </w:r>
          </w:p>
          <w:p w14:paraId="04E11EC4" w14:textId="62FEF649" w:rsidR="00592C29" w:rsidRPr="00432479" w:rsidRDefault="0048296D" w:rsidP="00EE01F1">
            <w:pPr>
              <w:numPr>
                <w:ilvl w:val="0"/>
                <w:numId w:val="40"/>
              </w:numPr>
              <w:pBdr>
                <w:left w:val="none" w:sz="0" w:space="8" w:color="auto"/>
              </w:pBdr>
              <w:spacing w:after="120"/>
              <w:ind w:hanging="425"/>
              <w:rPr>
                <w:color w:val="000000"/>
                <w:sz w:val="20"/>
                <w:szCs w:val="20"/>
              </w:rPr>
            </w:pPr>
            <w:r>
              <w:rPr>
                <w:rFonts w:ascii="Arial" w:eastAsia="Arial" w:hAnsi="Arial" w:cs="Arial"/>
                <w:color w:val="000000"/>
                <w:sz w:val="20"/>
                <w:szCs w:val="20"/>
              </w:rPr>
              <w:t>clarify the use of LSW1001 v LMA3333.</w:t>
            </w:r>
          </w:p>
          <w:p w14:paraId="4B65E68C" w14:textId="739C7457" w:rsidR="00592C29" w:rsidRDefault="00592C29">
            <w:pPr>
              <w:spacing w:before="20"/>
              <w:rPr>
                <w:color w:val="000000"/>
                <w:sz w:val="20"/>
                <w:szCs w:val="20"/>
              </w:rPr>
            </w:pPr>
          </w:p>
        </w:tc>
      </w:tr>
      <w:tr w:rsidR="00592C29" w14:paraId="50FBCDBC" w14:textId="77777777">
        <w:tc>
          <w:tcPr>
            <w:tcW w:w="1620" w:type="dxa"/>
            <w:tcMar>
              <w:top w:w="5" w:type="dxa"/>
              <w:left w:w="113" w:type="dxa"/>
              <w:bottom w:w="5" w:type="dxa"/>
              <w:right w:w="113" w:type="dxa"/>
            </w:tcMar>
            <w:hideMark/>
          </w:tcPr>
          <w:p w14:paraId="02BF29F4" w14:textId="77777777" w:rsidR="00592C29" w:rsidRPr="00432479" w:rsidRDefault="0048296D">
            <w:pPr>
              <w:spacing w:before="20"/>
              <w:rPr>
                <w:sz w:val="20"/>
                <w:szCs w:val="20"/>
              </w:rPr>
            </w:pPr>
            <w:r w:rsidRPr="00432479">
              <w:rPr>
                <w:rFonts w:ascii="Arial" w:eastAsia="Arial" w:hAnsi="Arial" w:cs="Arial"/>
                <w:sz w:val="20"/>
                <w:szCs w:val="20"/>
              </w:rPr>
              <w:t>2.0</w:t>
            </w:r>
          </w:p>
        </w:tc>
        <w:tc>
          <w:tcPr>
            <w:tcW w:w="1620" w:type="dxa"/>
            <w:tcMar>
              <w:top w:w="5" w:type="dxa"/>
              <w:left w:w="113" w:type="dxa"/>
              <w:bottom w:w="5" w:type="dxa"/>
              <w:right w:w="113" w:type="dxa"/>
            </w:tcMar>
            <w:hideMark/>
          </w:tcPr>
          <w:p w14:paraId="7AB935ED" w14:textId="3B92FA19" w:rsidR="00592C29" w:rsidRPr="00432479" w:rsidRDefault="0048296D">
            <w:pPr>
              <w:spacing w:before="20"/>
              <w:rPr>
                <w:sz w:val="20"/>
                <w:szCs w:val="20"/>
              </w:rPr>
            </w:pPr>
            <w:r w:rsidRPr="00432479">
              <w:rPr>
                <w:rFonts w:ascii="Arial" w:eastAsia="Arial" w:hAnsi="Arial" w:cs="Arial"/>
                <w:sz w:val="20"/>
                <w:szCs w:val="20"/>
              </w:rPr>
              <w:t xml:space="preserve">01 </w:t>
            </w:r>
            <w:r w:rsidR="00432479">
              <w:rPr>
                <w:rFonts w:ascii="Arial" w:eastAsia="Arial" w:hAnsi="Arial" w:cs="Arial"/>
                <w:sz w:val="20"/>
                <w:szCs w:val="20"/>
              </w:rPr>
              <w:t>Febr</w:t>
            </w:r>
            <w:r w:rsidR="00432479" w:rsidRPr="00432479">
              <w:rPr>
                <w:rFonts w:ascii="Arial" w:eastAsia="Arial" w:hAnsi="Arial" w:cs="Arial"/>
                <w:sz w:val="20"/>
                <w:szCs w:val="20"/>
              </w:rPr>
              <w:t>uary</w:t>
            </w:r>
            <w:r w:rsidRPr="00432479">
              <w:rPr>
                <w:rFonts w:ascii="Arial" w:eastAsia="Arial" w:hAnsi="Arial" w:cs="Arial"/>
                <w:sz w:val="20"/>
                <w:szCs w:val="20"/>
              </w:rPr>
              <w:t xml:space="preserve"> 2020</w:t>
            </w:r>
          </w:p>
        </w:tc>
        <w:tc>
          <w:tcPr>
            <w:tcW w:w="6120" w:type="dxa"/>
            <w:tcMar>
              <w:top w:w="5" w:type="dxa"/>
              <w:left w:w="113" w:type="dxa"/>
              <w:bottom w:w="5" w:type="dxa"/>
              <w:right w:w="113" w:type="dxa"/>
            </w:tcMar>
            <w:hideMark/>
          </w:tcPr>
          <w:p w14:paraId="2871C51B" w14:textId="5EF782D3" w:rsidR="00432479" w:rsidRPr="00432479" w:rsidRDefault="00432479" w:rsidP="00432479">
            <w:pPr>
              <w:pStyle w:val="MRTableText"/>
              <w:rPr>
                <w:snapToGrid/>
                <w:lang w:eastAsia="en-GB"/>
              </w:rPr>
            </w:pPr>
            <w:r w:rsidRPr="00432479">
              <w:rPr>
                <w:snapToGrid/>
                <w:lang w:eastAsia="en-GB"/>
              </w:rPr>
              <w:t xml:space="preserve">Lloyd’s, in conjunction with the Lloyd’s Market Association (LMA), produced </w:t>
            </w:r>
            <w:r w:rsidR="00E70C08">
              <w:rPr>
                <w:snapToGrid/>
                <w:lang w:eastAsia="en-GB"/>
              </w:rPr>
              <w:t xml:space="preserve">the </w:t>
            </w:r>
            <w:r w:rsidRPr="00432479">
              <w:rPr>
                <w:snapToGrid/>
                <w:lang w:eastAsia="en-GB"/>
              </w:rPr>
              <w:t xml:space="preserve">Lloyd’s Brussels Supplementary Addendum to </w:t>
            </w:r>
            <w:r w:rsidR="00E70C08">
              <w:rPr>
                <w:snapToGrid/>
                <w:lang w:eastAsia="en-GB"/>
              </w:rPr>
              <w:t xml:space="preserve">sit alongside </w:t>
            </w:r>
            <w:r w:rsidRPr="00432479">
              <w:rPr>
                <w:snapToGrid/>
                <w:lang w:eastAsia="en-GB"/>
              </w:rPr>
              <w:t xml:space="preserve">the main </w:t>
            </w:r>
            <w:r w:rsidR="00E70C08" w:rsidRPr="00432479">
              <w:rPr>
                <w:snapToGrid/>
                <w:lang w:eastAsia="en-GB"/>
              </w:rPr>
              <w:t>the ‘Market Reform Contract Open Market Implementation Guide’</w:t>
            </w:r>
            <w:r w:rsidRPr="00432479">
              <w:rPr>
                <w:snapToGrid/>
                <w:lang w:eastAsia="en-GB"/>
              </w:rPr>
              <w:t xml:space="preserve">, to assist the market with the creation of such split/sectionalised MRCs in respect of risks located in the EEA (underwritten by Lloyd’s Brussels) </w:t>
            </w:r>
            <w:r w:rsidRPr="004B44D9">
              <w:rPr>
                <w:snapToGrid/>
                <w:u w:val="single"/>
                <w:lang w:eastAsia="en-GB"/>
              </w:rPr>
              <w:t>and</w:t>
            </w:r>
            <w:r w:rsidRPr="00432479">
              <w:rPr>
                <w:snapToGrid/>
                <w:lang w:eastAsia="en-GB"/>
              </w:rPr>
              <w:t xml:space="preserve"> non-EEA countries.</w:t>
            </w:r>
          </w:p>
          <w:p w14:paraId="2FA35621" w14:textId="77777777" w:rsidR="00432479" w:rsidRPr="00432479" w:rsidRDefault="00432479" w:rsidP="00432479">
            <w:pPr>
              <w:pStyle w:val="MRTableText"/>
              <w:rPr>
                <w:snapToGrid/>
                <w:lang w:eastAsia="en-GB"/>
              </w:rPr>
            </w:pPr>
          </w:p>
          <w:p w14:paraId="7F740A81" w14:textId="5862B197" w:rsidR="00E70C08" w:rsidRDefault="004B44D9" w:rsidP="00E70C08">
            <w:pPr>
              <w:pStyle w:val="MRTableText"/>
            </w:pPr>
            <w:r>
              <w:t xml:space="preserve">The </w:t>
            </w:r>
            <w:r w:rsidR="00E70C08" w:rsidRPr="001E7A9B">
              <w:t xml:space="preserve">whole structure/order of the </w:t>
            </w:r>
            <w:r w:rsidR="00E70C08">
              <w:rPr>
                <w:rFonts w:eastAsia="Arial"/>
                <w:color w:val="000000"/>
              </w:rPr>
              <w:t>Market Reform Contract (Open Market) Implementation Guidance d</w:t>
            </w:r>
            <w:r w:rsidR="00E70C08" w:rsidRPr="001E7A9B">
              <w:t>ocument has been amended</w:t>
            </w:r>
            <w:r w:rsidR="00E70C08">
              <w:t xml:space="preserve">/updated </w:t>
            </w:r>
            <w:r>
              <w:t>(</w:t>
            </w:r>
            <w:r w:rsidR="00E70C08">
              <w:t>to v</w:t>
            </w:r>
            <w:r>
              <w:t xml:space="preserve"> </w:t>
            </w:r>
            <w:r w:rsidR="00E70C08">
              <w:t>2.0</w:t>
            </w:r>
            <w:r>
              <w:t>)</w:t>
            </w:r>
            <w:r w:rsidR="00E70C08">
              <w:t>, such that the g</w:t>
            </w:r>
            <w:r w:rsidR="00E70C08" w:rsidRPr="001E7A9B">
              <w:t xml:space="preserve">uidance for each MRC Heading in each of the 6 parts of the MRC </w:t>
            </w:r>
            <w:r w:rsidR="00E70C08">
              <w:t xml:space="preserve">has been moved from the </w:t>
            </w:r>
            <w:r w:rsidR="00E70C08" w:rsidRPr="001E7A9B">
              <w:t>“Appendices” to the front of the document</w:t>
            </w:r>
            <w:r w:rsidR="00E70C08">
              <w:t>.</w:t>
            </w:r>
          </w:p>
          <w:p w14:paraId="3DEC2029" w14:textId="59B89BC7" w:rsidR="00432479" w:rsidRDefault="00432479" w:rsidP="00432479">
            <w:pPr>
              <w:pStyle w:val="MRTableText"/>
            </w:pPr>
          </w:p>
          <w:p w14:paraId="1046D1CD" w14:textId="77777777" w:rsidR="005E4A9A" w:rsidRDefault="004B44D9" w:rsidP="00432479">
            <w:pPr>
              <w:pStyle w:val="MRTableText"/>
            </w:pPr>
            <w:r>
              <w:t xml:space="preserve">Lloyd’s has therefore produced an updated Supplementary Guidance document (v2.0), which has been similarly re-ordered. </w:t>
            </w:r>
          </w:p>
          <w:p w14:paraId="1A3D19C8" w14:textId="0D339E26" w:rsidR="004B44D9" w:rsidRDefault="004B44D9" w:rsidP="00432479">
            <w:pPr>
              <w:pStyle w:val="MRTableText"/>
            </w:pPr>
            <w:r>
              <w:t>In addition, the Supplementary guidance has been updated to:</w:t>
            </w:r>
          </w:p>
          <w:p w14:paraId="5DEF938E" w14:textId="3DBF6724" w:rsidR="00D46EAE" w:rsidRDefault="00D46EAE" w:rsidP="004B44D9">
            <w:pPr>
              <w:pStyle w:val="ListParagraph"/>
              <w:numPr>
                <w:ilvl w:val="0"/>
                <w:numId w:val="48"/>
              </w:numPr>
              <w:contextualSpacing w:val="0"/>
              <w:rPr>
                <w:rFonts w:ascii="Arial" w:eastAsia="Arial" w:hAnsi="Arial" w:cs="Arial"/>
                <w:color w:val="000000"/>
                <w:sz w:val="20"/>
                <w:szCs w:val="20"/>
              </w:rPr>
            </w:pPr>
            <w:r>
              <w:rPr>
                <w:rFonts w:ascii="Arial" w:eastAsia="Arial" w:hAnsi="Arial" w:cs="Arial"/>
                <w:color w:val="000000"/>
                <w:sz w:val="20"/>
                <w:szCs w:val="20"/>
              </w:rPr>
              <w:t xml:space="preserve">Expand the guidance under the “Choice of Law and Jurisdiction” Heading within </w:t>
            </w:r>
            <w:r w:rsidRPr="00D46EAE">
              <w:rPr>
                <w:rFonts w:ascii="Arial" w:eastAsia="Arial" w:hAnsi="Arial" w:cs="Arial"/>
                <w:b/>
                <w:color w:val="000000"/>
                <w:sz w:val="20"/>
                <w:szCs w:val="20"/>
              </w:rPr>
              <w:t>RISK DETAILS</w:t>
            </w:r>
            <w:r>
              <w:rPr>
                <w:rFonts w:ascii="Arial" w:eastAsia="Arial" w:hAnsi="Arial" w:cs="Arial"/>
                <w:color w:val="000000"/>
                <w:sz w:val="20"/>
                <w:szCs w:val="20"/>
              </w:rPr>
              <w:t xml:space="preserve"> to provide further detail on Service of Suit.</w:t>
            </w:r>
          </w:p>
          <w:p w14:paraId="332AD48D" w14:textId="57FBAD63" w:rsidR="004B44D9" w:rsidRPr="004B44D9" w:rsidRDefault="004B44D9" w:rsidP="004B44D9">
            <w:pPr>
              <w:pStyle w:val="ListParagraph"/>
              <w:numPr>
                <w:ilvl w:val="0"/>
                <w:numId w:val="48"/>
              </w:numPr>
              <w:contextualSpacing w:val="0"/>
              <w:rPr>
                <w:rFonts w:ascii="Arial" w:eastAsia="Arial" w:hAnsi="Arial" w:cs="Arial"/>
                <w:color w:val="000000"/>
                <w:sz w:val="20"/>
                <w:szCs w:val="20"/>
              </w:rPr>
            </w:pPr>
            <w:r w:rsidRPr="004B44D9">
              <w:rPr>
                <w:rFonts w:ascii="Arial" w:eastAsia="Arial" w:hAnsi="Arial" w:cs="Arial"/>
                <w:color w:val="000000"/>
                <w:sz w:val="20"/>
                <w:szCs w:val="20"/>
              </w:rPr>
              <w:t xml:space="preserve">Expand the Guidance on the mandatory “Regulatory Risk Location” Heading under </w:t>
            </w:r>
            <w:r w:rsidRPr="004B44D9">
              <w:rPr>
                <w:rFonts w:ascii="Arial" w:eastAsia="Arial" w:hAnsi="Arial" w:cs="Arial"/>
                <w:b/>
                <w:color w:val="000000"/>
                <w:sz w:val="20"/>
                <w:szCs w:val="20"/>
              </w:rPr>
              <w:t>FISCAL &amp; REGULATORY</w:t>
            </w:r>
            <w:r w:rsidRPr="004B44D9">
              <w:rPr>
                <w:rFonts w:ascii="Arial" w:eastAsia="Arial" w:hAnsi="Arial" w:cs="Arial"/>
                <w:color w:val="000000"/>
                <w:sz w:val="20"/>
                <w:szCs w:val="20"/>
              </w:rPr>
              <w:t>;</w:t>
            </w:r>
          </w:p>
          <w:p w14:paraId="0D28E73D" w14:textId="4A295EE2" w:rsidR="004B44D9" w:rsidRDefault="004B44D9" w:rsidP="004B44D9">
            <w:pPr>
              <w:pStyle w:val="ListParagraph"/>
              <w:numPr>
                <w:ilvl w:val="0"/>
                <w:numId w:val="48"/>
              </w:numPr>
              <w:contextualSpacing w:val="0"/>
              <w:rPr>
                <w:rFonts w:ascii="Arial" w:eastAsia="Arial" w:hAnsi="Arial" w:cs="Arial"/>
                <w:color w:val="000000"/>
                <w:sz w:val="20"/>
                <w:szCs w:val="20"/>
              </w:rPr>
            </w:pPr>
            <w:r w:rsidRPr="004B44D9">
              <w:rPr>
                <w:rFonts w:ascii="Arial" w:eastAsia="Arial" w:hAnsi="Arial" w:cs="Arial"/>
                <w:color w:val="000000"/>
                <w:sz w:val="20"/>
                <w:szCs w:val="20"/>
              </w:rPr>
              <w:t xml:space="preserve">Update the “Regulatory Client Classification” Heading under </w:t>
            </w:r>
            <w:r w:rsidRPr="004B44D9">
              <w:rPr>
                <w:rFonts w:ascii="Arial" w:eastAsia="Arial" w:hAnsi="Arial" w:cs="Arial"/>
                <w:b/>
                <w:color w:val="000000"/>
                <w:sz w:val="20"/>
                <w:szCs w:val="20"/>
              </w:rPr>
              <w:t>FISCAL &amp; REGULATORY</w:t>
            </w:r>
            <w:r w:rsidRPr="004B44D9">
              <w:rPr>
                <w:rFonts w:ascii="Arial" w:eastAsia="Arial" w:hAnsi="Arial" w:cs="Arial"/>
                <w:color w:val="000000"/>
                <w:sz w:val="20"/>
                <w:szCs w:val="20"/>
              </w:rPr>
              <w:t>;</w:t>
            </w:r>
          </w:p>
          <w:p w14:paraId="26E69B66" w14:textId="72E49B9A" w:rsidR="004B44D9" w:rsidRDefault="005E4A9A" w:rsidP="004B44D9">
            <w:pPr>
              <w:pStyle w:val="ListParagraph"/>
              <w:numPr>
                <w:ilvl w:val="0"/>
                <w:numId w:val="48"/>
              </w:numPr>
              <w:contextualSpacing w:val="0"/>
              <w:rPr>
                <w:rFonts w:ascii="Arial" w:eastAsia="Arial" w:hAnsi="Arial" w:cs="Arial"/>
                <w:color w:val="000000"/>
                <w:sz w:val="20"/>
                <w:szCs w:val="20"/>
              </w:rPr>
            </w:pPr>
            <w:r>
              <w:rPr>
                <w:rFonts w:ascii="Arial" w:eastAsia="Arial" w:hAnsi="Arial" w:cs="Arial"/>
                <w:color w:val="000000"/>
                <w:sz w:val="20"/>
                <w:szCs w:val="20"/>
              </w:rPr>
              <w:t>Update the MRC examples to r</w:t>
            </w:r>
            <w:r w:rsidR="004B44D9">
              <w:rPr>
                <w:rFonts w:ascii="Arial" w:eastAsia="Arial" w:hAnsi="Arial" w:cs="Arial"/>
                <w:color w:val="000000"/>
                <w:sz w:val="20"/>
                <w:szCs w:val="20"/>
              </w:rPr>
              <w:t xml:space="preserve">eflect the fact that Lloyd’s Brussels has been granted a </w:t>
            </w:r>
            <w:proofErr w:type="spellStart"/>
            <w:r w:rsidR="004B44D9">
              <w:rPr>
                <w:rFonts w:ascii="Arial" w:eastAsia="Arial" w:hAnsi="Arial" w:cs="Arial"/>
                <w:color w:val="000000"/>
                <w:sz w:val="20"/>
                <w:szCs w:val="20"/>
              </w:rPr>
              <w:t>licence</w:t>
            </w:r>
            <w:proofErr w:type="spellEnd"/>
            <w:r w:rsidR="004B44D9">
              <w:rPr>
                <w:rFonts w:ascii="Arial" w:eastAsia="Arial" w:hAnsi="Arial" w:cs="Arial"/>
                <w:color w:val="000000"/>
                <w:sz w:val="20"/>
                <w:szCs w:val="20"/>
              </w:rPr>
              <w:t xml:space="preserve"> for Monaco;</w:t>
            </w:r>
          </w:p>
          <w:p w14:paraId="651FEA48" w14:textId="331866B8" w:rsidR="004B44D9" w:rsidRDefault="008D7066" w:rsidP="004B44D9">
            <w:pPr>
              <w:pStyle w:val="ListParagraph"/>
              <w:numPr>
                <w:ilvl w:val="0"/>
                <w:numId w:val="48"/>
              </w:numPr>
              <w:contextualSpacing w:val="0"/>
              <w:rPr>
                <w:rFonts w:ascii="Arial" w:eastAsia="Arial" w:hAnsi="Arial" w:cs="Arial"/>
                <w:color w:val="000000"/>
                <w:sz w:val="20"/>
                <w:szCs w:val="20"/>
              </w:rPr>
            </w:pPr>
            <w:r>
              <w:rPr>
                <w:rFonts w:ascii="Arial" w:eastAsia="Arial" w:hAnsi="Arial" w:cs="Arial"/>
                <w:color w:val="000000"/>
                <w:sz w:val="20"/>
                <w:szCs w:val="20"/>
              </w:rPr>
              <w:t xml:space="preserve">Provide guidance on the Lloyd’s Brussels Contract Addendum (LBCA / LMA9170) – </w:t>
            </w:r>
            <w:r w:rsidR="005E4A9A">
              <w:rPr>
                <w:rFonts w:ascii="Arial" w:eastAsia="Arial" w:hAnsi="Arial" w:cs="Arial"/>
                <w:color w:val="000000"/>
                <w:sz w:val="20"/>
                <w:szCs w:val="20"/>
              </w:rPr>
              <w:t xml:space="preserve">refer </w:t>
            </w:r>
            <w:r>
              <w:rPr>
                <w:rFonts w:ascii="Arial" w:eastAsia="Arial" w:hAnsi="Arial" w:cs="Arial"/>
                <w:color w:val="000000"/>
                <w:sz w:val="20"/>
                <w:szCs w:val="20"/>
              </w:rPr>
              <w:t>Appendix 7;</w:t>
            </w:r>
          </w:p>
          <w:p w14:paraId="67BB5CB2" w14:textId="487490F7" w:rsidR="008D7066" w:rsidRPr="004B44D9" w:rsidRDefault="008D7066" w:rsidP="004B44D9">
            <w:pPr>
              <w:pStyle w:val="ListParagraph"/>
              <w:numPr>
                <w:ilvl w:val="0"/>
                <w:numId w:val="48"/>
              </w:numPr>
              <w:contextualSpacing w:val="0"/>
              <w:rPr>
                <w:rFonts w:ascii="Arial" w:eastAsia="Arial" w:hAnsi="Arial" w:cs="Arial"/>
                <w:color w:val="000000"/>
                <w:sz w:val="20"/>
                <w:szCs w:val="20"/>
              </w:rPr>
            </w:pPr>
            <w:r>
              <w:rPr>
                <w:rFonts w:ascii="Arial" w:eastAsia="Arial" w:hAnsi="Arial" w:cs="Arial"/>
                <w:color w:val="000000"/>
                <w:sz w:val="20"/>
                <w:szCs w:val="20"/>
              </w:rPr>
              <w:t xml:space="preserve">Cross reference with the </w:t>
            </w:r>
            <w:r w:rsidR="005E4A9A">
              <w:rPr>
                <w:rFonts w:ascii="Arial" w:eastAsia="Arial" w:hAnsi="Arial" w:cs="Arial"/>
                <w:color w:val="000000"/>
                <w:sz w:val="20"/>
                <w:szCs w:val="20"/>
              </w:rPr>
              <w:t xml:space="preserve">process for Mid Term Alterations outlined in the Lloyd’s Endorsement Operational Guidelines Version 2.0 published in </w:t>
            </w:r>
            <w:r w:rsidR="000E4E63">
              <w:rPr>
                <w:rFonts w:ascii="Arial" w:eastAsia="Arial" w:hAnsi="Arial" w:cs="Arial"/>
                <w:color w:val="000000"/>
                <w:sz w:val="20"/>
                <w:szCs w:val="20"/>
              </w:rPr>
              <w:t xml:space="preserve">September </w:t>
            </w:r>
            <w:r w:rsidR="005E4A9A">
              <w:rPr>
                <w:rFonts w:ascii="Arial" w:eastAsia="Arial" w:hAnsi="Arial" w:cs="Arial"/>
                <w:color w:val="000000"/>
                <w:sz w:val="20"/>
                <w:szCs w:val="20"/>
              </w:rPr>
              <w:t>2019 – refer Appendix 8.</w:t>
            </w:r>
          </w:p>
          <w:p w14:paraId="6CD553DB" w14:textId="77777777" w:rsidR="004B44D9" w:rsidRPr="00432479" w:rsidRDefault="004B44D9" w:rsidP="00432479">
            <w:pPr>
              <w:pStyle w:val="MRTableText"/>
            </w:pPr>
          </w:p>
          <w:p w14:paraId="2E56BF76" w14:textId="28E42419" w:rsidR="00592C29" w:rsidRPr="00432479" w:rsidRDefault="00592C29">
            <w:pPr>
              <w:spacing w:before="20"/>
              <w:rPr>
                <w:sz w:val="20"/>
                <w:szCs w:val="20"/>
              </w:rPr>
            </w:pPr>
          </w:p>
        </w:tc>
      </w:tr>
    </w:tbl>
    <w:p w14:paraId="67108427" w14:textId="77777777" w:rsidR="00592C29" w:rsidRDefault="00592C29">
      <w:pPr>
        <w:rPr>
          <w:sz w:val="22"/>
          <w:szCs w:val="22"/>
        </w:rPr>
      </w:pPr>
    </w:p>
    <w:p w14:paraId="7FAACAB8" w14:textId="77777777" w:rsidR="00592C29" w:rsidRDefault="0048296D">
      <w:pPr>
        <w:spacing w:after="200" w:line="276" w:lineRule="auto"/>
        <w:rPr>
          <w:sz w:val="22"/>
          <w:szCs w:val="22"/>
        </w:rPr>
      </w:pPr>
      <w:r>
        <w:rPr>
          <w:sz w:val="22"/>
          <w:szCs w:val="22"/>
        </w:rPr>
        <w:br w:type="page"/>
      </w:r>
    </w:p>
    <w:p w14:paraId="07A50CDF" w14:textId="3FBBEF5C" w:rsidR="00592C29" w:rsidRDefault="0048296D">
      <w:pPr>
        <w:pStyle w:val="Heading1"/>
        <w:rPr>
          <w:sz w:val="40"/>
          <w:szCs w:val="40"/>
        </w:rPr>
      </w:pPr>
      <w:bookmarkStart w:id="77" w:name="_Toc21706662"/>
      <w:bookmarkStart w:id="78" w:name="_Toc31396097"/>
      <w:r>
        <w:rPr>
          <w:rFonts w:ascii="Arial" w:eastAsia="Arial" w:hAnsi="Arial" w:cs="Arial"/>
          <w:color w:val="0070C0"/>
          <w:sz w:val="40"/>
          <w:szCs w:val="40"/>
        </w:rPr>
        <w:lastRenderedPageBreak/>
        <w:t xml:space="preserve">Appendix 6 – </w:t>
      </w:r>
      <w:r w:rsidRPr="00242A1D">
        <w:rPr>
          <w:rFonts w:ascii="Arial" w:eastAsia="Arial" w:hAnsi="Arial" w:cs="Arial"/>
          <w:color w:val="0070C0"/>
          <w:sz w:val="40"/>
          <w:szCs w:val="40"/>
        </w:rPr>
        <w:t>Non proportional Excess of Loss Reinsurance Jacket</w:t>
      </w:r>
      <w:bookmarkEnd w:id="77"/>
      <w:bookmarkEnd w:id="78"/>
    </w:p>
    <w:p w14:paraId="61EB8CFE" w14:textId="77777777" w:rsidR="00592C29" w:rsidRDefault="00592C29">
      <w:pPr>
        <w:spacing w:before="120"/>
        <w:jc w:val="both"/>
        <w:rPr>
          <w:sz w:val="22"/>
          <w:szCs w:val="22"/>
        </w:rPr>
      </w:pPr>
    </w:p>
    <w:p w14:paraId="4B592D03" w14:textId="77777777" w:rsidR="00592C29" w:rsidRDefault="0048296D">
      <w:pPr>
        <w:spacing w:after="200" w:line="276" w:lineRule="auto"/>
        <w:rPr>
          <w:sz w:val="22"/>
          <w:szCs w:val="22"/>
        </w:rPr>
      </w:pPr>
      <w:r>
        <w:rPr>
          <w:rFonts w:ascii="Calibri" w:eastAsia="Calibri" w:hAnsi="Calibri" w:cs="Calibri"/>
          <w:sz w:val="22"/>
          <w:szCs w:val="22"/>
          <w:u w:val="single"/>
        </w:rPr>
        <w:t xml:space="preserve">Lloyd’s Brussels </w:t>
      </w:r>
      <w:proofErr w:type="spellStart"/>
      <w:r>
        <w:rPr>
          <w:rFonts w:ascii="Calibri" w:eastAsia="Calibri" w:hAnsi="Calibri" w:cs="Calibri"/>
          <w:sz w:val="22"/>
          <w:szCs w:val="22"/>
          <w:u w:val="single"/>
        </w:rPr>
        <w:t>XoL</w:t>
      </w:r>
      <w:proofErr w:type="spellEnd"/>
      <w:r>
        <w:rPr>
          <w:rFonts w:ascii="Calibri" w:eastAsia="Calibri" w:hAnsi="Calibri" w:cs="Calibri"/>
          <w:sz w:val="22"/>
          <w:szCs w:val="22"/>
          <w:u w:val="single"/>
        </w:rPr>
        <w:t xml:space="preserve"> the ‘MRC Jacket’ </w:t>
      </w:r>
    </w:p>
    <w:tbl>
      <w:tblPr>
        <w:tblW w:w="0" w:type="auto"/>
        <w:tblInd w:w="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887"/>
        <w:gridCol w:w="5898"/>
      </w:tblGrid>
      <w:tr w:rsidR="00592C29" w14:paraId="4AF0B49E" w14:textId="77777777">
        <w:tc>
          <w:tcPr>
            <w:tcW w:w="8785" w:type="dxa"/>
            <w:gridSpan w:val="2"/>
            <w:tcBorders>
              <w:bottom w:val="single" w:sz="8" w:space="0" w:color="A3A3A3"/>
            </w:tcBorders>
            <w:shd w:val="clear" w:color="auto" w:fill="D9D9D9"/>
            <w:tcMar>
              <w:top w:w="80" w:type="dxa"/>
              <w:left w:w="80" w:type="dxa"/>
              <w:bottom w:w="80" w:type="dxa"/>
              <w:right w:w="80" w:type="dxa"/>
            </w:tcMar>
            <w:hideMark/>
          </w:tcPr>
          <w:p w14:paraId="7B2B65E3" w14:textId="77777777" w:rsidR="00592C29" w:rsidRDefault="0048296D">
            <w:pPr>
              <w:spacing w:after="200" w:line="276" w:lineRule="auto"/>
              <w:rPr>
                <w:color w:val="000000"/>
                <w:sz w:val="22"/>
                <w:szCs w:val="22"/>
              </w:rPr>
            </w:pPr>
            <w:r>
              <w:rPr>
                <w:rFonts w:ascii="Calibri" w:eastAsia="Calibri" w:hAnsi="Calibri" w:cs="Calibri"/>
                <w:b/>
                <w:bCs/>
                <w:color w:val="000000"/>
                <w:sz w:val="22"/>
                <w:szCs w:val="22"/>
              </w:rPr>
              <w:t xml:space="preserve">Risk Details </w:t>
            </w:r>
          </w:p>
        </w:tc>
      </w:tr>
      <w:tr w:rsidR="00592C29" w14:paraId="5AD966FE" w14:textId="77777777">
        <w:trPr>
          <w:trHeight w:val="69"/>
        </w:trPr>
        <w:tc>
          <w:tcPr>
            <w:tcW w:w="2887" w:type="dxa"/>
            <w:tcBorders>
              <w:top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0F4DF4AF" w14:textId="77777777" w:rsidR="00592C29" w:rsidRDefault="0048296D">
            <w:pPr>
              <w:spacing w:after="200" w:line="276" w:lineRule="auto"/>
              <w:rPr>
                <w:color w:val="000000"/>
                <w:sz w:val="22"/>
                <w:szCs w:val="22"/>
              </w:rPr>
            </w:pPr>
            <w:r>
              <w:rPr>
                <w:rFonts w:ascii="Calibri" w:eastAsia="Calibri" w:hAnsi="Calibri" w:cs="Calibri"/>
                <w:b/>
                <w:bCs/>
                <w:color w:val="000000"/>
                <w:sz w:val="22"/>
                <w:szCs w:val="22"/>
              </w:rPr>
              <w:t>Preferred Heading [aliases]</w:t>
            </w:r>
          </w:p>
        </w:tc>
        <w:tc>
          <w:tcPr>
            <w:tcW w:w="5898" w:type="dxa"/>
            <w:tcBorders>
              <w:top w:val="single" w:sz="8" w:space="0" w:color="A3A3A3"/>
              <w:left w:val="single" w:sz="8" w:space="0" w:color="A3A3A3"/>
              <w:bottom w:val="single" w:sz="8" w:space="0" w:color="A3A3A3"/>
            </w:tcBorders>
            <w:shd w:val="clear" w:color="auto" w:fill="D9D9D9"/>
            <w:tcMar>
              <w:top w:w="80" w:type="dxa"/>
              <w:left w:w="80" w:type="dxa"/>
              <w:bottom w:w="80" w:type="dxa"/>
              <w:right w:w="80" w:type="dxa"/>
            </w:tcMar>
            <w:hideMark/>
          </w:tcPr>
          <w:p w14:paraId="3CB0848A" w14:textId="77777777" w:rsidR="00592C29" w:rsidRDefault="0048296D">
            <w:pPr>
              <w:spacing w:after="200" w:line="276" w:lineRule="auto"/>
              <w:rPr>
                <w:color w:val="000000"/>
                <w:sz w:val="22"/>
                <w:szCs w:val="22"/>
              </w:rPr>
            </w:pPr>
            <w:r>
              <w:rPr>
                <w:rFonts w:ascii="Calibri" w:eastAsia="Calibri" w:hAnsi="Calibri" w:cs="Calibri"/>
                <w:b/>
                <w:bCs/>
                <w:color w:val="000000"/>
                <w:sz w:val="22"/>
                <w:szCs w:val="22"/>
              </w:rPr>
              <w:t xml:space="preserve">Definition </w:t>
            </w:r>
          </w:p>
        </w:tc>
      </w:tr>
      <w:tr w:rsidR="00592C29" w14:paraId="440A76B0" w14:textId="77777777">
        <w:tc>
          <w:tcPr>
            <w:tcW w:w="2887" w:type="dxa"/>
            <w:tcBorders>
              <w:top w:val="single" w:sz="8" w:space="0" w:color="A3A3A3"/>
              <w:bottom w:val="single" w:sz="8" w:space="0" w:color="A3A3A3"/>
              <w:right w:val="single" w:sz="8" w:space="0" w:color="A3A3A3"/>
            </w:tcBorders>
            <w:tcMar>
              <w:top w:w="80" w:type="dxa"/>
              <w:left w:w="80" w:type="dxa"/>
              <w:bottom w:w="80" w:type="dxa"/>
              <w:right w:w="80" w:type="dxa"/>
            </w:tcMar>
            <w:hideMark/>
          </w:tcPr>
          <w:p w14:paraId="6150F557"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UMR</w:t>
            </w:r>
          </w:p>
        </w:tc>
        <w:tc>
          <w:tcPr>
            <w:tcW w:w="5898" w:type="dxa"/>
            <w:tcBorders>
              <w:top w:val="single" w:sz="8" w:space="0" w:color="A3A3A3"/>
              <w:left w:val="single" w:sz="8" w:space="0" w:color="A3A3A3"/>
              <w:bottom w:val="single" w:sz="8" w:space="0" w:color="A3A3A3"/>
            </w:tcBorders>
            <w:tcMar>
              <w:top w:w="80" w:type="dxa"/>
              <w:left w:w="80" w:type="dxa"/>
              <w:bottom w:w="80" w:type="dxa"/>
              <w:right w:w="80" w:type="dxa"/>
            </w:tcMar>
            <w:hideMark/>
          </w:tcPr>
          <w:p w14:paraId="79E0E6FD"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 xml:space="preserve">Unique market reference of contract </w:t>
            </w:r>
          </w:p>
        </w:tc>
      </w:tr>
      <w:tr w:rsidR="00592C29" w14:paraId="75754850" w14:textId="77777777">
        <w:tc>
          <w:tcPr>
            <w:tcW w:w="2887" w:type="dxa"/>
            <w:tcBorders>
              <w:top w:val="single" w:sz="8" w:space="0" w:color="A3A3A3"/>
              <w:bottom w:val="single" w:sz="8" w:space="0" w:color="A3A3A3"/>
              <w:right w:val="single" w:sz="8" w:space="0" w:color="A3A3A3"/>
            </w:tcBorders>
            <w:tcMar>
              <w:top w:w="80" w:type="dxa"/>
              <w:left w:w="80" w:type="dxa"/>
              <w:bottom w:w="80" w:type="dxa"/>
              <w:right w:w="80" w:type="dxa"/>
            </w:tcMar>
            <w:hideMark/>
          </w:tcPr>
          <w:p w14:paraId="607824AA"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Class of Business [COB]</w:t>
            </w:r>
          </w:p>
        </w:tc>
        <w:tc>
          <w:tcPr>
            <w:tcW w:w="5898" w:type="dxa"/>
            <w:tcBorders>
              <w:top w:val="single" w:sz="8" w:space="0" w:color="A3A3A3"/>
              <w:left w:val="single" w:sz="8" w:space="0" w:color="A3A3A3"/>
              <w:bottom w:val="single" w:sz="8" w:space="0" w:color="A3A3A3"/>
            </w:tcBorders>
            <w:tcMar>
              <w:top w:w="80" w:type="dxa"/>
              <w:left w:w="80" w:type="dxa"/>
              <w:bottom w:w="80" w:type="dxa"/>
              <w:right w:w="80" w:type="dxa"/>
            </w:tcMar>
          </w:tcPr>
          <w:p w14:paraId="7C2368B8" w14:textId="77777777" w:rsidR="00592C29" w:rsidRDefault="00592C29">
            <w:pPr>
              <w:spacing w:after="200" w:line="276" w:lineRule="auto"/>
              <w:rPr>
                <w:color w:val="000000"/>
                <w:sz w:val="22"/>
                <w:szCs w:val="22"/>
              </w:rPr>
            </w:pPr>
          </w:p>
        </w:tc>
      </w:tr>
      <w:tr w:rsidR="00592C29" w14:paraId="214059E8" w14:textId="77777777">
        <w:tc>
          <w:tcPr>
            <w:tcW w:w="2887" w:type="dxa"/>
            <w:tcBorders>
              <w:top w:val="single" w:sz="8" w:space="0" w:color="A3A3A3"/>
              <w:bottom w:val="single" w:sz="8" w:space="0" w:color="A3A3A3"/>
              <w:right w:val="single" w:sz="8" w:space="0" w:color="A3A3A3"/>
            </w:tcBorders>
            <w:tcMar>
              <w:top w:w="80" w:type="dxa"/>
              <w:left w:w="80" w:type="dxa"/>
              <w:bottom w:w="80" w:type="dxa"/>
              <w:right w:w="80" w:type="dxa"/>
            </w:tcMar>
            <w:hideMark/>
          </w:tcPr>
          <w:p w14:paraId="2F640D70"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Type of Risk [TYPE OF CONTRACT, KIND OF CONTRACT]</w:t>
            </w:r>
          </w:p>
        </w:tc>
        <w:tc>
          <w:tcPr>
            <w:tcW w:w="5898" w:type="dxa"/>
            <w:tcBorders>
              <w:top w:val="single" w:sz="8" w:space="0" w:color="A3A3A3"/>
              <w:left w:val="single" w:sz="8" w:space="0" w:color="A3A3A3"/>
              <w:bottom w:val="single" w:sz="8" w:space="0" w:color="A3A3A3"/>
            </w:tcBorders>
            <w:tcMar>
              <w:top w:w="80" w:type="dxa"/>
              <w:left w:w="80" w:type="dxa"/>
              <w:bottom w:w="80" w:type="dxa"/>
              <w:right w:w="80" w:type="dxa"/>
            </w:tcMar>
          </w:tcPr>
          <w:p w14:paraId="2C645C94" w14:textId="77777777" w:rsidR="00592C29" w:rsidRDefault="00592C29">
            <w:pPr>
              <w:spacing w:after="200" w:line="276" w:lineRule="auto"/>
              <w:rPr>
                <w:color w:val="000000"/>
                <w:sz w:val="22"/>
                <w:szCs w:val="22"/>
              </w:rPr>
            </w:pPr>
          </w:p>
        </w:tc>
      </w:tr>
      <w:tr w:rsidR="00592C29" w14:paraId="78422013" w14:textId="77777777">
        <w:tc>
          <w:tcPr>
            <w:tcW w:w="2887" w:type="dxa"/>
            <w:tcBorders>
              <w:top w:val="single" w:sz="8" w:space="0" w:color="A3A3A3"/>
              <w:bottom w:val="single" w:sz="8" w:space="0" w:color="A3A3A3"/>
              <w:right w:val="single" w:sz="8" w:space="0" w:color="A3A3A3"/>
            </w:tcBorders>
            <w:tcMar>
              <w:top w:w="80" w:type="dxa"/>
              <w:left w:w="80" w:type="dxa"/>
              <w:bottom w:w="80" w:type="dxa"/>
              <w:right w:w="80" w:type="dxa"/>
            </w:tcMar>
            <w:hideMark/>
          </w:tcPr>
          <w:p w14:paraId="3CC5DF57"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Re/Insured Name</w:t>
            </w:r>
          </w:p>
        </w:tc>
        <w:tc>
          <w:tcPr>
            <w:tcW w:w="5898" w:type="dxa"/>
            <w:tcBorders>
              <w:top w:val="single" w:sz="8" w:space="0" w:color="A3A3A3"/>
              <w:left w:val="single" w:sz="8" w:space="0" w:color="A3A3A3"/>
              <w:bottom w:val="single" w:sz="8" w:space="0" w:color="A3A3A3"/>
            </w:tcBorders>
            <w:tcMar>
              <w:top w:w="80" w:type="dxa"/>
              <w:left w:w="80" w:type="dxa"/>
              <w:bottom w:w="80" w:type="dxa"/>
              <w:right w:w="80" w:type="dxa"/>
            </w:tcMar>
            <w:hideMark/>
          </w:tcPr>
          <w:p w14:paraId="0E15E014"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Client name</w:t>
            </w:r>
          </w:p>
        </w:tc>
      </w:tr>
      <w:tr w:rsidR="00592C29" w14:paraId="0A895C54" w14:textId="77777777">
        <w:tc>
          <w:tcPr>
            <w:tcW w:w="2887" w:type="dxa"/>
            <w:tcBorders>
              <w:top w:val="single" w:sz="8" w:space="0" w:color="A3A3A3"/>
              <w:bottom w:val="single" w:sz="8" w:space="0" w:color="A3A3A3"/>
              <w:right w:val="single" w:sz="8" w:space="0" w:color="A3A3A3"/>
            </w:tcBorders>
            <w:tcMar>
              <w:top w:w="80" w:type="dxa"/>
              <w:left w:w="80" w:type="dxa"/>
              <w:bottom w:w="80" w:type="dxa"/>
              <w:right w:w="80" w:type="dxa"/>
            </w:tcMar>
            <w:hideMark/>
          </w:tcPr>
          <w:p w14:paraId="1BD57DAE"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Re/Insured Address</w:t>
            </w:r>
          </w:p>
        </w:tc>
        <w:tc>
          <w:tcPr>
            <w:tcW w:w="5898" w:type="dxa"/>
            <w:tcBorders>
              <w:top w:val="single" w:sz="8" w:space="0" w:color="A3A3A3"/>
              <w:left w:val="single" w:sz="8" w:space="0" w:color="A3A3A3"/>
              <w:bottom w:val="single" w:sz="8" w:space="0" w:color="A3A3A3"/>
            </w:tcBorders>
            <w:tcMar>
              <w:top w:w="80" w:type="dxa"/>
              <w:left w:w="80" w:type="dxa"/>
              <w:bottom w:w="80" w:type="dxa"/>
              <w:right w:w="80" w:type="dxa"/>
            </w:tcMar>
            <w:hideMark/>
          </w:tcPr>
          <w:p w14:paraId="68432A97"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 xml:space="preserve">Client address </w:t>
            </w:r>
          </w:p>
          <w:p w14:paraId="73C5CD67"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Country</w:t>
            </w:r>
          </w:p>
        </w:tc>
      </w:tr>
      <w:tr w:rsidR="00592C29" w14:paraId="495AF622" w14:textId="77777777">
        <w:tc>
          <w:tcPr>
            <w:tcW w:w="2887" w:type="dxa"/>
            <w:tcBorders>
              <w:top w:val="single" w:sz="8" w:space="0" w:color="A3A3A3"/>
              <w:bottom w:val="single" w:sz="8" w:space="0" w:color="A3A3A3"/>
              <w:right w:val="single" w:sz="8" w:space="0" w:color="A3A3A3"/>
            </w:tcBorders>
            <w:tcMar>
              <w:top w:w="80" w:type="dxa"/>
              <w:left w:w="80" w:type="dxa"/>
              <w:bottom w:w="80" w:type="dxa"/>
              <w:right w:w="80" w:type="dxa"/>
            </w:tcMar>
            <w:hideMark/>
          </w:tcPr>
          <w:p w14:paraId="52A7B82A"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PERIOD</w:t>
            </w:r>
            <w:r>
              <w:rPr>
                <w:rFonts w:ascii="Calibri" w:eastAsia="Calibri" w:hAnsi="Calibri" w:cs="Calibri"/>
                <w:color w:val="000000"/>
                <w:sz w:val="22"/>
                <w:szCs w:val="22"/>
              </w:rPr>
              <w:br/>
              <w:t>[INCEPTION DATE]</w:t>
            </w:r>
            <w:r>
              <w:rPr>
                <w:rFonts w:ascii="Calibri" w:eastAsia="Calibri" w:hAnsi="Calibri" w:cs="Calibri"/>
                <w:color w:val="000000"/>
                <w:sz w:val="22"/>
                <w:szCs w:val="22"/>
              </w:rPr>
              <w:br/>
              <w:t>[EXPIRY DATE]</w:t>
            </w:r>
            <w:r>
              <w:rPr>
                <w:rFonts w:ascii="Calibri" w:eastAsia="Calibri" w:hAnsi="Calibri" w:cs="Calibri"/>
                <w:color w:val="000000"/>
                <w:sz w:val="22"/>
                <w:szCs w:val="22"/>
              </w:rPr>
              <w:br/>
              <w:t>[DURATION OF CONTRACT]</w:t>
            </w:r>
            <w:r>
              <w:rPr>
                <w:rFonts w:ascii="Calibri" w:eastAsia="Calibri" w:hAnsi="Calibri" w:cs="Calibri"/>
                <w:color w:val="000000"/>
                <w:sz w:val="22"/>
                <w:szCs w:val="22"/>
              </w:rPr>
              <w:br/>
              <w:t>[CONTRACTUAL PERIOD]</w:t>
            </w:r>
          </w:p>
        </w:tc>
        <w:tc>
          <w:tcPr>
            <w:tcW w:w="5898" w:type="dxa"/>
            <w:tcBorders>
              <w:top w:val="single" w:sz="8" w:space="0" w:color="A3A3A3"/>
              <w:left w:val="single" w:sz="8" w:space="0" w:color="A3A3A3"/>
              <w:bottom w:val="single" w:sz="8" w:space="0" w:color="A3A3A3"/>
            </w:tcBorders>
            <w:tcMar>
              <w:top w:w="80" w:type="dxa"/>
              <w:left w:w="80" w:type="dxa"/>
              <w:bottom w:w="80" w:type="dxa"/>
              <w:right w:w="80" w:type="dxa"/>
            </w:tcMar>
            <w:hideMark/>
          </w:tcPr>
          <w:p w14:paraId="0750FF33"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Date &amp; time FROM (DD-MM-YY, HH:MM TIME ZONE) TO FROM (DD-MM-YY, HH:MM TIME ZONE) Losses Occurring Basis</w:t>
            </w:r>
            <w:r>
              <w:rPr>
                <w:rFonts w:ascii="Calibri" w:eastAsia="Calibri" w:hAnsi="Calibri" w:cs="Calibri"/>
                <w:color w:val="000000"/>
                <w:sz w:val="22"/>
                <w:szCs w:val="22"/>
              </w:rPr>
              <w:br/>
              <w:t>OR</w:t>
            </w:r>
            <w:r>
              <w:rPr>
                <w:rFonts w:ascii="Calibri" w:eastAsia="Calibri" w:hAnsi="Calibri" w:cs="Calibri"/>
                <w:color w:val="000000"/>
                <w:sz w:val="22"/>
                <w:szCs w:val="22"/>
              </w:rPr>
              <w:br/>
              <w:t>XX months as at DD-MM-YY Losses Occurring Basis</w:t>
            </w:r>
          </w:p>
        </w:tc>
      </w:tr>
      <w:tr w:rsidR="00592C29" w14:paraId="707F8D70" w14:textId="77777777">
        <w:tc>
          <w:tcPr>
            <w:tcW w:w="2887" w:type="dxa"/>
            <w:tcBorders>
              <w:top w:val="single" w:sz="8" w:space="0" w:color="A3A3A3"/>
              <w:bottom w:val="single" w:sz="8" w:space="0" w:color="A3A3A3"/>
              <w:right w:val="single" w:sz="8" w:space="0" w:color="A3A3A3"/>
            </w:tcBorders>
            <w:tcMar>
              <w:top w:w="80" w:type="dxa"/>
              <w:left w:w="80" w:type="dxa"/>
              <w:bottom w:w="80" w:type="dxa"/>
              <w:right w:w="80" w:type="dxa"/>
            </w:tcMar>
            <w:hideMark/>
          </w:tcPr>
          <w:p w14:paraId="41A14F71"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Situation [Territorial Scope]</w:t>
            </w:r>
          </w:p>
        </w:tc>
        <w:tc>
          <w:tcPr>
            <w:tcW w:w="5898" w:type="dxa"/>
            <w:tcBorders>
              <w:top w:val="single" w:sz="8" w:space="0" w:color="A3A3A3"/>
              <w:left w:val="single" w:sz="8" w:space="0" w:color="A3A3A3"/>
              <w:bottom w:val="single" w:sz="8" w:space="0" w:color="A3A3A3"/>
            </w:tcBorders>
            <w:tcMar>
              <w:top w:w="80" w:type="dxa"/>
              <w:left w:w="80" w:type="dxa"/>
              <w:bottom w:w="80" w:type="dxa"/>
              <w:right w:w="80" w:type="dxa"/>
            </w:tcMar>
            <w:hideMark/>
          </w:tcPr>
          <w:p w14:paraId="64717AC4"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Country</w:t>
            </w:r>
          </w:p>
        </w:tc>
      </w:tr>
      <w:tr w:rsidR="00592C29" w14:paraId="34EC510C" w14:textId="77777777">
        <w:tc>
          <w:tcPr>
            <w:tcW w:w="2887" w:type="dxa"/>
            <w:tcBorders>
              <w:top w:val="single" w:sz="8" w:space="0" w:color="A3A3A3"/>
              <w:bottom w:val="single" w:sz="8" w:space="0" w:color="A3A3A3"/>
              <w:right w:val="single" w:sz="8" w:space="0" w:color="A3A3A3"/>
            </w:tcBorders>
            <w:tcMar>
              <w:top w:w="80" w:type="dxa"/>
              <w:left w:w="80" w:type="dxa"/>
              <w:bottom w:w="80" w:type="dxa"/>
              <w:right w:w="80" w:type="dxa"/>
            </w:tcMar>
            <w:hideMark/>
          </w:tcPr>
          <w:p w14:paraId="6861F287"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CHOICE OF LAW AND JURISDICTION [APPLICABLE LAW]</w:t>
            </w:r>
          </w:p>
        </w:tc>
        <w:tc>
          <w:tcPr>
            <w:tcW w:w="5898" w:type="dxa"/>
            <w:tcBorders>
              <w:top w:val="single" w:sz="8" w:space="0" w:color="A3A3A3"/>
              <w:left w:val="single" w:sz="8" w:space="0" w:color="A3A3A3"/>
              <w:bottom w:val="single" w:sz="8" w:space="0" w:color="A3A3A3"/>
            </w:tcBorders>
            <w:tcMar>
              <w:top w:w="80" w:type="dxa"/>
              <w:left w:w="80" w:type="dxa"/>
              <w:bottom w:w="80" w:type="dxa"/>
              <w:right w:w="80" w:type="dxa"/>
            </w:tcMar>
          </w:tcPr>
          <w:p w14:paraId="10A2142A" w14:textId="77777777" w:rsidR="00592C29" w:rsidRDefault="00592C29">
            <w:pPr>
              <w:spacing w:after="200" w:line="276" w:lineRule="auto"/>
              <w:rPr>
                <w:color w:val="000000"/>
                <w:sz w:val="22"/>
                <w:szCs w:val="22"/>
              </w:rPr>
            </w:pPr>
          </w:p>
        </w:tc>
      </w:tr>
      <w:tr w:rsidR="00592C29" w14:paraId="149BAF25" w14:textId="77777777">
        <w:tc>
          <w:tcPr>
            <w:tcW w:w="2887" w:type="dxa"/>
            <w:tcBorders>
              <w:top w:val="single" w:sz="8" w:space="0" w:color="A3A3A3"/>
              <w:bottom w:val="single" w:sz="8" w:space="0" w:color="A3A3A3"/>
              <w:right w:val="single" w:sz="8" w:space="0" w:color="A3A3A3"/>
            </w:tcBorders>
            <w:tcMar>
              <w:top w:w="80" w:type="dxa"/>
              <w:left w:w="80" w:type="dxa"/>
              <w:bottom w:w="80" w:type="dxa"/>
              <w:right w:w="80" w:type="dxa"/>
            </w:tcMar>
            <w:hideMark/>
          </w:tcPr>
          <w:p w14:paraId="68EDFF44"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Premium</w:t>
            </w:r>
          </w:p>
          <w:p w14:paraId="0D66BF9A"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[FLAT PREMIUM]</w:t>
            </w:r>
          </w:p>
        </w:tc>
        <w:tc>
          <w:tcPr>
            <w:tcW w:w="5898" w:type="dxa"/>
            <w:tcBorders>
              <w:top w:val="single" w:sz="8" w:space="0" w:color="A3A3A3"/>
              <w:left w:val="single" w:sz="8" w:space="0" w:color="A3A3A3"/>
              <w:bottom w:val="single" w:sz="8" w:space="0" w:color="A3A3A3"/>
            </w:tcBorders>
            <w:tcMar>
              <w:top w:w="80" w:type="dxa"/>
              <w:left w:w="80" w:type="dxa"/>
              <w:bottom w:w="80" w:type="dxa"/>
              <w:right w:w="80" w:type="dxa"/>
            </w:tcMar>
            <w:hideMark/>
          </w:tcPr>
          <w:p w14:paraId="39D14000"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Expressed as amounts and/or rates, per layer:</w:t>
            </w:r>
          </w:p>
          <w:p w14:paraId="2B911DA9"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Layer 1: CURRENCY / AMOUNT</w:t>
            </w:r>
          </w:p>
          <w:p w14:paraId="792BB82E"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Layer 2: CURRENCY / AMOUNT</w:t>
            </w:r>
          </w:p>
          <w:p w14:paraId="1D45AA1C"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Layer 3: CURRENCY / AMOUNT</w:t>
            </w:r>
          </w:p>
        </w:tc>
      </w:tr>
      <w:tr w:rsidR="00592C29" w14:paraId="02701820" w14:textId="77777777">
        <w:tc>
          <w:tcPr>
            <w:tcW w:w="2887" w:type="dxa"/>
            <w:tcBorders>
              <w:top w:val="single" w:sz="8" w:space="0" w:color="A3A3A3"/>
              <w:bottom w:val="single" w:sz="8" w:space="0" w:color="A3A3A3"/>
              <w:right w:val="single" w:sz="8" w:space="0" w:color="A3A3A3"/>
            </w:tcBorders>
            <w:tcMar>
              <w:top w:w="80" w:type="dxa"/>
              <w:left w:w="80" w:type="dxa"/>
              <w:bottom w:w="80" w:type="dxa"/>
              <w:right w:w="80" w:type="dxa"/>
            </w:tcMar>
            <w:hideMark/>
          </w:tcPr>
          <w:p w14:paraId="339AD00C"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lastRenderedPageBreak/>
              <w:t>Premium Instalments</w:t>
            </w:r>
          </w:p>
        </w:tc>
        <w:tc>
          <w:tcPr>
            <w:tcW w:w="5898" w:type="dxa"/>
            <w:tcBorders>
              <w:top w:val="single" w:sz="8" w:space="0" w:color="A3A3A3"/>
              <w:left w:val="single" w:sz="8" w:space="0" w:color="A3A3A3"/>
              <w:bottom w:val="single" w:sz="8" w:space="0" w:color="A3A3A3"/>
            </w:tcBorders>
            <w:tcMar>
              <w:top w:w="80" w:type="dxa"/>
              <w:left w:w="80" w:type="dxa"/>
              <w:bottom w:w="80" w:type="dxa"/>
              <w:right w:w="80" w:type="dxa"/>
            </w:tcMar>
            <w:hideMark/>
          </w:tcPr>
          <w:p w14:paraId="552C1946"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 xml:space="preserve">Payable in &lt;NUMBER&gt; &lt;TYPE&gt; instalments on DATE / DATE / DATE </w:t>
            </w:r>
            <w:proofErr w:type="spellStart"/>
            <w:r>
              <w:rPr>
                <w:rFonts w:ascii="Calibri" w:eastAsia="Calibri" w:hAnsi="Calibri" w:cs="Calibri"/>
                <w:color w:val="000000"/>
                <w:sz w:val="22"/>
                <w:szCs w:val="22"/>
              </w:rPr>
              <w:t>etc</w:t>
            </w:r>
            <w:proofErr w:type="spellEnd"/>
          </w:p>
          <w:p w14:paraId="17D2861F" w14:textId="77777777" w:rsidR="00592C29" w:rsidRDefault="0048296D">
            <w:pPr>
              <w:spacing w:after="200" w:line="276" w:lineRule="auto"/>
              <w:rPr>
                <w:color w:val="000000"/>
                <w:sz w:val="22"/>
                <w:szCs w:val="22"/>
              </w:rPr>
            </w:pPr>
            <w:r>
              <w:rPr>
                <w:rFonts w:ascii="Calibri" w:eastAsia="Calibri" w:hAnsi="Calibri" w:cs="Calibri"/>
                <w:i/>
                <w:iCs/>
                <w:color w:val="000000"/>
                <w:sz w:val="22"/>
                <w:szCs w:val="22"/>
              </w:rPr>
              <w:t xml:space="preserve">Note: Can also be contained in the </w:t>
            </w:r>
            <w:r>
              <w:rPr>
                <w:rFonts w:ascii="Calibri" w:eastAsia="Calibri" w:hAnsi="Calibri" w:cs="Calibri"/>
                <w:b/>
                <w:bCs/>
                <w:i/>
                <w:iCs/>
                <w:color w:val="000000"/>
                <w:sz w:val="22"/>
                <w:szCs w:val="22"/>
              </w:rPr>
              <w:t>Premium</w:t>
            </w:r>
            <w:r>
              <w:rPr>
                <w:rFonts w:ascii="Calibri" w:eastAsia="Calibri" w:hAnsi="Calibri" w:cs="Calibri"/>
                <w:i/>
                <w:iCs/>
                <w:color w:val="000000"/>
                <w:sz w:val="22"/>
                <w:szCs w:val="22"/>
              </w:rPr>
              <w:t xml:space="preserve"> Heading</w:t>
            </w:r>
          </w:p>
        </w:tc>
      </w:tr>
      <w:tr w:rsidR="00592C29" w14:paraId="50989CB4" w14:textId="77777777">
        <w:tc>
          <w:tcPr>
            <w:tcW w:w="2887" w:type="dxa"/>
            <w:tcBorders>
              <w:top w:val="single" w:sz="8" w:space="0" w:color="A3A3A3"/>
              <w:bottom w:val="single" w:sz="8" w:space="0" w:color="A3A3A3"/>
              <w:right w:val="single" w:sz="8" w:space="0" w:color="A3A3A3"/>
            </w:tcBorders>
            <w:tcMar>
              <w:top w:w="80" w:type="dxa"/>
              <w:left w:w="80" w:type="dxa"/>
              <w:bottom w:w="80" w:type="dxa"/>
              <w:right w:w="80" w:type="dxa"/>
            </w:tcMar>
            <w:hideMark/>
          </w:tcPr>
          <w:p w14:paraId="215A3455"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Limits [PRORITY AND LIMIT, LIABILITY, SUMS INSURED]</w:t>
            </w:r>
          </w:p>
        </w:tc>
        <w:tc>
          <w:tcPr>
            <w:tcW w:w="5898" w:type="dxa"/>
            <w:tcBorders>
              <w:top w:val="single" w:sz="8" w:space="0" w:color="A3A3A3"/>
              <w:left w:val="single" w:sz="8" w:space="0" w:color="A3A3A3"/>
              <w:bottom w:val="single" w:sz="8" w:space="0" w:color="A3A3A3"/>
            </w:tcBorders>
            <w:tcMar>
              <w:top w:w="80" w:type="dxa"/>
              <w:left w:w="80" w:type="dxa"/>
              <w:bottom w:w="80" w:type="dxa"/>
              <w:right w:w="80" w:type="dxa"/>
            </w:tcMar>
            <w:hideMark/>
          </w:tcPr>
          <w:p w14:paraId="1C9656E8"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Layer 1: CURRENCY / AMOUNT</w:t>
            </w:r>
            <w:r>
              <w:rPr>
                <w:rFonts w:ascii="Calibri" w:eastAsia="Calibri" w:hAnsi="Calibri" w:cs="Calibri"/>
                <w:i/>
                <w:iCs/>
                <w:color w:val="000000"/>
                <w:sz w:val="22"/>
                <w:szCs w:val="22"/>
              </w:rPr>
              <w:t xml:space="preserve"> </w:t>
            </w:r>
            <w:r>
              <w:rPr>
                <w:rFonts w:ascii="Calibri" w:eastAsia="Calibri" w:hAnsi="Calibri" w:cs="Calibri"/>
                <w:color w:val="000000"/>
                <w:sz w:val="22"/>
                <w:szCs w:val="22"/>
              </w:rPr>
              <w:t>per event</w:t>
            </w:r>
          </w:p>
          <w:p w14:paraId="4E90CB56"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Layer 2: CURRENCY / AMOUNT</w:t>
            </w:r>
            <w:r>
              <w:rPr>
                <w:rFonts w:ascii="Calibri" w:eastAsia="Calibri" w:hAnsi="Calibri" w:cs="Calibri"/>
                <w:i/>
                <w:iCs/>
                <w:color w:val="000000"/>
                <w:sz w:val="22"/>
                <w:szCs w:val="22"/>
              </w:rPr>
              <w:t xml:space="preserve"> </w:t>
            </w:r>
            <w:r>
              <w:rPr>
                <w:rFonts w:ascii="Calibri" w:eastAsia="Calibri" w:hAnsi="Calibri" w:cs="Calibri"/>
                <w:color w:val="000000"/>
                <w:sz w:val="22"/>
                <w:szCs w:val="22"/>
              </w:rPr>
              <w:t xml:space="preserve">per event </w:t>
            </w:r>
          </w:p>
          <w:p w14:paraId="23D57FE8"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Layer 3: CURRENCY / AMOUNT</w:t>
            </w:r>
            <w:r>
              <w:rPr>
                <w:rFonts w:ascii="Calibri" w:eastAsia="Calibri" w:hAnsi="Calibri" w:cs="Calibri"/>
                <w:i/>
                <w:iCs/>
                <w:color w:val="000000"/>
                <w:sz w:val="22"/>
                <w:szCs w:val="22"/>
              </w:rPr>
              <w:t xml:space="preserve"> </w:t>
            </w:r>
            <w:r>
              <w:rPr>
                <w:rFonts w:ascii="Calibri" w:eastAsia="Calibri" w:hAnsi="Calibri" w:cs="Calibri"/>
                <w:color w:val="000000"/>
                <w:sz w:val="22"/>
                <w:szCs w:val="22"/>
              </w:rPr>
              <w:t>per event</w:t>
            </w:r>
          </w:p>
        </w:tc>
      </w:tr>
      <w:tr w:rsidR="00592C29" w14:paraId="58887E2C" w14:textId="77777777">
        <w:tc>
          <w:tcPr>
            <w:tcW w:w="2887" w:type="dxa"/>
            <w:tcBorders>
              <w:top w:val="single" w:sz="8" w:space="0" w:color="A3A3A3"/>
              <w:bottom w:val="single" w:sz="8" w:space="0" w:color="A3A3A3"/>
              <w:right w:val="single" w:sz="8" w:space="0" w:color="A3A3A3"/>
            </w:tcBorders>
            <w:tcMar>
              <w:top w:w="80" w:type="dxa"/>
              <w:left w:w="80" w:type="dxa"/>
              <w:bottom w:w="80" w:type="dxa"/>
              <w:right w:w="80" w:type="dxa"/>
            </w:tcMar>
            <w:hideMark/>
          </w:tcPr>
          <w:p w14:paraId="09C092CA"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RETENTION [PRIORITY, EXCESS, DEDUCIBLE]</w:t>
            </w:r>
          </w:p>
        </w:tc>
        <w:tc>
          <w:tcPr>
            <w:tcW w:w="5898" w:type="dxa"/>
            <w:tcBorders>
              <w:top w:val="single" w:sz="8" w:space="0" w:color="A3A3A3"/>
              <w:left w:val="single" w:sz="8" w:space="0" w:color="A3A3A3"/>
              <w:bottom w:val="single" w:sz="8" w:space="0" w:color="A3A3A3"/>
            </w:tcBorders>
            <w:tcMar>
              <w:top w:w="80" w:type="dxa"/>
              <w:left w:w="80" w:type="dxa"/>
              <w:bottom w:w="80" w:type="dxa"/>
              <w:right w:w="80" w:type="dxa"/>
            </w:tcMar>
            <w:hideMark/>
          </w:tcPr>
          <w:p w14:paraId="3BCC0A5A"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Layer 1: CURRENCY / AMOUNT</w:t>
            </w:r>
            <w:r>
              <w:rPr>
                <w:rFonts w:ascii="Calibri" w:eastAsia="Calibri" w:hAnsi="Calibri" w:cs="Calibri"/>
                <w:i/>
                <w:iCs/>
                <w:color w:val="000000"/>
                <w:sz w:val="22"/>
                <w:szCs w:val="22"/>
              </w:rPr>
              <w:t xml:space="preserve"> </w:t>
            </w:r>
            <w:r>
              <w:rPr>
                <w:rFonts w:ascii="Calibri" w:eastAsia="Calibri" w:hAnsi="Calibri" w:cs="Calibri"/>
                <w:color w:val="000000"/>
                <w:sz w:val="22"/>
                <w:szCs w:val="22"/>
              </w:rPr>
              <w:t xml:space="preserve">per event </w:t>
            </w:r>
          </w:p>
          <w:p w14:paraId="1DB5F6AA"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Layer 2: CURRENCY / AMOUNT</w:t>
            </w:r>
            <w:r>
              <w:rPr>
                <w:rFonts w:ascii="Calibri" w:eastAsia="Calibri" w:hAnsi="Calibri" w:cs="Calibri"/>
                <w:i/>
                <w:iCs/>
                <w:color w:val="000000"/>
                <w:sz w:val="22"/>
                <w:szCs w:val="22"/>
              </w:rPr>
              <w:t xml:space="preserve"> </w:t>
            </w:r>
            <w:r>
              <w:rPr>
                <w:rFonts w:ascii="Calibri" w:eastAsia="Calibri" w:hAnsi="Calibri" w:cs="Calibri"/>
                <w:color w:val="000000"/>
                <w:sz w:val="22"/>
                <w:szCs w:val="22"/>
              </w:rPr>
              <w:t>per event</w:t>
            </w:r>
          </w:p>
          <w:p w14:paraId="68C494AC"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Layer 3: CURRENCY / AMOUNT</w:t>
            </w:r>
            <w:r>
              <w:rPr>
                <w:rFonts w:ascii="Calibri" w:eastAsia="Calibri" w:hAnsi="Calibri" w:cs="Calibri"/>
                <w:i/>
                <w:iCs/>
                <w:color w:val="000000"/>
                <w:sz w:val="22"/>
                <w:szCs w:val="22"/>
              </w:rPr>
              <w:t xml:space="preserve"> </w:t>
            </w:r>
            <w:r>
              <w:rPr>
                <w:rFonts w:ascii="Calibri" w:eastAsia="Calibri" w:hAnsi="Calibri" w:cs="Calibri"/>
                <w:color w:val="000000"/>
                <w:sz w:val="22"/>
                <w:szCs w:val="22"/>
              </w:rPr>
              <w:t>per event</w:t>
            </w:r>
          </w:p>
        </w:tc>
      </w:tr>
      <w:tr w:rsidR="00592C29" w14:paraId="25791F2D" w14:textId="77777777">
        <w:tc>
          <w:tcPr>
            <w:tcW w:w="2887" w:type="dxa"/>
            <w:tcBorders>
              <w:top w:val="single" w:sz="8" w:space="0" w:color="A3A3A3"/>
              <w:right w:val="single" w:sz="8" w:space="0" w:color="A3A3A3"/>
            </w:tcBorders>
            <w:tcMar>
              <w:top w:w="80" w:type="dxa"/>
              <w:left w:w="80" w:type="dxa"/>
              <w:bottom w:w="80" w:type="dxa"/>
              <w:right w:w="80" w:type="dxa"/>
            </w:tcMar>
            <w:hideMark/>
          </w:tcPr>
          <w:p w14:paraId="075D4936"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Reinstatements</w:t>
            </w:r>
          </w:p>
        </w:tc>
        <w:tc>
          <w:tcPr>
            <w:tcW w:w="5898" w:type="dxa"/>
            <w:tcBorders>
              <w:top w:val="single" w:sz="8" w:space="0" w:color="A3A3A3"/>
              <w:left w:val="single" w:sz="8" w:space="0" w:color="A3A3A3"/>
            </w:tcBorders>
            <w:tcMar>
              <w:top w:w="80" w:type="dxa"/>
              <w:left w:w="80" w:type="dxa"/>
              <w:bottom w:w="80" w:type="dxa"/>
              <w:right w:w="80" w:type="dxa"/>
            </w:tcMar>
            <w:hideMark/>
          </w:tcPr>
          <w:p w14:paraId="20CE4D53"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Layer 1: X reinstatements at X% additional premium</w:t>
            </w:r>
            <w:r>
              <w:rPr>
                <w:rFonts w:ascii="Calibri" w:eastAsia="Calibri" w:hAnsi="Calibri" w:cs="Calibri"/>
                <w:color w:val="000000"/>
                <w:sz w:val="22"/>
                <w:szCs w:val="22"/>
              </w:rPr>
              <w:br/>
              <w:t>Layer 2: X reinstatements at X% additional premium</w:t>
            </w:r>
            <w:r>
              <w:rPr>
                <w:rFonts w:ascii="Calibri" w:eastAsia="Calibri" w:hAnsi="Calibri" w:cs="Calibri"/>
                <w:color w:val="000000"/>
                <w:sz w:val="22"/>
                <w:szCs w:val="22"/>
              </w:rPr>
              <w:br/>
              <w:t>Layer 3: X reinstatement at X% additional premium</w:t>
            </w:r>
          </w:p>
        </w:tc>
      </w:tr>
    </w:tbl>
    <w:p w14:paraId="32ADD9C4" w14:textId="77777777" w:rsidR="00592C29" w:rsidRDefault="00592C29">
      <w:pPr>
        <w:spacing w:before="120"/>
        <w:jc w:val="both"/>
        <w:rPr>
          <w:sz w:val="22"/>
          <w:szCs w:val="22"/>
        </w:rPr>
      </w:pPr>
    </w:p>
    <w:p w14:paraId="5287F491" w14:textId="77777777" w:rsidR="00592C29" w:rsidRDefault="0048296D">
      <w:pPr>
        <w:spacing w:after="200" w:line="276" w:lineRule="auto"/>
        <w:rPr>
          <w:sz w:val="22"/>
          <w:szCs w:val="22"/>
        </w:rPr>
      </w:pPr>
      <w:r>
        <w:rPr>
          <w:sz w:val="22"/>
          <w:szCs w:val="22"/>
        </w:rPr>
        <w:br w:type="page"/>
      </w:r>
      <w:r>
        <w:rPr>
          <w:rFonts w:ascii="Calibri" w:eastAsia="Calibri" w:hAnsi="Calibri" w:cs="Calibri"/>
          <w:sz w:val="22"/>
          <w:szCs w:val="22"/>
          <w:u w:val="single"/>
        </w:rPr>
        <w:lastRenderedPageBreak/>
        <w:t>Example</w:t>
      </w:r>
    </w:p>
    <w:tbl>
      <w:tblPr>
        <w:tblW w:w="0" w:type="auto"/>
        <w:tblInd w:w="55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542"/>
        <w:gridCol w:w="5840"/>
      </w:tblGrid>
      <w:tr w:rsidR="00592C29" w14:paraId="50B60FAF" w14:textId="77777777">
        <w:tc>
          <w:tcPr>
            <w:tcW w:w="8382" w:type="dxa"/>
            <w:gridSpan w:val="2"/>
            <w:tcBorders>
              <w:bottom w:val="single" w:sz="8" w:space="0" w:color="A3A3A3"/>
            </w:tcBorders>
            <w:shd w:val="clear" w:color="auto" w:fill="D9D9D9"/>
            <w:tcMar>
              <w:top w:w="80" w:type="dxa"/>
              <w:left w:w="80" w:type="dxa"/>
              <w:bottom w:w="80" w:type="dxa"/>
              <w:right w:w="80" w:type="dxa"/>
            </w:tcMar>
            <w:hideMark/>
          </w:tcPr>
          <w:p w14:paraId="44BE39A4" w14:textId="77777777" w:rsidR="00592C29" w:rsidRDefault="0048296D">
            <w:pPr>
              <w:spacing w:after="200" w:line="276" w:lineRule="auto"/>
              <w:ind w:firstLine="410"/>
              <w:rPr>
                <w:color w:val="000000"/>
                <w:sz w:val="22"/>
                <w:szCs w:val="22"/>
              </w:rPr>
            </w:pPr>
            <w:r>
              <w:rPr>
                <w:rFonts w:ascii="Calibri" w:eastAsia="Calibri" w:hAnsi="Calibri" w:cs="Calibri"/>
                <w:b/>
                <w:bCs/>
                <w:color w:val="000000"/>
                <w:sz w:val="22"/>
                <w:szCs w:val="22"/>
              </w:rPr>
              <w:t xml:space="preserve">Risk Details </w:t>
            </w:r>
          </w:p>
        </w:tc>
      </w:tr>
      <w:tr w:rsidR="00592C29" w14:paraId="5E4A2D12" w14:textId="77777777">
        <w:tc>
          <w:tcPr>
            <w:tcW w:w="2542" w:type="dxa"/>
            <w:tcBorders>
              <w:top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14:paraId="738494DF" w14:textId="77777777" w:rsidR="00592C29" w:rsidRDefault="0048296D">
            <w:pPr>
              <w:spacing w:after="200" w:line="276" w:lineRule="auto"/>
              <w:rPr>
                <w:color w:val="000000"/>
                <w:sz w:val="22"/>
                <w:szCs w:val="22"/>
              </w:rPr>
            </w:pPr>
            <w:r>
              <w:rPr>
                <w:rFonts w:ascii="Calibri" w:eastAsia="Calibri" w:hAnsi="Calibri" w:cs="Calibri"/>
                <w:b/>
                <w:bCs/>
                <w:color w:val="000000"/>
                <w:sz w:val="22"/>
                <w:szCs w:val="22"/>
              </w:rPr>
              <w:t>Heading</w:t>
            </w:r>
          </w:p>
        </w:tc>
        <w:tc>
          <w:tcPr>
            <w:tcW w:w="5840" w:type="dxa"/>
            <w:tcBorders>
              <w:top w:val="single" w:sz="8" w:space="0" w:color="A3A3A3"/>
              <w:left w:val="single" w:sz="8" w:space="0" w:color="A3A3A3"/>
              <w:bottom w:val="single" w:sz="8" w:space="0" w:color="A3A3A3"/>
            </w:tcBorders>
            <w:shd w:val="clear" w:color="auto" w:fill="D9D9D9"/>
            <w:tcMar>
              <w:top w:w="80" w:type="dxa"/>
              <w:left w:w="80" w:type="dxa"/>
              <w:bottom w:w="80" w:type="dxa"/>
              <w:right w:w="80" w:type="dxa"/>
            </w:tcMar>
            <w:hideMark/>
          </w:tcPr>
          <w:p w14:paraId="40502938" w14:textId="77777777" w:rsidR="00592C29" w:rsidRDefault="0048296D">
            <w:pPr>
              <w:spacing w:after="200" w:line="276" w:lineRule="auto"/>
              <w:rPr>
                <w:color w:val="000000"/>
                <w:sz w:val="22"/>
                <w:szCs w:val="22"/>
              </w:rPr>
            </w:pPr>
            <w:r>
              <w:rPr>
                <w:rFonts w:ascii="Calibri" w:eastAsia="Calibri" w:hAnsi="Calibri" w:cs="Calibri"/>
                <w:b/>
                <w:bCs/>
                <w:color w:val="000000"/>
                <w:sz w:val="22"/>
                <w:szCs w:val="22"/>
              </w:rPr>
              <w:t>Examples</w:t>
            </w:r>
          </w:p>
        </w:tc>
      </w:tr>
      <w:tr w:rsidR="00592C29" w14:paraId="0032FE4A" w14:textId="77777777">
        <w:tc>
          <w:tcPr>
            <w:tcW w:w="2542" w:type="dxa"/>
            <w:tcBorders>
              <w:top w:val="single" w:sz="8" w:space="0" w:color="A3A3A3"/>
              <w:bottom w:val="single" w:sz="8" w:space="0" w:color="A3A3A3"/>
              <w:right w:val="single" w:sz="8" w:space="0" w:color="A3A3A3"/>
            </w:tcBorders>
            <w:tcMar>
              <w:top w:w="80" w:type="dxa"/>
              <w:left w:w="80" w:type="dxa"/>
              <w:bottom w:w="80" w:type="dxa"/>
              <w:right w:w="80" w:type="dxa"/>
            </w:tcMar>
            <w:hideMark/>
          </w:tcPr>
          <w:p w14:paraId="5EB002AC"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UMR</w:t>
            </w:r>
          </w:p>
        </w:tc>
        <w:tc>
          <w:tcPr>
            <w:tcW w:w="5840" w:type="dxa"/>
            <w:tcBorders>
              <w:top w:val="single" w:sz="8" w:space="0" w:color="A3A3A3"/>
              <w:left w:val="single" w:sz="8" w:space="0" w:color="A3A3A3"/>
              <w:bottom w:val="single" w:sz="8" w:space="0" w:color="A3A3A3"/>
            </w:tcBorders>
            <w:tcMar>
              <w:top w:w="80" w:type="dxa"/>
              <w:left w:w="80" w:type="dxa"/>
              <w:bottom w:w="80" w:type="dxa"/>
              <w:right w:w="80" w:type="dxa"/>
            </w:tcMar>
            <w:hideMark/>
          </w:tcPr>
          <w:p w14:paraId="21637959"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B080123456A18</w:t>
            </w:r>
          </w:p>
        </w:tc>
      </w:tr>
      <w:tr w:rsidR="00592C29" w14:paraId="4FC4CA9C" w14:textId="77777777">
        <w:tc>
          <w:tcPr>
            <w:tcW w:w="2542" w:type="dxa"/>
            <w:tcBorders>
              <w:top w:val="single" w:sz="8" w:space="0" w:color="A3A3A3"/>
              <w:bottom w:val="single" w:sz="8" w:space="0" w:color="A3A3A3"/>
              <w:right w:val="single" w:sz="8" w:space="0" w:color="A3A3A3"/>
            </w:tcBorders>
            <w:tcMar>
              <w:top w:w="80" w:type="dxa"/>
              <w:left w:w="80" w:type="dxa"/>
              <w:bottom w:w="80" w:type="dxa"/>
              <w:right w:w="80" w:type="dxa"/>
            </w:tcMar>
            <w:hideMark/>
          </w:tcPr>
          <w:p w14:paraId="3F51FDC7"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Class of Business</w:t>
            </w:r>
          </w:p>
        </w:tc>
        <w:tc>
          <w:tcPr>
            <w:tcW w:w="5840" w:type="dxa"/>
            <w:tcBorders>
              <w:top w:val="single" w:sz="8" w:space="0" w:color="A3A3A3"/>
              <w:left w:val="single" w:sz="8" w:space="0" w:color="A3A3A3"/>
              <w:bottom w:val="single" w:sz="8" w:space="0" w:color="A3A3A3"/>
            </w:tcBorders>
            <w:tcMar>
              <w:top w:w="80" w:type="dxa"/>
              <w:left w:w="80" w:type="dxa"/>
              <w:bottom w:w="80" w:type="dxa"/>
              <w:right w:w="80" w:type="dxa"/>
            </w:tcMar>
            <w:hideMark/>
          </w:tcPr>
          <w:p w14:paraId="47818B2B"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Property</w:t>
            </w:r>
          </w:p>
        </w:tc>
      </w:tr>
      <w:tr w:rsidR="00592C29" w14:paraId="110C0050" w14:textId="77777777">
        <w:tc>
          <w:tcPr>
            <w:tcW w:w="2542" w:type="dxa"/>
            <w:tcBorders>
              <w:top w:val="single" w:sz="8" w:space="0" w:color="A3A3A3"/>
              <w:bottom w:val="single" w:sz="8" w:space="0" w:color="A3A3A3"/>
              <w:right w:val="single" w:sz="8" w:space="0" w:color="A3A3A3"/>
            </w:tcBorders>
            <w:tcMar>
              <w:top w:w="80" w:type="dxa"/>
              <w:left w:w="80" w:type="dxa"/>
              <w:bottom w:w="80" w:type="dxa"/>
              <w:right w:w="80" w:type="dxa"/>
            </w:tcMar>
            <w:hideMark/>
          </w:tcPr>
          <w:p w14:paraId="4B9DA248"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Type of Risk</w:t>
            </w:r>
          </w:p>
        </w:tc>
        <w:tc>
          <w:tcPr>
            <w:tcW w:w="5840" w:type="dxa"/>
            <w:tcBorders>
              <w:top w:val="single" w:sz="8" w:space="0" w:color="A3A3A3"/>
              <w:left w:val="single" w:sz="8" w:space="0" w:color="A3A3A3"/>
              <w:bottom w:val="single" w:sz="8" w:space="0" w:color="A3A3A3"/>
            </w:tcBorders>
            <w:tcMar>
              <w:top w:w="80" w:type="dxa"/>
              <w:left w:w="80" w:type="dxa"/>
              <w:bottom w:w="80" w:type="dxa"/>
              <w:right w:w="80" w:type="dxa"/>
            </w:tcMar>
            <w:hideMark/>
          </w:tcPr>
          <w:p w14:paraId="7967754D"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Property Catastrophe Excess of Loss</w:t>
            </w:r>
          </w:p>
        </w:tc>
      </w:tr>
      <w:tr w:rsidR="00592C29" w14:paraId="648F01DB" w14:textId="77777777">
        <w:tc>
          <w:tcPr>
            <w:tcW w:w="2542" w:type="dxa"/>
            <w:tcBorders>
              <w:top w:val="single" w:sz="8" w:space="0" w:color="A3A3A3"/>
              <w:bottom w:val="single" w:sz="8" w:space="0" w:color="A3A3A3"/>
              <w:right w:val="single" w:sz="8" w:space="0" w:color="A3A3A3"/>
            </w:tcBorders>
            <w:tcMar>
              <w:top w:w="80" w:type="dxa"/>
              <w:left w:w="80" w:type="dxa"/>
              <w:bottom w:w="80" w:type="dxa"/>
              <w:right w:w="80" w:type="dxa"/>
            </w:tcMar>
            <w:hideMark/>
          </w:tcPr>
          <w:p w14:paraId="1474C1ED"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Re/Insured Name</w:t>
            </w:r>
          </w:p>
        </w:tc>
        <w:tc>
          <w:tcPr>
            <w:tcW w:w="5840" w:type="dxa"/>
            <w:tcBorders>
              <w:top w:val="single" w:sz="8" w:space="0" w:color="A3A3A3"/>
              <w:left w:val="single" w:sz="8" w:space="0" w:color="A3A3A3"/>
              <w:bottom w:val="single" w:sz="8" w:space="0" w:color="A3A3A3"/>
            </w:tcBorders>
            <w:tcMar>
              <w:top w:w="80" w:type="dxa"/>
              <w:left w:w="80" w:type="dxa"/>
              <w:bottom w:w="80" w:type="dxa"/>
              <w:right w:w="80" w:type="dxa"/>
            </w:tcMar>
            <w:hideMark/>
          </w:tcPr>
          <w:p w14:paraId="5E4051CD"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ABC  AG</w:t>
            </w:r>
          </w:p>
        </w:tc>
      </w:tr>
      <w:tr w:rsidR="00592C29" w14:paraId="6F31F4E2" w14:textId="77777777">
        <w:tc>
          <w:tcPr>
            <w:tcW w:w="2542" w:type="dxa"/>
            <w:tcBorders>
              <w:top w:val="single" w:sz="8" w:space="0" w:color="A3A3A3"/>
              <w:bottom w:val="single" w:sz="8" w:space="0" w:color="A3A3A3"/>
              <w:right w:val="single" w:sz="8" w:space="0" w:color="A3A3A3"/>
            </w:tcBorders>
            <w:tcMar>
              <w:top w:w="80" w:type="dxa"/>
              <w:left w:w="80" w:type="dxa"/>
              <w:bottom w:w="80" w:type="dxa"/>
              <w:right w:w="80" w:type="dxa"/>
            </w:tcMar>
            <w:hideMark/>
          </w:tcPr>
          <w:p w14:paraId="5D472D56"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Re/Insured Address</w:t>
            </w:r>
          </w:p>
        </w:tc>
        <w:tc>
          <w:tcPr>
            <w:tcW w:w="5840" w:type="dxa"/>
            <w:tcBorders>
              <w:top w:val="single" w:sz="8" w:space="0" w:color="A3A3A3"/>
              <w:left w:val="single" w:sz="8" w:space="0" w:color="A3A3A3"/>
              <w:bottom w:val="single" w:sz="8" w:space="0" w:color="A3A3A3"/>
            </w:tcBorders>
            <w:tcMar>
              <w:top w:w="80" w:type="dxa"/>
              <w:left w:w="80" w:type="dxa"/>
              <w:bottom w:w="80" w:type="dxa"/>
              <w:right w:w="80" w:type="dxa"/>
            </w:tcMar>
            <w:hideMark/>
          </w:tcPr>
          <w:p w14:paraId="0EA322F9"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ABC AG</w:t>
            </w:r>
          </w:p>
          <w:p w14:paraId="23815F0F"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Munster,  47831</w:t>
            </w:r>
          </w:p>
          <w:p w14:paraId="3528898F"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Germany</w:t>
            </w:r>
          </w:p>
        </w:tc>
      </w:tr>
      <w:tr w:rsidR="00592C29" w14:paraId="028E3ABD" w14:textId="77777777">
        <w:tc>
          <w:tcPr>
            <w:tcW w:w="2542" w:type="dxa"/>
            <w:tcBorders>
              <w:top w:val="single" w:sz="8" w:space="0" w:color="A3A3A3"/>
              <w:bottom w:val="single" w:sz="8" w:space="0" w:color="A3A3A3"/>
              <w:right w:val="single" w:sz="8" w:space="0" w:color="A3A3A3"/>
            </w:tcBorders>
            <w:tcMar>
              <w:top w:w="80" w:type="dxa"/>
              <w:left w:w="80" w:type="dxa"/>
              <w:bottom w:w="80" w:type="dxa"/>
              <w:right w:w="80" w:type="dxa"/>
            </w:tcMar>
            <w:hideMark/>
          </w:tcPr>
          <w:p w14:paraId="6A8C7C4F"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Period</w:t>
            </w:r>
          </w:p>
        </w:tc>
        <w:tc>
          <w:tcPr>
            <w:tcW w:w="5840" w:type="dxa"/>
            <w:tcBorders>
              <w:top w:val="single" w:sz="8" w:space="0" w:color="A3A3A3"/>
              <w:left w:val="single" w:sz="8" w:space="0" w:color="A3A3A3"/>
              <w:bottom w:val="single" w:sz="8" w:space="0" w:color="A3A3A3"/>
            </w:tcBorders>
            <w:tcMar>
              <w:top w:w="80" w:type="dxa"/>
              <w:left w:w="80" w:type="dxa"/>
              <w:bottom w:w="80" w:type="dxa"/>
              <w:right w:w="80" w:type="dxa"/>
            </w:tcMar>
            <w:hideMark/>
          </w:tcPr>
          <w:p w14:paraId="2A89C66E"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From 01-01-2019 12:00 CET To 31-12/2019 24:00 CET Losses Occurring Basis</w:t>
            </w:r>
            <w:r>
              <w:rPr>
                <w:rFonts w:ascii="Calibri" w:eastAsia="Calibri" w:hAnsi="Calibri" w:cs="Calibri"/>
                <w:color w:val="000000"/>
                <w:sz w:val="22"/>
                <w:szCs w:val="22"/>
              </w:rPr>
              <w:br/>
              <w:t>OR</w:t>
            </w:r>
            <w:r>
              <w:rPr>
                <w:rFonts w:ascii="Calibri" w:eastAsia="Calibri" w:hAnsi="Calibri" w:cs="Calibri"/>
                <w:color w:val="000000"/>
                <w:sz w:val="22"/>
                <w:szCs w:val="22"/>
              </w:rPr>
              <w:br/>
              <w:t>12 months as at 1-January-2019 Losses Occurring Basis</w:t>
            </w:r>
          </w:p>
        </w:tc>
      </w:tr>
      <w:tr w:rsidR="00592C29" w14:paraId="76D1E512" w14:textId="77777777">
        <w:tc>
          <w:tcPr>
            <w:tcW w:w="2542" w:type="dxa"/>
            <w:tcBorders>
              <w:top w:val="single" w:sz="8" w:space="0" w:color="A3A3A3"/>
              <w:bottom w:val="single" w:sz="8" w:space="0" w:color="A3A3A3"/>
              <w:right w:val="single" w:sz="8" w:space="0" w:color="A3A3A3"/>
            </w:tcBorders>
            <w:tcMar>
              <w:top w:w="80" w:type="dxa"/>
              <w:left w:w="80" w:type="dxa"/>
              <w:bottom w:w="80" w:type="dxa"/>
              <w:right w:w="80" w:type="dxa"/>
            </w:tcMar>
            <w:hideMark/>
          </w:tcPr>
          <w:p w14:paraId="257010CB"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Situation</w:t>
            </w:r>
          </w:p>
        </w:tc>
        <w:tc>
          <w:tcPr>
            <w:tcW w:w="5840" w:type="dxa"/>
            <w:tcBorders>
              <w:top w:val="single" w:sz="8" w:space="0" w:color="A3A3A3"/>
              <w:left w:val="single" w:sz="8" w:space="0" w:color="A3A3A3"/>
              <w:bottom w:val="single" w:sz="8" w:space="0" w:color="A3A3A3"/>
            </w:tcBorders>
            <w:tcMar>
              <w:top w:w="80" w:type="dxa"/>
              <w:left w:w="80" w:type="dxa"/>
              <w:bottom w:w="80" w:type="dxa"/>
              <w:right w:w="80" w:type="dxa"/>
            </w:tcMar>
            <w:hideMark/>
          </w:tcPr>
          <w:p w14:paraId="57411510"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Germany</w:t>
            </w:r>
          </w:p>
        </w:tc>
      </w:tr>
      <w:tr w:rsidR="00592C29" w14:paraId="600772C5" w14:textId="77777777">
        <w:tc>
          <w:tcPr>
            <w:tcW w:w="2542" w:type="dxa"/>
            <w:tcBorders>
              <w:top w:val="single" w:sz="8" w:space="0" w:color="A3A3A3"/>
              <w:bottom w:val="single" w:sz="8" w:space="0" w:color="A3A3A3"/>
              <w:right w:val="single" w:sz="8" w:space="0" w:color="A3A3A3"/>
            </w:tcBorders>
            <w:tcMar>
              <w:top w:w="80" w:type="dxa"/>
              <w:left w:w="80" w:type="dxa"/>
              <w:bottom w:w="80" w:type="dxa"/>
              <w:right w:w="80" w:type="dxa"/>
            </w:tcMar>
            <w:hideMark/>
          </w:tcPr>
          <w:p w14:paraId="6D4DD0B5"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CHOICE OF LAW AND JURISDICTION</w:t>
            </w:r>
          </w:p>
        </w:tc>
        <w:tc>
          <w:tcPr>
            <w:tcW w:w="5840" w:type="dxa"/>
            <w:tcBorders>
              <w:top w:val="single" w:sz="8" w:space="0" w:color="A3A3A3"/>
              <w:left w:val="single" w:sz="8" w:space="0" w:color="A3A3A3"/>
              <w:bottom w:val="single" w:sz="8" w:space="0" w:color="A3A3A3"/>
            </w:tcBorders>
            <w:tcMar>
              <w:top w:w="80" w:type="dxa"/>
              <w:left w:w="80" w:type="dxa"/>
              <w:bottom w:w="80" w:type="dxa"/>
              <w:right w:w="80" w:type="dxa"/>
            </w:tcMar>
            <w:hideMark/>
          </w:tcPr>
          <w:p w14:paraId="5D4CA29E"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This Contract is subject to German Law</w:t>
            </w:r>
          </w:p>
        </w:tc>
      </w:tr>
      <w:tr w:rsidR="00592C29" w14:paraId="0B9F18D9" w14:textId="77777777">
        <w:tc>
          <w:tcPr>
            <w:tcW w:w="2542" w:type="dxa"/>
            <w:tcBorders>
              <w:top w:val="single" w:sz="8" w:space="0" w:color="A3A3A3"/>
              <w:bottom w:val="single" w:sz="8" w:space="0" w:color="A3A3A3"/>
              <w:right w:val="single" w:sz="8" w:space="0" w:color="A3A3A3"/>
            </w:tcBorders>
            <w:tcMar>
              <w:top w:w="80" w:type="dxa"/>
              <w:left w:w="80" w:type="dxa"/>
              <w:bottom w:w="80" w:type="dxa"/>
              <w:right w:w="80" w:type="dxa"/>
            </w:tcMar>
            <w:hideMark/>
          </w:tcPr>
          <w:p w14:paraId="18CAD493"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Premium</w:t>
            </w:r>
          </w:p>
        </w:tc>
        <w:tc>
          <w:tcPr>
            <w:tcW w:w="5840" w:type="dxa"/>
            <w:tcBorders>
              <w:top w:val="single" w:sz="8" w:space="0" w:color="A3A3A3"/>
              <w:left w:val="single" w:sz="8" w:space="0" w:color="A3A3A3"/>
              <w:bottom w:val="single" w:sz="8" w:space="0" w:color="A3A3A3"/>
            </w:tcBorders>
            <w:tcMar>
              <w:top w:w="80" w:type="dxa"/>
              <w:left w:w="80" w:type="dxa"/>
              <w:bottom w:w="80" w:type="dxa"/>
              <w:right w:w="80" w:type="dxa"/>
            </w:tcMar>
            <w:hideMark/>
          </w:tcPr>
          <w:p w14:paraId="3849B92F"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Layer 1: EUR 1,000,000</w:t>
            </w:r>
            <w:r>
              <w:rPr>
                <w:rFonts w:ascii="Calibri" w:eastAsia="Calibri" w:hAnsi="Calibri" w:cs="Calibri"/>
                <w:color w:val="000000"/>
                <w:sz w:val="22"/>
                <w:szCs w:val="22"/>
              </w:rPr>
              <w:br/>
              <w:t>Layer 2: EUR 500,000</w:t>
            </w:r>
          </w:p>
          <w:p w14:paraId="7F52193C"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Layer 3: EUR 250,000</w:t>
            </w:r>
            <w:r>
              <w:rPr>
                <w:rFonts w:ascii="Calibri" w:eastAsia="Calibri" w:hAnsi="Calibri" w:cs="Calibri"/>
                <w:color w:val="000000"/>
                <w:sz w:val="22"/>
                <w:szCs w:val="22"/>
              </w:rPr>
              <w:br/>
            </w:r>
            <w:r>
              <w:rPr>
                <w:rFonts w:ascii="Calibri" w:eastAsia="Calibri" w:hAnsi="Calibri" w:cs="Calibri"/>
                <w:i/>
                <w:iCs/>
                <w:color w:val="000000"/>
                <w:sz w:val="22"/>
                <w:szCs w:val="22"/>
              </w:rPr>
              <w:t>Note: Can be expressed as amounts and/or rates</w:t>
            </w:r>
          </w:p>
        </w:tc>
      </w:tr>
      <w:tr w:rsidR="00592C29" w14:paraId="6FA7744E" w14:textId="77777777">
        <w:tc>
          <w:tcPr>
            <w:tcW w:w="2542" w:type="dxa"/>
            <w:tcBorders>
              <w:top w:val="single" w:sz="8" w:space="0" w:color="A3A3A3"/>
              <w:bottom w:val="single" w:sz="8" w:space="0" w:color="A3A3A3"/>
              <w:right w:val="single" w:sz="8" w:space="0" w:color="A3A3A3"/>
            </w:tcBorders>
            <w:tcMar>
              <w:top w:w="80" w:type="dxa"/>
              <w:left w:w="80" w:type="dxa"/>
              <w:bottom w:w="80" w:type="dxa"/>
              <w:right w:w="80" w:type="dxa"/>
            </w:tcMar>
            <w:hideMark/>
          </w:tcPr>
          <w:p w14:paraId="7188EEA8"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Premium Instalments</w:t>
            </w:r>
          </w:p>
        </w:tc>
        <w:tc>
          <w:tcPr>
            <w:tcW w:w="5840" w:type="dxa"/>
            <w:tcBorders>
              <w:top w:val="single" w:sz="8" w:space="0" w:color="A3A3A3"/>
              <w:left w:val="single" w:sz="8" w:space="0" w:color="A3A3A3"/>
              <w:bottom w:val="single" w:sz="8" w:space="0" w:color="A3A3A3"/>
            </w:tcBorders>
            <w:tcMar>
              <w:top w:w="80" w:type="dxa"/>
              <w:left w:w="80" w:type="dxa"/>
              <w:bottom w:w="80" w:type="dxa"/>
              <w:right w:w="80" w:type="dxa"/>
            </w:tcMar>
            <w:hideMark/>
          </w:tcPr>
          <w:p w14:paraId="2D389B38"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Payable in two equal instalments on 1st March and 1st August</w:t>
            </w:r>
            <w:r>
              <w:rPr>
                <w:rFonts w:ascii="Calibri" w:eastAsia="Calibri" w:hAnsi="Calibri" w:cs="Calibri"/>
                <w:color w:val="000000"/>
                <w:sz w:val="22"/>
                <w:szCs w:val="22"/>
              </w:rPr>
              <w:br/>
            </w:r>
            <w:r>
              <w:rPr>
                <w:rFonts w:ascii="Calibri" w:eastAsia="Calibri" w:hAnsi="Calibri" w:cs="Calibri"/>
                <w:i/>
                <w:iCs/>
                <w:color w:val="000000"/>
                <w:sz w:val="22"/>
                <w:szCs w:val="22"/>
              </w:rPr>
              <w:t xml:space="preserve">Note: Can also be contained in the </w:t>
            </w:r>
            <w:r>
              <w:rPr>
                <w:rFonts w:ascii="Calibri" w:eastAsia="Calibri" w:hAnsi="Calibri" w:cs="Calibri"/>
                <w:b/>
                <w:bCs/>
                <w:i/>
                <w:iCs/>
                <w:color w:val="000000"/>
                <w:sz w:val="22"/>
                <w:szCs w:val="22"/>
              </w:rPr>
              <w:t>Premium</w:t>
            </w:r>
            <w:r>
              <w:rPr>
                <w:rFonts w:ascii="Calibri" w:eastAsia="Calibri" w:hAnsi="Calibri" w:cs="Calibri"/>
                <w:i/>
                <w:iCs/>
                <w:color w:val="000000"/>
                <w:sz w:val="22"/>
                <w:szCs w:val="22"/>
              </w:rPr>
              <w:t xml:space="preserve"> Heading</w:t>
            </w:r>
          </w:p>
        </w:tc>
      </w:tr>
      <w:tr w:rsidR="00592C29" w14:paraId="4E19C8B9" w14:textId="77777777">
        <w:tc>
          <w:tcPr>
            <w:tcW w:w="2542" w:type="dxa"/>
            <w:tcBorders>
              <w:top w:val="single" w:sz="8" w:space="0" w:color="A3A3A3"/>
              <w:bottom w:val="single" w:sz="8" w:space="0" w:color="A3A3A3"/>
              <w:right w:val="single" w:sz="8" w:space="0" w:color="A3A3A3"/>
            </w:tcBorders>
            <w:tcMar>
              <w:top w:w="80" w:type="dxa"/>
              <w:left w:w="80" w:type="dxa"/>
              <w:bottom w:w="80" w:type="dxa"/>
              <w:right w:w="80" w:type="dxa"/>
            </w:tcMar>
            <w:hideMark/>
          </w:tcPr>
          <w:p w14:paraId="0625C0B0"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Limits</w:t>
            </w:r>
          </w:p>
        </w:tc>
        <w:tc>
          <w:tcPr>
            <w:tcW w:w="5840" w:type="dxa"/>
            <w:tcBorders>
              <w:top w:val="single" w:sz="8" w:space="0" w:color="A3A3A3"/>
              <w:left w:val="single" w:sz="8" w:space="0" w:color="A3A3A3"/>
              <w:bottom w:val="single" w:sz="8" w:space="0" w:color="A3A3A3"/>
            </w:tcBorders>
            <w:tcMar>
              <w:top w:w="80" w:type="dxa"/>
              <w:left w:w="80" w:type="dxa"/>
              <w:bottom w:w="80" w:type="dxa"/>
              <w:right w:w="80" w:type="dxa"/>
            </w:tcMar>
            <w:hideMark/>
          </w:tcPr>
          <w:p w14:paraId="715DC639"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Layer 1: EUR 60,000,000 per event</w:t>
            </w:r>
          </w:p>
          <w:p w14:paraId="358A71F1"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Layer 2: EUR 100,000,000 per event</w:t>
            </w:r>
          </w:p>
          <w:p w14:paraId="1B42007F"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Layer 3: EUR 160,000,000 per event</w:t>
            </w:r>
          </w:p>
        </w:tc>
      </w:tr>
      <w:tr w:rsidR="00592C29" w14:paraId="7093ADFA" w14:textId="77777777">
        <w:tc>
          <w:tcPr>
            <w:tcW w:w="2542" w:type="dxa"/>
            <w:tcBorders>
              <w:top w:val="single" w:sz="8" w:space="0" w:color="A3A3A3"/>
              <w:bottom w:val="single" w:sz="8" w:space="0" w:color="A3A3A3"/>
              <w:right w:val="single" w:sz="8" w:space="0" w:color="A3A3A3"/>
            </w:tcBorders>
            <w:tcMar>
              <w:top w:w="80" w:type="dxa"/>
              <w:left w:w="80" w:type="dxa"/>
              <w:bottom w:w="80" w:type="dxa"/>
              <w:right w:w="80" w:type="dxa"/>
            </w:tcMar>
            <w:hideMark/>
          </w:tcPr>
          <w:p w14:paraId="4E365113"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lastRenderedPageBreak/>
              <w:t>Priority/Retention</w:t>
            </w:r>
          </w:p>
        </w:tc>
        <w:tc>
          <w:tcPr>
            <w:tcW w:w="5840" w:type="dxa"/>
            <w:tcBorders>
              <w:top w:val="single" w:sz="8" w:space="0" w:color="A3A3A3"/>
              <w:left w:val="single" w:sz="8" w:space="0" w:color="A3A3A3"/>
              <w:bottom w:val="single" w:sz="8" w:space="0" w:color="A3A3A3"/>
            </w:tcBorders>
            <w:tcMar>
              <w:top w:w="80" w:type="dxa"/>
              <w:left w:w="80" w:type="dxa"/>
              <w:bottom w:w="80" w:type="dxa"/>
              <w:right w:w="80" w:type="dxa"/>
            </w:tcMar>
            <w:hideMark/>
          </w:tcPr>
          <w:p w14:paraId="14D12703"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Layer 1: EUR 40,000,000 per event</w:t>
            </w:r>
          </w:p>
          <w:p w14:paraId="36D26127"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Layer 2: EUR 80,000,000 per event</w:t>
            </w:r>
          </w:p>
          <w:p w14:paraId="3FE5DE73"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Layer 3: EUR 200,000,000 per event</w:t>
            </w:r>
          </w:p>
        </w:tc>
      </w:tr>
      <w:tr w:rsidR="00592C29" w14:paraId="269C50DC" w14:textId="77777777">
        <w:tc>
          <w:tcPr>
            <w:tcW w:w="2542" w:type="dxa"/>
            <w:tcBorders>
              <w:top w:val="single" w:sz="8" w:space="0" w:color="A3A3A3"/>
              <w:right w:val="single" w:sz="8" w:space="0" w:color="A3A3A3"/>
            </w:tcBorders>
            <w:tcMar>
              <w:top w:w="80" w:type="dxa"/>
              <w:left w:w="80" w:type="dxa"/>
              <w:bottom w:w="80" w:type="dxa"/>
              <w:right w:w="80" w:type="dxa"/>
            </w:tcMar>
            <w:hideMark/>
          </w:tcPr>
          <w:p w14:paraId="6C86459B"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Reinstatements</w:t>
            </w:r>
          </w:p>
        </w:tc>
        <w:tc>
          <w:tcPr>
            <w:tcW w:w="5840" w:type="dxa"/>
            <w:tcBorders>
              <w:top w:val="single" w:sz="8" w:space="0" w:color="A3A3A3"/>
              <w:left w:val="single" w:sz="8" w:space="0" w:color="A3A3A3"/>
            </w:tcBorders>
            <w:tcMar>
              <w:top w:w="80" w:type="dxa"/>
              <w:left w:w="80" w:type="dxa"/>
              <w:bottom w:w="80" w:type="dxa"/>
              <w:right w:w="80" w:type="dxa"/>
            </w:tcMar>
            <w:hideMark/>
          </w:tcPr>
          <w:p w14:paraId="762939D3" w14:textId="77777777" w:rsidR="00592C29" w:rsidRDefault="0048296D">
            <w:pPr>
              <w:spacing w:after="200" w:line="276" w:lineRule="auto"/>
              <w:rPr>
                <w:color w:val="000000"/>
                <w:sz w:val="22"/>
                <w:szCs w:val="22"/>
              </w:rPr>
            </w:pPr>
            <w:r>
              <w:rPr>
                <w:rFonts w:ascii="Calibri" w:eastAsia="Calibri" w:hAnsi="Calibri" w:cs="Calibri"/>
                <w:color w:val="000000"/>
                <w:sz w:val="22"/>
                <w:szCs w:val="22"/>
              </w:rPr>
              <w:t>Layer 1: 2 reinstatements at 100% additional premium</w:t>
            </w:r>
            <w:r>
              <w:rPr>
                <w:rFonts w:ascii="Calibri" w:eastAsia="Calibri" w:hAnsi="Calibri" w:cs="Calibri"/>
                <w:color w:val="000000"/>
                <w:sz w:val="22"/>
                <w:szCs w:val="22"/>
              </w:rPr>
              <w:br/>
              <w:t>Layer 2: 2 reinstatements at 100% additional premium</w:t>
            </w:r>
            <w:r>
              <w:rPr>
                <w:rFonts w:ascii="Calibri" w:eastAsia="Calibri" w:hAnsi="Calibri" w:cs="Calibri"/>
                <w:color w:val="000000"/>
                <w:sz w:val="22"/>
                <w:szCs w:val="22"/>
              </w:rPr>
              <w:br/>
              <w:t>Layer 3: 1 reinstatement at 100% additional premium</w:t>
            </w:r>
          </w:p>
        </w:tc>
      </w:tr>
    </w:tbl>
    <w:p w14:paraId="55D6CF7A" w14:textId="77777777" w:rsidR="00592C29" w:rsidRDefault="00592C29">
      <w:pPr>
        <w:spacing w:before="120"/>
        <w:jc w:val="both"/>
        <w:rPr>
          <w:sz w:val="22"/>
          <w:szCs w:val="22"/>
        </w:rPr>
      </w:pPr>
    </w:p>
    <w:p w14:paraId="2CE26712" w14:textId="77777777" w:rsidR="00592C29" w:rsidRDefault="00592C29">
      <w:pPr>
        <w:rPr>
          <w:sz w:val="22"/>
          <w:szCs w:val="22"/>
        </w:rPr>
      </w:pPr>
    </w:p>
    <w:p w14:paraId="0498D8A9" w14:textId="77777777" w:rsidR="00592C29" w:rsidRDefault="0048296D">
      <w:pPr>
        <w:spacing w:after="200" w:line="276" w:lineRule="auto"/>
        <w:rPr>
          <w:sz w:val="22"/>
          <w:szCs w:val="22"/>
        </w:rPr>
      </w:pPr>
      <w:r>
        <w:rPr>
          <w:sz w:val="22"/>
          <w:szCs w:val="22"/>
        </w:rPr>
        <w:br w:type="page"/>
      </w:r>
    </w:p>
    <w:p w14:paraId="3A2ACDDD" w14:textId="77777777" w:rsidR="00592C29" w:rsidRDefault="0048296D">
      <w:pPr>
        <w:pStyle w:val="Heading1"/>
        <w:rPr>
          <w:sz w:val="40"/>
          <w:szCs w:val="40"/>
        </w:rPr>
      </w:pPr>
      <w:bookmarkStart w:id="79" w:name="_Toc31396098"/>
      <w:r>
        <w:rPr>
          <w:rFonts w:ascii="Arial" w:eastAsia="Arial" w:hAnsi="Arial" w:cs="Arial"/>
          <w:color w:val="2E97D3"/>
          <w:sz w:val="40"/>
          <w:szCs w:val="40"/>
        </w:rPr>
        <w:lastRenderedPageBreak/>
        <w:t>Appendix 7 – Lloyd’s Brussels Contract Addendum (LBCA)</w:t>
      </w:r>
      <w:bookmarkEnd w:id="79"/>
    </w:p>
    <w:p w14:paraId="03C83E7A" w14:textId="77777777" w:rsidR="00592C29" w:rsidRDefault="00592C29">
      <w:pPr>
        <w:spacing w:before="120"/>
        <w:ind w:left="720"/>
        <w:jc w:val="both"/>
        <w:rPr>
          <w:sz w:val="22"/>
          <w:szCs w:val="22"/>
        </w:rPr>
      </w:pPr>
    </w:p>
    <w:p w14:paraId="3411780E" w14:textId="219818F3" w:rsidR="00592C29" w:rsidRDefault="0048296D" w:rsidP="00984C20">
      <w:pPr>
        <w:spacing w:before="120"/>
        <w:jc w:val="both"/>
        <w:rPr>
          <w:rFonts w:ascii="Arial" w:eastAsia="Arial" w:hAnsi="Arial" w:cs="Arial"/>
          <w:b/>
          <w:bCs/>
          <w:sz w:val="22"/>
          <w:szCs w:val="22"/>
          <w:u w:val="single" w:color="B5082E"/>
        </w:rPr>
      </w:pPr>
      <w:r w:rsidRPr="00984C20">
        <w:rPr>
          <w:rFonts w:ascii="Arial" w:eastAsia="Arial" w:hAnsi="Arial" w:cs="Arial"/>
          <w:b/>
          <w:bCs/>
          <w:sz w:val="22"/>
          <w:szCs w:val="22"/>
          <w:u w:val="single" w:color="B5082E"/>
        </w:rPr>
        <w:t xml:space="preserve">EEA and non-EEA Addendum to </w:t>
      </w:r>
      <w:proofErr w:type="spellStart"/>
      <w:r w:rsidRPr="00984C20">
        <w:rPr>
          <w:rFonts w:ascii="Arial" w:eastAsia="Arial" w:hAnsi="Arial" w:cs="Arial"/>
          <w:b/>
          <w:bCs/>
          <w:sz w:val="22"/>
          <w:szCs w:val="22"/>
          <w:u w:val="single" w:color="B5082E"/>
        </w:rPr>
        <w:t>Sectionalise</w:t>
      </w:r>
      <w:proofErr w:type="spellEnd"/>
      <w:r w:rsidRPr="00984C20">
        <w:rPr>
          <w:rFonts w:ascii="Arial" w:eastAsia="Arial" w:hAnsi="Arial" w:cs="Arial"/>
          <w:b/>
          <w:bCs/>
          <w:sz w:val="22"/>
          <w:szCs w:val="22"/>
          <w:u w:val="single" w:color="B5082E"/>
        </w:rPr>
        <w:t xml:space="preserve"> a MRC</w:t>
      </w:r>
    </w:p>
    <w:p w14:paraId="6301F11A" w14:textId="77777777" w:rsidR="00984C20" w:rsidRPr="00984C20" w:rsidRDefault="00984C20" w:rsidP="00984C20">
      <w:pPr>
        <w:spacing w:before="120"/>
        <w:jc w:val="both"/>
        <w:rPr>
          <w:sz w:val="22"/>
          <w:szCs w:val="22"/>
        </w:rPr>
      </w:pPr>
    </w:p>
    <w:p w14:paraId="1D379199" w14:textId="6303F988" w:rsidR="00592C29" w:rsidRDefault="0048296D" w:rsidP="00984C20">
      <w:pPr>
        <w:spacing w:before="120"/>
        <w:jc w:val="both"/>
        <w:rPr>
          <w:rFonts w:ascii="Arial" w:eastAsia="Arial" w:hAnsi="Arial" w:cs="Arial"/>
          <w:sz w:val="22"/>
          <w:szCs w:val="22"/>
        </w:rPr>
      </w:pPr>
      <w:r w:rsidRPr="00984C20">
        <w:rPr>
          <w:rFonts w:ascii="Arial" w:eastAsia="Arial" w:hAnsi="Arial" w:cs="Arial"/>
          <w:sz w:val="22"/>
          <w:szCs w:val="22"/>
        </w:rPr>
        <w:t>The LMA Aviation Committee engaged with various market entities, including LIIBA, LIMOSS and LM TOM, to develop a model document which enables a broker MRC to be updated with minimal impact where there is both EEA and non-EEA exposure.</w:t>
      </w:r>
    </w:p>
    <w:p w14:paraId="2A88B079" w14:textId="77777777" w:rsidR="00984C20" w:rsidRPr="00984C20" w:rsidRDefault="00984C20" w:rsidP="00984C20">
      <w:pPr>
        <w:spacing w:before="120"/>
        <w:jc w:val="both"/>
        <w:rPr>
          <w:sz w:val="22"/>
          <w:szCs w:val="22"/>
        </w:rPr>
      </w:pPr>
    </w:p>
    <w:p w14:paraId="77D94C42" w14:textId="5C8B4F94" w:rsidR="00592C29" w:rsidRDefault="0048296D" w:rsidP="00984C20">
      <w:pPr>
        <w:spacing w:before="120"/>
        <w:jc w:val="both"/>
        <w:rPr>
          <w:rFonts w:ascii="Arial" w:eastAsia="Arial" w:hAnsi="Arial" w:cs="Arial"/>
          <w:sz w:val="22"/>
          <w:szCs w:val="22"/>
        </w:rPr>
      </w:pPr>
      <w:r w:rsidRPr="00984C20">
        <w:rPr>
          <w:rFonts w:ascii="Arial" w:eastAsia="Arial" w:hAnsi="Arial" w:cs="Arial"/>
          <w:sz w:val="22"/>
          <w:szCs w:val="22"/>
        </w:rPr>
        <w:t xml:space="preserve">The LMA9170 Lloyd’s Brussels Contract Addendum (LBCA) is to effect the minimum changes required to be compliant with Lloyd’s and Lloyd’s Brussels </w:t>
      </w:r>
      <w:proofErr w:type="spellStart"/>
      <w:r w:rsidRPr="00984C20">
        <w:rPr>
          <w:rFonts w:ascii="Arial" w:eastAsia="Arial" w:hAnsi="Arial" w:cs="Arial"/>
          <w:sz w:val="22"/>
          <w:szCs w:val="22"/>
        </w:rPr>
        <w:t>sectionalised</w:t>
      </w:r>
      <w:proofErr w:type="spellEnd"/>
      <w:r w:rsidRPr="00984C20">
        <w:rPr>
          <w:rFonts w:ascii="Arial" w:eastAsia="Arial" w:hAnsi="Arial" w:cs="Arial"/>
          <w:sz w:val="22"/>
          <w:szCs w:val="22"/>
        </w:rPr>
        <w:t xml:space="preserve"> MRC requirements. The purpose of this is to provide clarity to following markets and, where a Lloyd’s participant is not the Slip Leader, the LBCA provides an easy solution to effecting the necessary amendments to ensure contract certainty.</w:t>
      </w:r>
    </w:p>
    <w:p w14:paraId="6778D880" w14:textId="77777777" w:rsidR="00984C20" w:rsidRPr="00984C20" w:rsidRDefault="00984C20" w:rsidP="00984C20">
      <w:pPr>
        <w:spacing w:before="120"/>
        <w:jc w:val="both"/>
        <w:rPr>
          <w:sz w:val="22"/>
          <w:szCs w:val="22"/>
        </w:rPr>
      </w:pPr>
    </w:p>
    <w:p w14:paraId="664F6A39" w14:textId="77777777" w:rsidR="00592C29" w:rsidRPr="00984C20" w:rsidRDefault="0048296D" w:rsidP="00984C20">
      <w:pPr>
        <w:spacing w:before="120"/>
        <w:jc w:val="both"/>
        <w:rPr>
          <w:sz w:val="22"/>
          <w:szCs w:val="22"/>
        </w:rPr>
      </w:pPr>
      <w:r w:rsidRPr="00984C20">
        <w:rPr>
          <w:rFonts w:ascii="Arial" w:eastAsia="Arial" w:hAnsi="Arial" w:cs="Arial"/>
          <w:sz w:val="22"/>
          <w:szCs w:val="22"/>
        </w:rPr>
        <w:t xml:space="preserve">This LBCA is </w:t>
      </w:r>
      <w:r w:rsidRPr="00984C20">
        <w:rPr>
          <w:rFonts w:ascii="Arial" w:eastAsia="Arial" w:hAnsi="Arial" w:cs="Arial"/>
          <w:sz w:val="22"/>
          <w:szCs w:val="22"/>
          <w:u w:val="single" w:color="B5082E"/>
        </w:rPr>
        <w:t>only</w:t>
      </w:r>
      <w:r w:rsidRPr="00984C20">
        <w:rPr>
          <w:rFonts w:ascii="Arial" w:eastAsia="Arial" w:hAnsi="Arial" w:cs="Arial"/>
          <w:sz w:val="22"/>
          <w:szCs w:val="22"/>
        </w:rPr>
        <w:t xml:space="preserve"> for use where there is both EEA and non-EEA exposure within a placement.</w:t>
      </w:r>
    </w:p>
    <w:p w14:paraId="0FAAFC6E" w14:textId="77777777" w:rsidR="00592C29" w:rsidRPr="00984C20" w:rsidRDefault="0048296D" w:rsidP="00984C20">
      <w:pPr>
        <w:spacing w:before="120"/>
        <w:jc w:val="both"/>
        <w:rPr>
          <w:sz w:val="22"/>
          <w:szCs w:val="22"/>
        </w:rPr>
      </w:pPr>
      <w:r w:rsidRPr="00984C20">
        <w:rPr>
          <w:rFonts w:ascii="Arial" w:eastAsia="Arial" w:hAnsi="Arial" w:cs="Arial"/>
          <w:sz w:val="22"/>
          <w:szCs w:val="22"/>
        </w:rPr>
        <w:t>Use of the LBCA effectively deletes all Syndicate stamps within the underlying MRC and replaces them with both the relevant Syndicate and Lloyd’s Brussels stamps;</w:t>
      </w:r>
    </w:p>
    <w:p w14:paraId="55C789F2" w14:textId="77777777" w:rsidR="00984C20" w:rsidRDefault="00984C20" w:rsidP="00984C20">
      <w:pPr>
        <w:spacing w:before="120"/>
        <w:jc w:val="both"/>
        <w:rPr>
          <w:rFonts w:ascii="Arial" w:eastAsia="Arial" w:hAnsi="Arial" w:cs="Arial"/>
          <w:sz w:val="22"/>
          <w:szCs w:val="22"/>
        </w:rPr>
      </w:pPr>
    </w:p>
    <w:p w14:paraId="2DA2B4C5" w14:textId="22168A62" w:rsidR="00592C29" w:rsidRPr="00984C20" w:rsidRDefault="0048296D" w:rsidP="00984C20">
      <w:pPr>
        <w:spacing w:before="120"/>
        <w:jc w:val="both"/>
        <w:rPr>
          <w:sz w:val="22"/>
          <w:szCs w:val="22"/>
        </w:rPr>
      </w:pPr>
      <w:r w:rsidRPr="00984C20">
        <w:rPr>
          <w:rFonts w:ascii="Arial" w:eastAsia="Arial" w:hAnsi="Arial" w:cs="Arial"/>
          <w:sz w:val="22"/>
          <w:szCs w:val="22"/>
        </w:rPr>
        <w:t>Procedure for the use of LMA9170:</w:t>
      </w:r>
    </w:p>
    <w:p w14:paraId="55FDB4DE" w14:textId="77777777" w:rsidR="00592C29" w:rsidRPr="00984C20" w:rsidRDefault="0048296D" w:rsidP="00984C20">
      <w:pPr>
        <w:numPr>
          <w:ilvl w:val="0"/>
          <w:numId w:val="41"/>
        </w:numPr>
        <w:pBdr>
          <w:left w:val="none" w:sz="0" w:space="7" w:color="auto"/>
        </w:pBdr>
        <w:spacing w:before="120"/>
        <w:ind w:hanging="430"/>
        <w:jc w:val="both"/>
        <w:rPr>
          <w:sz w:val="22"/>
          <w:szCs w:val="22"/>
        </w:rPr>
      </w:pPr>
      <w:r w:rsidRPr="00984C20">
        <w:rPr>
          <w:rFonts w:ascii="Arial" w:eastAsia="Arial" w:hAnsi="Arial" w:cs="Arial"/>
          <w:sz w:val="22"/>
          <w:szCs w:val="22"/>
        </w:rPr>
        <w:t>The underlying MRC should be drafted as if Lloyd’s Brussels is not to be a participant, with all Lloyd’s participants agreeing the MRC by using their Syndicate stamp only;</w:t>
      </w:r>
    </w:p>
    <w:p w14:paraId="0110978C" w14:textId="77777777" w:rsidR="00592C29" w:rsidRPr="00984C20" w:rsidRDefault="0048296D" w:rsidP="00984C20">
      <w:pPr>
        <w:numPr>
          <w:ilvl w:val="0"/>
          <w:numId w:val="41"/>
        </w:numPr>
        <w:pBdr>
          <w:left w:val="none" w:sz="0" w:space="7" w:color="auto"/>
        </w:pBdr>
        <w:spacing w:before="120"/>
        <w:ind w:hanging="430"/>
        <w:jc w:val="both"/>
        <w:rPr>
          <w:sz w:val="22"/>
          <w:szCs w:val="22"/>
        </w:rPr>
      </w:pPr>
      <w:r w:rsidRPr="00984C20">
        <w:rPr>
          <w:rFonts w:ascii="Arial" w:eastAsia="Arial" w:hAnsi="Arial" w:cs="Arial"/>
          <w:sz w:val="22"/>
          <w:szCs w:val="22"/>
        </w:rPr>
        <w:t>The fields highlighted in yellow form the minimum and mandatory responses. The footnotes highlighted in green are to aid in completion of those fields. All footnotes must be deleted from the LBCA before final agreement of the LBCA by the Lloyd’s leader;</w:t>
      </w:r>
    </w:p>
    <w:p w14:paraId="749282BD" w14:textId="77777777" w:rsidR="00592C29" w:rsidRPr="00984C20" w:rsidRDefault="0048296D" w:rsidP="00984C20">
      <w:pPr>
        <w:numPr>
          <w:ilvl w:val="0"/>
          <w:numId w:val="41"/>
        </w:numPr>
        <w:pBdr>
          <w:left w:val="none" w:sz="0" w:space="7" w:color="auto"/>
        </w:pBdr>
        <w:spacing w:before="120"/>
        <w:ind w:hanging="430"/>
        <w:jc w:val="both"/>
        <w:rPr>
          <w:sz w:val="22"/>
          <w:szCs w:val="22"/>
        </w:rPr>
      </w:pPr>
      <w:r w:rsidRPr="00984C20">
        <w:rPr>
          <w:rFonts w:ascii="Arial" w:eastAsia="Arial" w:hAnsi="Arial" w:cs="Arial"/>
          <w:sz w:val="22"/>
          <w:szCs w:val="22"/>
        </w:rPr>
        <w:t>The LBCA should be completed by the Lloyd’s leader at the time the MRC is agreed;</w:t>
      </w:r>
    </w:p>
    <w:p w14:paraId="33AE854C" w14:textId="77777777" w:rsidR="00592C29" w:rsidRPr="00984C20" w:rsidRDefault="0048296D" w:rsidP="00984C20">
      <w:pPr>
        <w:numPr>
          <w:ilvl w:val="0"/>
          <w:numId w:val="41"/>
        </w:numPr>
        <w:pBdr>
          <w:left w:val="none" w:sz="0" w:space="7" w:color="auto"/>
        </w:pBdr>
        <w:spacing w:before="120"/>
        <w:ind w:hanging="430"/>
        <w:jc w:val="both"/>
        <w:rPr>
          <w:sz w:val="22"/>
          <w:szCs w:val="22"/>
        </w:rPr>
      </w:pPr>
      <w:r w:rsidRPr="00984C20">
        <w:rPr>
          <w:rFonts w:ascii="Arial" w:eastAsia="Arial" w:hAnsi="Arial" w:cs="Arial"/>
          <w:sz w:val="22"/>
          <w:szCs w:val="22"/>
        </w:rPr>
        <w:t>The LBCA must then be agreed by all Lloyd’s participants;</w:t>
      </w:r>
    </w:p>
    <w:p w14:paraId="493C848F" w14:textId="77777777" w:rsidR="00592C29" w:rsidRPr="00984C20" w:rsidRDefault="0048296D" w:rsidP="00984C20">
      <w:pPr>
        <w:numPr>
          <w:ilvl w:val="0"/>
          <w:numId w:val="41"/>
        </w:numPr>
        <w:pBdr>
          <w:left w:val="none" w:sz="0" w:space="7" w:color="auto"/>
        </w:pBdr>
        <w:spacing w:before="120"/>
        <w:ind w:hanging="430"/>
        <w:jc w:val="both"/>
        <w:rPr>
          <w:sz w:val="22"/>
          <w:szCs w:val="22"/>
        </w:rPr>
      </w:pPr>
      <w:r w:rsidRPr="00984C20">
        <w:rPr>
          <w:rFonts w:ascii="Arial" w:eastAsia="Arial" w:hAnsi="Arial" w:cs="Arial"/>
          <w:sz w:val="22"/>
          <w:szCs w:val="22"/>
        </w:rPr>
        <w:t>All Lloyd’s participants must follow the Lloyd’s Leader’s version of the LBCA; and</w:t>
      </w:r>
    </w:p>
    <w:p w14:paraId="31B63485" w14:textId="77777777" w:rsidR="00592C29" w:rsidRPr="00984C20" w:rsidRDefault="0048296D" w:rsidP="00984C20">
      <w:pPr>
        <w:numPr>
          <w:ilvl w:val="0"/>
          <w:numId w:val="41"/>
        </w:numPr>
        <w:pBdr>
          <w:left w:val="none" w:sz="0" w:space="7" w:color="auto"/>
        </w:pBdr>
        <w:spacing w:before="120"/>
        <w:ind w:hanging="430"/>
        <w:jc w:val="both"/>
        <w:rPr>
          <w:sz w:val="22"/>
          <w:szCs w:val="22"/>
        </w:rPr>
      </w:pPr>
      <w:r w:rsidRPr="00984C20">
        <w:rPr>
          <w:rFonts w:ascii="Arial" w:eastAsia="Arial" w:hAnsi="Arial" w:cs="Arial"/>
          <w:sz w:val="22"/>
          <w:szCs w:val="22"/>
        </w:rPr>
        <w:t>The LBCA and the underlying MRC must be simultaneously submitted to DXC and SDC as the MRC attaches as the information section of the LBCA.</w:t>
      </w:r>
    </w:p>
    <w:p w14:paraId="3609B29A" w14:textId="77777777" w:rsidR="00592C29" w:rsidRPr="00984C20" w:rsidRDefault="00592C29" w:rsidP="00984C20">
      <w:pPr>
        <w:spacing w:before="120"/>
        <w:jc w:val="both"/>
        <w:rPr>
          <w:sz w:val="22"/>
          <w:szCs w:val="22"/>
        </w:rPr>
      </w:pPr>
    </w:p>
    <w:p w14:paraId="2D158115" w14:textId="4BAB1772" w:rsidR="00592C29" w:rsidRPr="00984C20" w:rsidRDefault="0048296D" w:rsidP="00984C20">
      <w:pPr>
        <w:spacing w:before="120"/>
        <w:jc w:val="both"/>
        <w:rPr>
          <w:sz w:val="22"/>
          <w:szCs w:val="22"/>
        </w:rPr>
      </w:pPr>
      <w:r w:rsidRPr="00984C20">
        <w:rPr>
          <w:rFonts w:ascii="Arial" w:eastAsia="Arial" w:hAnsi="Arial" w:cs="Arial"/>
          <w:sz w:val="22"/>
          <w:szCs w:val="22"/>
        </w:rPr>
        <w:t>The LBCA (LMA9170) is available via the Lloyd’s Wordings Repository (</w:t>
      </w:r>
      <w:hyperlink r:id="rId45" w:history="1">
        <w:r w:rsidRPr="00984C20">
          <w:rPr>
            <w:rStyle w:val="Hyperlink"/>
            <w:rFonts w:ascii="Arial" w:eastAsia="Arial" w:hAnsi="Arial" w:cs="Arial"/>
            <w:color w:val="0000FF"/>
            <w:sz w:val="22"/>
            <w:szCs w:val="22"/>
          </w:rPr>
          <w:t>www.lloydswordings.com</w:t>
        </w:r>
      </w:hyperlink>
      <w:r w:rsidRPr="00984C20">
        <w:rPr>
          <w:rFonts w:ascii="Arial" w:eastAsia="Arial" w:hAnsi="Arial" w:cs="Arial"/>
          <w:sz w:val="22"/>
          <w:szCs w:val="22"/>
        </w:rPr>
        <w:t>) and has been available for use with effect  from 1st November 2019.</w:t>
      </w:r>
    </w:p>
    <w:p w14:paraId="2A19AF03" w14:textId="77777777" w:rsidR="00984C20" w:rsidRDefault="00984C20" w:rsidP="00984C20">
      <w:pPr>
        <w:spacing w:before="120"/>
        <w:jc w:val="both"/>
        <w:rPr>
          <w:rFonts w:ascii="Arial" w:eastAsia="Arial" w:hAnsi="Arial" w:cs="Arial"/>
          <w:sz w:val="22"/>
          <w:szCs w:val="22"/>
        </w:rPr>
      </w:pPr>
    </w:p>
    <w:p w14:paraId="5377C9D2" w14:textId="58E6D22B" w:rsidR="00592C29" w:rsidRPr="00984C20" w:rsidRDefault="0048296D" w:rsidP="00984C20">
      <w:pPr>
        <w:spacing w:before="120"/>
        <w:jc w:val="both"/>
        <w:rPr>
          <w:sz w:val="22"/>
          <w:szCs w:val="22"/>
        </w:rPr>
      </w:pPr>
      <w:r w:rsidRPr="00984C20">
        <w:rPr>
          <w:rFonts w:ascii="Arial" w:eastAsia="Arial" w:hAnsi="Arial" w:cs="Arial"/>
          <w:sz w:val="22"/>
          <w:szCs w:val="22"/>
        </w:rPr>
        <w:t>Whilst the LBCA has been implemented for the Aviation market, it can also be utilized for other lines of business if required.</w:t>
      </w:r>
    </w:p>
    <w:p w14:paraId="35864D17" w14:textId="77777777" w:rsidR="00592C29" w:rsidRDefault="0048296D" w:rsidP="00984C20">
      <w:pPr>
        <w:spacing w:after="200" w:line="276" w:lineRule="auto"/>
        <w:rPr>
          <w:sz w:val="22"/>
          <w:szCs w:val="22"/>
        </w:rPr>
      </w:pPr>
      <w:r w:rsidRPr="00984C20">
        <w:rPr>
          <w:sz w:val="22"/>
          <w:szCs w:val="22"/>
        </w:rPr>
        <w:br w:type="page"/>
      </w:r>
    </w:p>
    <w:p w14:paraId="7865E56F" w14:textId="77777777" w:rsidR="00592C29" w:rsidRPr="00984C20" w:rsidRDefault="0048296D" w:rsidP="00984C20">
      <w:pPr>
        <w:spacing w:line="276" w:lineRule="auto"/>
        <w:ind w:left="540" w:right="418"/>
        <w:jc w:val="center"/>
        <w:rPr>
          <w:sz w:val="28"/>
          <w:szCs w:val="28"/>
        </w:rPr>
      </w:pPr>
      <w:r w:rsidRPr="00984C20">
        <w:rPr>
          <w:rFonts w:ascii="Trebuchet MS" w:eastAsia="Trebuchet MS" w:hAnsi="Trebuchet MS" w:cs="Trebuchet MS"/>
          <w:b/>
          <w:bCs/>
          <w:sz w:val="28"/>
          <w:szCs w:val="28"/>
        </w:rPr>
        <w:lastRenderedPageBreak/>
        <w:t>LLOYD’S BRUSSELS CONTRACT ADDENDUM</w:t>
      </w:r>
    </w:p>
    <w:p w14:paraId="781FBC25" w14:textId="77777777" w:rsidR="00592C29" w:rsidRPr="00984C20" w:rsidRDefault="00592C29" w:rsidP="00984C20">
      <w:pPr>
        <w:spacing w:line="276" w:lineRule="auto"/>
        <w:ind w:left="540" w:right="418"/>
        <w:jc w:val="both"/>
        <w:rPr>
          <w:sz w:val="22"/>
          <w:szCs w:val="22"/>
        </w:rPr>
      </w:pPr>
    </w:p>
    <w:p w14:paraId="7481DC23" w14:textId="77777777" w:rsidR="00592C29" w:rsidRPr="00984C20" w:rsidRDefault="0048296D" w:rsidP="00984C20">
      <w:pPr>
        <w:tabs>
          <w:tab w:val="left" w:pos="4253"/>
        </w:tabs>
        <w:spacing w:line="276" w:lineRule="auto"/>
        <w:ind w:left="4253" w:right="420" w:hanging="3686"/>
        <w:rPr>
          <w:sz w:val="22"/>
          <w:szCs w:val="22"/>
        </w:rPr>
      </w:pPr>
      <w:r w:rsidRPr="00984C20">
        <w:rPr>
          <w:rFonts w:ascii="Trebuchet MS" w:eastAsia="Trebuchet MS" w:hAnsi="Trebuchet MS" w:cs="Trebuchet MS"/>
          <w:b/>
          <w:bCs/>
          <w:sz w:val="22"/>
          <w:szCs w:val="22"/>
        </w:rPr>
        <w:t>Unique Market Reference:</w:t>
      </w:r>
      <w:r w:rsidRPr="00984C20">
        <w:rPr>
          <w:rFonts w:ascii="Trebuchet MS" w:eastAsia="Trebuchet MS" w:hAnsi="Trebuchet MS" w:cs="Trebuchet MS"/>
          <w:b/>
          <w:bCs/>
          <w:sz w:val="22"/>
          <w:szCs w:val="22"/>
        </w:rPr>
        <w:tab/>
      </w:r>
      <w:r w:rsidRPr="00984C20">
        <w:rPr>
          <w:rFonts w:ascii="Trebuchet MS" w:eastAsia="Trebuchet MS" w:hAnsi="Trebuchet MS" w:cs="Trebuchet MS"/>
          <w:i/>
          <w:iCs/>
          <w:sz w:val="22"/>
          <w:szCs w:val="22"/>
          <w:shd w:val="clear" w:color="auto" w:fill="FFFF00"/>
        </w:rPr>
        <w:t>{insert UMR from MRC}</w:t>
      </w:r>
      <w:r w:rsidRPr="00984C20">
        <w:rPr>
          <w:rFonts w:ascii="Arial" w:eastAsia="Arial" w:hAnsi="Arial" w:cs="Arial"/>
          <w:sz w:val="20"/>
          <w:szCs w:val="20"/>
          <w:vertAlign w:val="superscript"/>
        </w:rPr>
        <w:footnoteReference w:id="1"/>
      </w:r>
    </w:p>
    <w:p w14:paraId="3A5A6FC0" w14:textId="77777777" w:rsidR="00592C29" w:rsidRPr="00984C20" w:rsidRDefault="0048296D" w:rsidP="00984C20">
      <w:pPr>
        <w:tabs>
          <w:tab w:val="left" w:pos="4253"/>
        </w:tabs>
        <w:spacing w:line="276" w:lineRule="auto"/>
        <w:ind w:left="4253" w:right="420" w:hanging="3686"/>
        <w:rPr>
          <w:sz w:val="22"/>
          <w:szCs w:val="22"/>
        </w:rPr>
      </w:pPr>
      <w:r w:rsidRPr="00984C20">
        <w:rPr>
          <w:rFonts w:ascii="Trebuchet MS" w:eastAsia="Trebuchet MS" w:hAnsi="Trebuchet MS" w:cs="Trebuchet MS"/>
          <w:b/>
          <w:bCs/>
          <w:sz w:val="22"/>
          <w:szCs w:val="22"/>
        </w:rPr>
        <w:t>Contract Addendum Reference:</w:t>
      </w:r>
      <w:r w:rsidRPr="00984C20">
        <w:rPr>
          <w:rFonts w:ascii="Trebuchet MS" w:eastAsia="Trebuchet MS" w:hAnsi="Trebuchet MS" w:cs="Trebuchet MS"/>
          <w:b/>
          <w:bCs/>
          <w:sz w:val="22"/>
          <w:szCs w:val="22"/>
        </w:rPr>
        <w:tab/>
      </w:r>
      <w:r w:rsidRPr="00984C20">
        <w:rPr>
          <w:rFonts w:ascii="Trebuchet MS" w:eastAsia="Trebuchet MS" w:hAnsi="Trebuchet MS" w:cs="Trebuchet MS"/>
          <w:i/>
          <w:iCs/>
          <w:sz w:val="22"/>
          <w:szCs w:val="22"/>
          <w:shd w:val="clear" w:color="auto" w:fill="FFFF00"/>
        </w:rPr>
        <w:t>{Insert Contract Addendum Reference number}</w:t>
      </w:r>
    </w:p>
    <w:p w14:paraId="3A7DF3A4" w14:textId="77777777" w:rsidR="00592C29" w:rsidRPr="00984C20" w:rsidRDefault="0048296D" w:rsidP="00984C20">
      <w:pPr>
        <w:tabs>
          <w:tab w:val="left" w:pos="4253"/>
        </w:tabs>
        <w:spacing w:line="276" w:lineRule="auto"/>
        <w:ind w:left="4253" w:right="420" w:hanging="3686"/>
        <w:rPr>
          <w:sz w:val="22"/>
          <w:szCs w:val="22"/>
        </w:rPr>
      </w:pPr>
      <w:r w:rsidRPr="00984C20">
        <w:rPr>
          <w:rFonts w:ascii="Trebuchet MS" w:eastAsia="Trebuchet MS" w:hAnsi="Trebuchet MS" w:cs="Trebuchet MS"/>
          <w:b/>
          <w:bCs/>
          <w:sz w:val="22"/>
          <w:szCs w:val="22"/>
          <w:shd w:val="clear" w:color="auto" w:fill="FFFF00"/>
        </w:rPr>
        <w:t>(Reinsured:</w:t>
      </w:r>
      <w:r w:rsidRPr="00984C20">
        <w:rPr>
          <w:rFonts w:ascii="Trebuchet MS" w:eastAsia="Trebuchet MS" w:hAnsi="Trebuchet MS" w:cs="Trebuchet MS"/>
          <w:b/>
          <w:bCs/>
          <w:sz w:val="22"/>
          <w:szCs w:val="22"/>
          <w:shd w:val="clear" w:color="auto" w:fill="FFFF00"/>
        </w:rPr>
        <w:tab/>
      </w:r>
      <w:r w:rsidRPr="00984C20">
        <w:rPr>
          <w:rFonts w:ascii="Trebuchet MS" w:eastAsia="Trebuchet MS" w:hAnsi="Trebuchet MS" w:cs="Trebuchet MS"/>
          <w:i/>
          <w:iCs/>
          <w:sz w:val="22"/>
          <w:szCs w:val="22"/>
          <w:shd w:val="clear" w:color="auto" w:fill="FFFF00"/>
        </w:rPr>
        <w:t>{Insert Reinsured, if applicable})</w:t>
      </w:r>
    </w:p>
    <w:p w14:paraId="0CF89AB8" w14:textId="77777777" w:rsidR="00592C29" w:rsidRPr="00984C20" w:rsidRDefault="0048296D" w:rsidP="00984C20">
      <w:pPr>
        <w:tabs>
          <w:tab w:val="left" w:pos="4253"/>
        </w:tabs>
        <w:spacing w:line="276" w:lineRule="auto"/>
        <w:ind w:left="4253" w:right="420" w:hanging="3686"/>
        <w:rPr>
          <w:sz w:val="22"/>
          <w:szCs w:val="22"/>
        </w:rPr>
      </w:pPr>
      <w:r w:rsidRPr="00984C20">
        <w:rPr>
          <w:rFonts w:ascii="Trebuchet MS" w:eastAsia="Trebuchet MS" w:hAnsi="Trebuchet MS" w:cs="Trebuchet MS"/>
          <w:b/>
          <w:bCs/>
          <w:sz w:val="22"/>
          <w:szCs w:val="22"/>
          <w:shd w:val="clear" w:color="auto" w:fill="FFFF00"/>
        </w:rPr>
        <w:t>(Original)</w:t>
      </w:r>
      <w:r w:rsidRPr="00984C20">
        <w:rPr>
          <w:rFonts w:ascii="Trebuchet MS" w:eastAsia="Trebuchet MS" w:hAnsi="Trebuchet MS" w:cs="Trebuchet MS"/>
          <w:b/>
          <w:bCs/>
          <w:sz w:val="22"/>
          <w:szCs w:val="22"/>
        </w:rPr>
        <w:t xml:space="preserve"> Insured:</w:t>
      </w:r>
      <w:r w:rsidRPr="00984C20">
        <w:rPr>
          <w:rFonts w:ascii="Trebuchet MS" w:eastAsia="Trebuchet MS" w:hAnsi="Trebuchet MS" w:cs="Trebuchet MS"/>
          <w:b/>
          <w:bCs/>
          <w:sz w:val="22"/>
          <w:szCs w:val="22"/>
        </w:rPr>
        <w:tab/>
      </w:r>
      <w:r w:rsidRPr="00984C20">
        <w:rPr>
          <w:rFonts w:ascii="Trebuchet MS" w:eastAsia="Trebuchet MS" w:hAnsi="Trebuchet MS" w:cs="Trebuchet MS"/>
          <w:i/>
          <w:iCs/>
          <w:sz w:val="22"/>
          <w:szCs w:val="22"/>
          <w:shd w:val="clear" w:color="auto" w:fill="FFFF00"/>
        </w:rPr>
        <w:t>{Insert Insured}</w:t>
      </w:r>
      <w:r w:rsidRPr="00984C20">
        <w:rPr>
          <w:rFonts w:ascii="Trebuchet MS" w:eastAsia="Trebuchet MS" w:hAnsi="Trebuchet MS" w:cs="Trebuchet MS"/>
          <w:i/>
          <w:iCs/>
          <w:sz w:val="22"/>
          <w:szCs w:val="22"/>
        </w:rPr>
        <w:t xml:space="preserve"> </w:t>
      </w:r>
    </w:p>
    <w:p w14:paraId="38544AE7" w14:textId="77777777" w:rsidR="00592C29" w:rsidRPr="00984C20" w:rsidRDefault="00592C29" w:rsidP="00984C20">
      <w:pPr>
        <w:spacing w:line="276" w:lineRule="auto"/>
        <w:ind w:left="540" w:right="418"/>
        <w:jc w:val="both"/>
        <w:rPr>
          <w:sz w:val="22"/>
          <w:szCs w:val="22"/>
        </w:rPr>
      </w:pPr>
    </w:p>
    <w:p w14:paraId="14CA5364" w14:textId="77777777" w:rsidR="00592C29" w:rsidRPr="00984C20" w:rsidRDefault="00592C29" w:rsidP="00984C20">
      <w:pPr>
        <w:pBdr>
          <w:top w:val="single" w:sz="6" w:space="1" w:color="000000"/>
        </w:pBdr>
        <w:spacing w:line="276" w:lineRule="auto"/>
        <w:ind w:left="540" w:right="418"/>
        <w:jc w:val="both"/>
        <w:rPr>
          <w:sz w:val="22"/>
          <w:szCs w:val="22"/>
        </w:rPr>
      </w:pPr>
    </w:p>
    <w:p w14:paraId="30EDE424" w14:textId="77777777" w:rsidR="00592C29" w:rsidRPr="00984C20" w:rsidRDefault="0048296D" w:rsidP="00984C20">
      <w:pPr>
        <w:spacing w:line="276" w:lineRule="auto"/>
        <w:ind w:left="540" w:right="418"/>
        <w:jc w:val="center"/>
        <w:rPr>
          <w:sz w:val="22"/>
          <w:szCs w:val="22"/>
        </w:rPr>
      </w:pPr>
      <w:r w:rsidRPr="00984C20">
        <w:rPr>
          <w:rFonts w:ascii="Trebuchet MS" w:eastAsia="Trebuchet MS" w:hAnsi="Trebuchet MS" w:cs="Trebuchet MS"/>
          <w:b/>
          <w:bCs/>
          <w:sz w:val="22"/>
          <w:szCs w:val="22"/>
        </w:rPr>
        <w:t>CONTRACT CHANGES</w:t>
      </w:r>
    </w:p>
    <w:p w14:paraId="3156177D" w14:textId="77777777" w:rsidR="00592C29" w:rsidRPr="00984C20" w:rsidRDefault="00592C29" w:rsidP="00984C20">
      <w:pPr>
        <w:spacing w:line="276" w:lineRule="auto"/>
        <w:ind w:left="540" w:right="418"/>
        <w:jc w:val="both"/>
        <w:rPr>
          <w:sz w:val="22"/>
          <w:szCs w:val="22"/>
        </w:rPr>
      </w:pPr>
    </w:p>
    <w:p w14:paraId="4ECFEB27" w14:textId="77777777" w:rsidR="00592C29" w:rsidRPr="00984C20" w:rsidRDefault="0048296D" w:rsidP="00984C20">
      <w:pPr>
        <w:spacing w:line="276" w:lineRule="auto"/>
        <w:ind w:left="540" w:right="418"/>
        <w:jc w:val="both"/>
        <w:rPr>
          <w:sz w:val="22"/>
          <w:szCs w:val="22"/>
        </w:rPr>
      </w:pPr>
      <w:r w:rsidRPr="00984C20">
        <w:rPr>
          <w:rFonts w:ascii="Trebuchet MS" w:eastAsia="Trebuchet MS" w:hAnsi="Trebuchet MS" w:cs="Trebuchet MS"/>
          <w:sz w:val="22"/>
          <w:szCs w:val="22"/>
        </w:rPr>
        <w:t>This contract of (re)insurance is amended as follows with respect to Lloyd’s participation only</w:t>
      </w:r>
      <w:r w:rsidRPr="00984C20">
        <w:rPr>
          <w:rFonts w:ascii="Arial" w:eastAsia="Arial" w:hAnsi="Arial" w:cs="Arial"/>
          <w:sz w:val="20"/>
          <w:szCs w:val="20"/>
          <w:vertAlign w:val="superscript"/>
        </w:rPr>
        <w:footnoteReference w:id="2"/>
      </w:r>
      <w:r w:rsidRPr="00984C20">
        <w:rPr>
          <w:rFonts w:ascii="Trebuchet MS" w:eastAsia="Trebuchet MS" w:hAnsi="Trebuchet MS" w:cs="Trebuchet MS"/>
          <w:sz w:val="22"/>
          <w:szCs w:val="22"/>
        </w:rPr>
        <w:t>:</w:t>
      </w:r>
    </w:p>
    <w:p w14:paraId="70834E8E" w14:textId="77777777" w:rsidR="00592C29" w:rsidRPr="00984C20" w:rsidRDefault="00592C29" w:rsidP="00984C20">
      <w:pPr>
        <w:spacing w:line="276" w:lineRule="auto"/>
        <w:ind w:left="540" w:right="418"/>
        <w:jc w:val="both"/>
        <w:rPr>
          <w:sz w:val="22"/>
          <w:szCs w:val="22"/>
        </w:rPr>
      </w:pPr>
    </w:p>
    <w:tbl>
      <w:tblPr>
        <w:tblW w:w="9078" w:type="dxa"/>
        <w:tblInd w:w="533" w:type="dxa"/>
        <w:tblCellMar>
          <w:left w:w="0" w:type="dxa"/>
          <w:right w:w="0" w:type="dxa"/>
        </w:tblCellMar>
        <w:tblLook w:val="04A0" w:firstRow="1" w:lastRow="0" w:firstColumn="1" w:lastColumn="0" w:noHBand="0" w:noVBand="1"/>
      </w:tblPr>
      <w:tblGrid>
        <w:gridCol w:w="2526"/>
        <w:gridCol w:w="6552"/>
      </w:tblGrid>
      <w:tr w:rsidR="00592C29" w:rsidRPr="00984C20" w14:paraId="58A29AB1" w14:textId="77777777">
        <w:tc>
          <w:tcPr>
            <w:tcW w:w="2526" w:type="dxa"/>
            <w:tcMar>
              <w:top w:w="147" w:type="dxa"/>
              <w:left w:w="113" w:type="dxa"/>
              <w:bottom w:w="5" w:type="dxa"/>
              <w:right w:w="113" w:type="dxa"/>
            </w:tcMar>
            <w:hideMark/>
          </w:tcPr>
          <w:p w14:paraId="78699F0F" w14:textId="77777777" w:rsidR="00592C29" w:rsidRPr="00984C20" w:rsidRDefault="0048296D" w:rsidP="00984C20">
            <w:pPr>
              <w:spacing w:line="280" w:lineRule="atLeast"/>
            </w:pPr>
            <w:r w:rsidRPr="00984C20">
              <w:rPr>
                <w:rFonts w:ascii="Trebuchet MS" w:eastAsia="Trebuchet MS" w:hAnsi="Trebuchet MS" w:cs="Trebuchet MS"/>
                <w:b/>
                <w:bCs/>
                <w:sz w:val="22"/>
                <w:szCs w:val="22"/>
              </w:rPr>
              <w:t>ENDORSEMENT EFFECTIVE DATE:</w:t>
            </w:r>
          </w:p>
        </w:tc>
        <w:tc>
          <w:tcPr>
            <w:tcW w:w="6552" w:type="dxa"/>
            <w:tcMar>
              <w:top w:w="147" w:type="dxa"/>
              <w:left w:w="113" w:type="dxa"/>
              <w:bottom w:w="5" w:type="dxa"/>
              <w:right w:w="113" w:type="dxa"/>
            </w:tcMar>
            <w:hideMark/>
          </w:tcPr>
          <w:p w14:paraId="0707FDDC" w14:textId="77777777" w:rsidR="00592C29" w:rsidRPr="00984C20" w:rsidRDefault="0048296D" w:rsidP="00984C20">
            <w:pPr>
              <w:spacing w:line="280" w:lineRule="atLeast"/>
              <w:ind w:right="72"/>
              <w:jc w:val="both"/>
            </w:pPr>
            <w:r w:rsidRPr="00984C20">
              <w:rPr>
                <w:rFonts w:ascii="Trebuchet MS" w:eastAsia="Trebuchet MS" w:hAnsi="Trebuchet MS" w:cs="Trebuchet MS"/>
                <w:i/>
                <w:iCs/>
                <w:sz w:val="22"/>
                <w:szCs w:val="22"/>
                <w:shd w:val="clear" w:color="auto" w:fill="FFFF00"/>
              </w:rPr>
              <w:t>{Insert inception date and time}</w:t>
            </w:r>
          </w:p>
        </w:tc>
      </w:tr>
      <w:tr w:rsidR="00592C29" w:rsidRPr="00984C20" w14:paraId="335FC362" w14:textId="77777777">
        <w:tc>
          <w:tcPr>
            <w:tcW w:w="2526" w:type="dxa"/>
            <w:tcMar>
              <w:top w:w="147" w:type="dxa"/>
              <w:left w:w="113" w:type="dxa"/>
              <w:bottom w:w="5" w:type="dxa"/>
              <w:right w:w="113" w:type="dxa"/>
            </w:tcMar>
            <w:hideMark/>
          </w:tcPr>
          <w:p w14:paraId="711553DC" w14:textId="77777777" w:rsidR="00592C29" w:rsidRPr="00984C20" w:rsidRDefault="0048296D" w:rsidP="00984C20">
            <w:pPr>
              <w:spacing w:line="280" w:lineRule="atLeast"/>
            </w:pPr>
            <w:r w:rsidRPr="00984C20">
              <w:rPr>
                <w:rFonts w:ascii="Trebuchet MS" w:eastAsia="Trebuchet MS" w:hAnsi="Trebuchet MS" w:cs="Trebuchet MS"/>
                <w:b/>
                <w:bCs/>
                <w:sz w:val="22"/>
                <w:szCs w:val="22"/>
              </w:rPr>
              <w:t>LIMIT(S)</w:t>
            </w:r>
            <w:r w:rsidRPr="00984C20">
              <w:rPr>
                <w:rFonts w:ascii="Arial" w:eastAsia="Arial" w:hAnsi="Arial" w:cs="Arial"/>
                <w:sz w:val="20"/>
                <w:szCs w:val="20"/>
                <w:vertAlign w:val="superscript"/>
              </w:rPr>
              <w:footnoteReference w:id="3"/>
            </w:r>
            <w:r w:rsidRPr="00984C20">
              <w:rPr>
                <w:rFonts w:ascii="Trebuchet MS" w:eastAsia="Trebuchet MS" w:hAnsi="Trebuchet MS" w:cs="Trebuchet MS"/>
                <w:b/>
                <w:bCs/>
                <w:sz w:val="22"/>
                <w:szCs w:val="22"/>
              </w:rPr>
              <w:t xml:space="preserve"> OF LIABILITY:</w:t>
            </w:r>
          </w:p>
        </w:tc>
        <w:tc>
          <w:tcPr>
            <w:tcW w:w="6552" w:type="dxa"/>
            <w:tcMar>
              <w:top w:w="147" w:type="dxa"/>
              <w:left w:w="113" w:type="dxa"/>
              <w:bottom w:w="5" w:type="dxa"/>
              <w:right w:w="113" w:type="dxa"/>
            </w:tcMar>
            <w:hideMark/>
          </w:tcPr>
          <w:p w14:paraId="426622B3"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Amended to include the following statement:</w:t>
            </w:r>
          </w:p>
          <w:p w14:paraId="634E0AD6" w14:textId="77777777" w:rsidR="00592C29" w:rsidRPr="00984C20" w:rsidRDefault="00592C29" w:rsidP="00984C20">
            <w:pPr>
              <w:spacing w:line="280" w:lineRule="atLeast"/>
              <w:ind w:right="72"/>
              <w:jc w:val="both"/>
            </w:pPr>
          </w:p>
          <w:p w14:paraId="44029D77"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The LIMIT(S)</w:t>
            </w:r>
            <w:r w:rsidRPr="00984C20">
              <w:rPr>
                <w:rFonts w:ascii="Trebuchet MS" w:eastAsia="Trebuchet MS" w:hAnsi="Trebuchet MS" w:cs="Trebuchet MS"/>
                <w:sz w:val="22"/>
                <w:szCs w:val="22"/>
                <w:shd w:val="clear" w:color="auto" w:fill="00FF00"/>
                <w:vertAlign w:val="superscript"/>
              </w:rPr>
              <w:t>3</w:t>
            </w:r>
            <w:r w:rsidRPr="00984C20">
              <w:rPr>
                <w:rFonts w:ascii="Trebuchet MS" w:eastAsia="Trebuchet MS" w:hAnsi="Trebuchet MS" w:cs="Trebuchet MS"/>
                <w:sz w:val="22"/>
                <w:szCs w:val="22"/>
              </w:rPr>
              <w:t xml:space="preserve"> OF LIABILITY stated hereunder is/are</w:t>
            </w:r>
            <w:r w:rsidRPr="00984C20">
              <w:rPr>
                <w:rFonts w:ascii="Trebuchet MS" w:eastAsia="Trebuchet MS" w:hAnsi="Trebuchet MS" w:cs="Trebuchet MS"/>
                <w:sz w:val="22"/>
                <w:szCs w:val="22"/>
                <w:shd w:val="clear" w:color="auto" w:fill="00FF00"/>
                <w:vertAlign w:val="superscript"/>
              </w:rPr>
              <w:t>3</w:t>
            </w:r>
            <w:r w:rsidRPr="00984C20">
              <w:rPr>
                <w:rFonts w:ascii="Trebuchet MS" w:eastAsia="Trebuchet MS" w:hAnsi="Trebuchet MS" w:cs="Trebuchet MS"/>
                <w:sz w:val="22"/>
                <w:szCs w:val="22"/>
              </w:rPr>
              <w:t xml:space="preserve"> applicable to both Part 1 (EEA risks) and Part 2 (non-EEA risks) combined. </w:t>
            </w:r>
          </w:p>
        </w:tc>
      </w:tr>
      <w:tr w:rsidR="00592C29" w:rsidRPr="00984C20" w14:paraId="0851F955" w14:textId="77777777">
        <w:tc>
          <w:tcPr>
            <w:tcW w:w="2526" w:type="dxa"/>
            <w:tcMar>
              <w:top w:w="147" w:type="dxa"/>
              <w:left w:w="113" w:type="dxa"/>
              <w:bottom w:w="5" w:type="dxa"/>
              <w:right w:w="113" w:type="dxa"/>
            </w:tcMar>
            <w:hideMark/>
          </w:tcPr>
          <w:p w14:paraId="7BD768AE" w14:textId="77777777" w:rsidR="00592C29" w:rsidRPr="00984C20" w:rsidRDefault="0048296D" w:rsidP="00984C20">
            <w:pPr>
              <w:spacing w:line="280" w:lineRule="atLeast"/>
            </w:pPr>
            <w:r w:rsidRPr="00984C20">
              <w:rPr>
                <w:rFonts w:ascii="Trebuchet MS" w:eastAsia="Trebuchet MS" w:hAnsi="Trebuchet MS" w:cs="Trebuchet MS"/>
                <w:b/>
                <w:bCs/>
                <w:sz w:val="22"/>
                <w:szCs w:val="22"/>
              </w:rPr>
              <w:t>DEDUCTIBLE(S)</w:t>
            </w:r>
            <w:r w:rsidRPr="00984C20">
              <w:rPr>
                <w:rFonts w:ascii="Arial" w:eastAsia="Arial" w:hAnsi="Arial" w:cs="Arial"/>
                <w:sz w:val="20"/>
                <w:szCs w:val="20"/>
                <w:vertAlign w:val="superscript"/>
              </w:rPr>
              <w:footnoteReference w:id="4"/>
            </w:r>
            <w:r w:rsidRPr="00984C20">
              <w:rPr>
                <w:rFonts w:ascii="Trebuchet MS" w:eastAsia="Trebuchet MS" w:hAnsi="Trebuchet MS" w:cs="Trebuchet MS"/>
                <w:b/>
                <w:bCs/>
                <w:sz w:val="22"/>
                <w:szCs w:val="22"/>
              </w:rPr>
              <w:t>:</w:t>
            </w:r>
          </w:p>
        </w:tc>
        <w:tc>
          <w:tcPr>
            <w:tcW w:w="6552" w:type="dxa"/>
            <w:tcMar>
              <w:top w:w="147" w:type="dxa"/>
              <w:left w:w="113" w:type="dxa"/>
              <w:bottom w:w="5" w:type="dxa"/>
              <w:right w:w="113" w:type="dxa"/>
            </w:tcMar>
            <w:hideMark/>
          </w:tcPr>
          <w:p w14:paraId="1FB33292"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Amended to include the following statement:</w:t>
            </w:r>
          </w:p>
          <w:p w14:paraId="38A7DC1D" w14:textId="77777777" w:rsidR="00592C29" w:rsidRPr="00984C20" w:rsidRDefault="00592C29" w:rsidP="00984C20">
            <w:pPr>
              <w:spacing w:line="280" w:lineRule="atLeast"/>
              <w:ind w:right="72"/>
              <w:jc w:val="both"/>
            </w:pPr>
          </w:p>
          <w:p w14:paraId="1AB40C8B"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The DEDUCTIBLE(S)</w:t>
            </w:r>
            <w:r w:rsidRPr="00984C20">
              <w:rPr>
                <w:rFonts w:ascii="Trebuchet MS" w:eastAsia="Trebuchet MS" w:hAnsi="Trebuchet MS" w:cs="Trebuchet MS"/>
                <w:sz w:val="22"/>
                <w:szCs w:val="22"/>
                <w:shd w:val="clear" w:color="auto" w:fill="00FF00"/>
                <w:vertAlign w:val="superscript"/>
              </w:rPr>
              <w:t>4</w:t>
            </w:r>
            <w:r w:rsidRPr="00984C20">
              <w:rPr>
                <w:rFonts w:ascii="Trebuchet MS" w:eastAsia="Trebuchet MS" w:hAnsi="Trebuchet MS" w:cs="Trebuchet MS"/>
                <w:sz w:val="22"/>
                <w:szCs w:val="22"/>
              </w:rPr>
              <w:t xml:space="preserve"> stated hereunder is/are</w:t>
            </w:r>
            <w:r w:rsidRPr="00984C20">
              <w:rPr>
                <w:rFonts w:ascii="Trebuchet MS" w:eastAsia="Trebuchet MS" w:hAnsi="Trebuchet MS" w:cs="Trebuchet MS"/>
                <w:sz w:val="22"/>
                <w:szCs w:val="22"/>
                <w:shd w:val="clear" w:color="auto" w:fill="00FF00"/>
                <w:vertAlign w:val="superscript"/>
              </w:rPr>
              <w:t>4</w:t>
            </w:r>
            <w:r w:rsidRPr="00984C20">
              <w:rPr>
                <w:rFonts w:ascii="Trebuchet MS" w:eastAsia="Trebuchet MS" w:hAnsi="Trebuchet MS" w:cs="Trebuchet MS"/>
                <w:sz w:val="22"/>
                <w:szCs w:val="22"/>
              </w:rPr>
              <w:t xml:space="preserve"> applicable to both Part 1 (EEA risks) and Part 2 (non-EEA risks) combined. </w:t>
            </w:r>
          </w:p>
        </w:tc>
      </w:tr>
      <w:tr w:rsidR="00592C29" w:rsidRPr="00984C20" w14:paraId="663A1A20" w14:textId="77777777">
        <w:tc>
          <w:tcPr>
            <w:tcW w:w="2526" w:type="dxa"/>
            <w:tcMar>
              <w:top w:w="147" w:type="dxa"/>
              <w:left w:w="113" w:type="dxa"/>
              <w:bottom w:w="5" w:type="dxa"/>
              <w:right w:w="113" w:type="dxa"/>
            </w:tcMar>
            <w:hideMark/>
          </w:tcPr>
          <w:p w14:paraId="4BD6D445" w14:textId="77777777" w:rsidR="00592C29" w:rsidRPr="00984C20" w:rsidRDefault="0048296D" w:rsidP="00984C20">
            <w:pPr>
              <w:spacing w:line="280" w:lineRule="atLeast"/>
            </w:pPr>
            <w:r w:rsidRPr="00984C20">
              <w:rPr>
                <w:rFonts w:ascii="Trebuchet MS" w:eastAsia="Trebuchet MS" w:hAnsi="Trebuchet MS" w:cs="Trebuchet MS"/>
                <w:b/>
                <w:bCs/>
                <w:sz w:val="22"/>
                <w:szCs w:val="22"/>
              </w:rPr>
              <w:t>CONDITIONS:</w:t>
            </w:r>
          </w:p>
        </w:tc>
        <w:tc>
          <w:tcPr>
            <w:tcW w:w="6552" w:type="dxa"/>
            <w:tcMar>
              <w:top w:w="147" w:type="dxa"/>
              <w:left w:w="113" w:type="dxa"/>
              <w:bottom w:w="5" w:type="dxa"/>
              <w:right w:w="113" w:type="dxa"/>
            </w:tcMar>
            <w:hideMark/>
          </w:tcPr>
          <w:p w14:paraId="0B9A4338"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 xml:space="preserve">Amended to include: </w:t>
            </w:r>
          </w:p>
          <w:p w14:paraId="38118141" w14:textId="77777777" w:rsidR="00592C29" w:rsidRPr="00984C20" w:rsidRDefault="00592C29" w:rsidP="00984C20">
            <w:pPr>
              <w:spacing w:line="280" w:lineRule="atLeast"/>
              <w:ind w:right="72"/>
              <w:jc w:val="both"/>
            </w:pPr>
          </w:p>
          <w:p w14:paraId="12986026"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 xml:space="preserve">Part 1 (EEA risk) of this contract of (re)insurance is applicable to EEA risks only. </w:t>
            </w:r>
          </w:p>
          <w:p w14:paraId="7AAD5ADB" w14:textId="77777777" w:rsidR="00592C29" w:rsidRPr="00984C20" w:rsidRDefault="00592C29" w:rsidP="00984C20">
            <w:pPr>
              <w:spacing w:line="280" w:lineRule="atLeast"/>
              <w:ind w:right="72"/>
              <w:jc w:val="both"/>
            </w:pPr>
          </w:p>
          <w:p w14:paraId="67838795"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 xml:space="preserve">Part 2 (non-EEA risks) of this contract of (re)insurance is applicable to non-EEA risks only. </w:t>
            </w:r>
          </w:p>
          <w:p w14:paraId="3BF53B11" w14:textId="77777777" w:rsidR="00592C29" w:rsidRPr="00984C20" w:rsidRDefault="00592C29" w:rsidP="00984C20">
            <w:pPr>
              <w:spacing w:line="280" w:lineRule="atLeast"/>
              <w:ind w:right="72"/>
              <w:jc w:val="both"/>
            </w:pPr>
          </w:p>
          <w:p w14:paraId="49E7D025"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 xml:space="preserve">The Conditions of this contract of (Re)insurance are applicable to both Part 1 (EEA risks) and Part 2 (non-EEA risks) combined.  </w:t>
            </w:r>
          </w:p>
          <w:p w14:paraId="5D28F488" w14:textId="77777777" w:rsidR="00592C29" w:rsidRPr="00984C20" w:rsidRDefault="00592C29" w:rsidP="00984C20">
            <w:pPr>
              <w:spacing w:line="280" w:lineRule="atLeast"/>
              <w:ind w:right="72"/>
              <w:jc w:val="both"/>
            </w:pPr>
          </w:p>
          <w:p w14:paraId="0739DE20"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The following clauses are applicable to both Part 1 (EEA risks) and Part 2 (non-EEA risks):</w:t>
            </w:r>
          </w:p>
          <w:p w14:paraId="520B277F" w14:textId="77777777" w:rsidR="00592C29" w:rsidRPr="00984C20" w:rsidRDefault="00592C29" w:rsidP="00984C20">
            <w:pPr>
              <w:spacing w:line="280" w:lineRule="atLeast"/>
              <w:ind w:right="72"/>
              <w:jc w:val="both"/>
            </w:pPr>
          </w:p>
          <w:p w14:paraId="10F723FB" w14:textId="77777777" w:rsidR="00592C29" w:rsidRPr="009E5E40" w:rsidRDefault="0048296D" w:rsidP="00984C20">
            <w:pPr>
              <w:spacing w:line="276" w:lineRule="auto"/>
              <w:rPr>
                <w:sz w:val="22"/>
                <w:szCs w:val="22"/>
              </w:rPr>
            </w:pPr>
            <w:r w:rsidRPr="009E5E40">
              <w:rPr>
                <w:rFonts w:ascii="Trebuchet MS" w:eastAsia="Trebuchet MS" w:hAnsi="Trebuchet MS" w:cs="Trebuchet MS"/>
                <w:sz w:val="22"/>
                <w:szCs w:val="22"/>
                <w:u w:val="single" w:color="B5082E"/>
              </w:rPr>
              <w:t>Shared Limits Endorsement</w:t>
            </w:r>
          </w:p>
          <w:p w14:paraId="742C1CC9" w14:textId="77777777" w:rsidR="00592C29" w:rsidRPr="00984C20" w:rsidRDefault="0048296D" w:rsidP="00984C20">
            <w:pPr>
              <w:spacing w:line="276" w:lineRule="auto"/>
              <w:rPr>
                <w:sz w:val="22"/>
                <w:szCs w:val="22"/>
              </w:rPr>
            </w:pPr>
            <w:r w:rsidRPr="00984C20">
              <w:rPr>
                <w:rFonts w:ascii="Trebuchet MS" w:eastAsia="Trebuchet MS" w:hAnsi="Trebuchet MS" w:cs="Trebuchet MS"/>
                <w:sz w:val="22"/>
                <w:szCs w:val="22"/>
              </w:rPr>
              <w:t>The total amount payable under the applicable limits of Part 1 of this contract of (re)insurance combined with the co</w:t>
            </w:r>
            <w:bookmarkStart w:id="80" w:name="_GoBack"/>
            <w:bookmarkEnd w:id="80"/>
            <w:r w:rsidRPr="00984C20">
              <w:rPr>
                <w:rFonts w:ascii="Trebuchet MS" w:eastAsia="Trebuchet MS" w:hAnsi="Trebuchet MS" w:cs="Trebuchet MS"/>
                <w:sz w:val="22"/>
                <w:szCs w:val="22"/>
              </w:rPr>
              <w:t xml:space="preserve">rresponding limits of Part 2 of this contract of (re)insurance </w:t>
            </w:r>
            <w:r w:rsidRPr="00984C20">
              <w:rPr>
                <w:rFonts w:ascii="Trebuchet MS" w:eastAsia="Trebuchet MS" w:hAnsi="Trebuchet MS" w:cs="Trebuchet MS"/>
                <w:sz w:val="22"/>
                <w:szCs w:val="22"/>
              </w:rPr>
              <w:lastRenderedPageBreak/>
              <w:t xml:space="preserve">in respect of </w:t>
            </w:r>
            <w:r w:rsidRPr="00984C20">
              <w:rPr>
                <w:rFonts w:ascii="Trebuchet MS" w:eastAsia="Trebuchet MS" w:hAnsi="Trebuchet MS" w:cs="Trebuchet MS"/>
                <w:i/>
                <w:iCs/>
                <w:sz w:val="22"/>
                <w:szCs w:val="22"/>
                <w:shd w:val="clear" w:color="auto" w:fill="FFFF00"/>
              </w:rPr>
              <w:t>{each and every loss and/or occurrence and/or claim and/or in the aggregate}</w:t>
            </w:r>
            <w:r w:rsidRPr="00984C20">
              <w:rPr>
                <w:rFonts w:ascii="Arial" w:eastAsia="Arial" w:hAnsi="Arial" w:cs="Arial"/>
                <w:sz w:val="20"/>
                <w:szCs w:val="20"/>
                <w:vertAlign w:val="superscript"/>
              </w:rPr>
              <w:footnoteReference w:id="5"/>
            </w:r>
            <w:r w:rsidRPr="00984C20">
              <w:rPr>
                <w:rFonts w:ascii="Trebuchet MS" w:eastAsia="Trebuchet MS" w:hAnsi="Trebuchet MS" w:cs="Trebuchet MS"/>
                <w:sz w:val="22"/>
                <w:szCs w:val="22"/>
              </w:rPr>
              <w:t xml:space="preserve"> shall not exceed the applicable limits of this contract of (re)insurance.</w:t>
            </w:r>
          </w:p>
          <w:p w14:paraId="0BB5FABC" w14:textId="77777777" w:rsidR="00592C29" w:rsidRPr="00984C20" w:rsidRDefault="0048296D" w:rsidP="00984C20">
            <w:pPr>
              <w:spacing w:line="276" w:lineRule="auto"/>
              <w:rPr>
                <w:sz w:val="22"/>
                <w:szCs w:val="22"/>
              </w:rPr>
            </w:pPr>
            <w:r w:rsidRPr="00984C20">
              <w:rPr>
                <w:rFonts w:ascii="Trebuchet MS" w:eastAsia="Trebuchet MS" w:hAnsi="Trebuchet MS" w:cs="Trebuchet MS"/>
                <w:sz w:val="22"/>
                <w:szCs w:val="22"/>
              </w:rPr>
              <w:t>LMA5333 (amended)</w:t>
            </w:r>
          </w:p>
          <w:p w14:paraId="5F60C314" w14:textId="77777777" w:rsidR="00592C29" w:rsidRPr="00984C20" w:rsidRDefault="00592C29" w:rsidP="00984C20">
            <w:pPr>
              <w:spacing w:line="276" w:lineRule="auto"/>
              <w:rPr>
                <w:sz w:val="22"/>
                <w:szCs w:val="22"/>
              </w:rPr>
            </w:pPr>
          </w:p>
          <w:p w14:paraId="1E28CCBB" w14:textId="77777777" w:rsidR="00592C29" w:rsidRPr="00984C20" w:rsidRDefault="0048296D" w:rsidP="00984C20">
            <w:pPr>
              <w:spacing w:line="276" w:lineRule="auto"/>
              <w:rPr>
                <w:sz w:val="22"/>
                <w:szCs w:val="22"/>
              </w:rPr>
            </w:pPr>
            <w:r w:rsidRPr="00984C20">
              <w:rPr>
                <w:rFonts w:ascii="Trebuchet MS" w:eastAsia="Trebuchet MS" w:hAnsi="Trebuchet MS" w:cs="Trebuchet MS"/>
                <w:sz w:val="22"/>
                <w:szCs w:val="22"/>
                <w:u w:val="single" w:color="B5082E"/>
              </w:rPr>
              <w:t>Shared Aggregate Deductible Endorsement</w:t>
            </w:r>
          </w:p>
          <w:p w14:paraId="1E42DC15" w14:textId="77777777" w:rsidR="00592C29" w:rsidRPr="00984C20" w:rsidRDefault="0048296D" w:rsidP="00984C20">
            <w:pPr>
              <w:spacing w:line="276" w:lineRule="auto"/>
              <w:rPr>
                <w:sz w:val="22"/>
                <w:szCs w:val="22"/>
              </w:rPr>
            </w:pPr>
            <w:r w:rsidRPr="00984C20">
              <w:rPr>
                <w:rFonts w:ascii="Trebuchet MS" w:eastAsia="Trebuchet MS" w:hAnsi="Trebuchet MS" w:cs="Trebuchet MS"/>
                <w:sz w:val="22"/>
                <w:szCs w:val="22"/>
              </w:rPr>
              <w:t>Where there is an aggregate deductible applicable, this shall be a single aggregate deductible applicable to both Part 1 (EEA risks) of this contract of (re)insurance and Part 2 (non-EEA risks) of this contract of (re)insurance which shall be eroded by losses otherwise recoverable under either contract of (re)insurance.</w:t>
            </w:r>
          </w:p>
          <w:p w14:paraId="0601C34F" w14:textId="77777777" w:rsidR="00592C29" w:rsidRPr="00984C20" w:rsidRDefault="0048296D" w:rsidP="00984C20">
            <w:pPr>
              <w:spacing w:line="276" w:lineRule="auto"/>
              <w:rPr>
                <w:sz w:val="22"/>
                <w:szCs w:val="22"/>
              </w:rPr>
            </w:pPr>
            <w:r w:rsidRPr="00984C20">
              <w:rPr>
                <w:rFonts w:ascii="Trebuchet MS" w:eastAsia="Trebuchet MS" w:hAnsi="Trebuchet MS" w:cs="Trebuchet MS"/>
                <w:sz w:val="22"/>
                <w:szCs w:val="22"/>
              </w:rPr>
              <w:t>LMA5334 (amended)</w:t>
            </w:r>
          </w:p>
          <w:p w14:paraId="0CAE7196" w14:textId="77777777" w:rsidR="00592C29" w:rsidRPr="00984C20" w:rsidRDefault="00592C29" w:rsidP="00984C20">
            <w:pPr>
              <w:spacing w:line="280" w:lineRule="atLeast"/>
              <w:ind w:right="72"/>
              <w:jc w:val="both"/>
            </w:pPr>
          </w:p>
          <w:p w14:paraId="1B4850B3"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The following clauses are applicable to Part 1 (EEA risks) only:</w:t>
            </w:r>
          </w:p>
          <w:p w14:paraId="404CA843" w14:textId="77777777" w:rsidR="00592C29" w:rsidRPr="00984C20" w:rsidRDefault="00592C29" w:rsidP="00984C20">
            <w:pPr>
              <w:spacing w:line="276" w:lineRule="auto"/>
              <w:rPr>
                <w:sz w:val="22"/>
                <w:szCs w:val="22"/>
              </w:rPr>
            </w:pPr>
          </w:p>
          <w:p w14:paraId="57DFE5E2" w14:textId="77777777" w:rsidR="00592C29" w:rsidRPr="00984C20" w:rsidRDefault="0048296D" w:rsidP="00984C20">
            <w:pPr>
              <w:spacing w:line="276" w:lineRule="auto"/>
              <w:rPr>
                <w:sz w:val="22"/>
                <w:szCs w:val="22"/>
              </w:rPr>
            </w:pPr>
            <w:r w:rsidRPr="00984C20">
              <w:rPr>
                <w:rFonts w:ascii="Trebuchet MS" w:eastAsia="Trebuchet MS" w:hAnsi="Trebuchet MS" w:cs="Trebuchet MS"/>
                <w:sz w:val="22"/>
                <w:szCs w:val="22"/>
                <w:u w:val="single" w:color="B5082E"/>
              </w:rPr>
              <w:t>Service of Suit and Jurisdiction Clause</w:t>
            </w:r>
            <w:r w:rsidRPr="00984C20">
              <w:rPr>
                <w:rFonts w:ascii="Arial" w:eastAsia="Arial" w:hAnsi="Arial" w:cs="Arial"/>
                <w:sz w:val="20"/>
                <w:szCs w:val="20"/>
                <w:vertAlign w:val="superscript"/>
              </w:rPr>
              <w:footnoteReference w:id="6"/>
            </w:r>
          </w:p>
          <w:p w14:paraId="133A342E" w14:textId="77777777" w:rsidR="00592C29" w:rsidRPr="00984C20" w:rsidRDefault="0048296D" w:rsidP="00984C20">
            <w:pPr>
              <w:spacing w:line="276" w:lineRule="auto"/>
              <w:rPr>
                <w:sz w:val="22"/>
                <w:szCs w:val="22"/>
              </w:rPr>
            </w:pPr>
            <w:r w:rsidRPr="00984C20">
              <w:rPr>
                <w:rFonts w:ascii="Trebuchet MS" w:eastAsia="Trebuchet MS" w:hAnsi="Trebuchet MS" w:cs="Trebuchet MS"/>
                <w:sz w:val="22"/>
                <w:szCs w:val="22"/>
              </w:rPr>
              <w:t>It is agreed that this Insurance shall be governed exclusively by the law and practice of the country stated under the LAW AND JURISDICTION heading, and any disputes arising under, out of or in connection with this Insurance shall be exclusively subject to the jurisdiction of any competent court in the country stated under the LAW AND JURISDICTION heading</w:t>
            </w:r>
            <w:r w:rsidRPr="00984C20">
              <w:rPr>
                <w:rFonts w:ascii="Arial" w:eastAsia="Arial" w:hAnsi="Arial" w:cs="Arial"/>
                <w:sz w:val="20"/>
                <w:szCs w:val="20"/>
                <w:vertAlign w:val="superscript"/>
              </w:rPr>
              <w:footnoteReference w:id="7"/>
            </w:r>
            <w:r w:rsidRPr="00984C20">
              <w:rPr>
                <w:rFonts w:ascii="Trebuchet MS" w:eastAsia="Trebuchet MS" w:hAnsi="Trebuchet MS" w:cs="Trebuchet MS"/>
                <w:sz w:val="22"/>
                <w:szCs w:val="22"/>
              </w:rPr>
              <w:t>.</w:t>
            </w:r>
          </w:p>
          <w:p w14:paraId="3623F742" w14:textId="77777777" w:rsidR="00592C29" w:rsidRPr="00984C20" w:rsidRDefault="00592C29" w:rsidP="00984C20">
            <w:pPr>
              <w:spacing w:line="276" w:lineRule="auto"/>
              <w:rPr>
                <w:sz w:val="22"/>
                <w:szCs w:val="22"/>
              </w:rPr>
            </w:pPr>
          </w:p>
          <w:p w14:paraId="1CD16F74" w14:textId="77777777" w:rsidR="00592C29" w:rsidRPr="00984C20" w:rsidRDefault="0048296D" w:rsidP="00984C20">
            <w:pPr>
              <w:spacing w:line="276" w:lineRule="auto"/>
              <w:rPr>
                <w:sz w:val="22"/>
                <w:szCs w:val="22"/>
              </w:rPr>
            </w:pPr>
            <w:r w:rsidRPr="00984C20">
              <w:rPr>
                <w:rFonts w:ascii="Trebuchet MS" w:eastAsia="Trebuchet MS" w:hAnsi="Trebuchet MS" w:cs="Trebuchet MS"/>
                <w:sz w:val="22"/>
                <w:szCs w:val="22"/>
              </w:rPr>
              <w:t xml:space="preserve">Lloyd’s Insurance Company S.A. hereby agrees that all summonses, notices or processes requiring to be served upon it for the purpose of instituting any legal proceedings against them in connection with this Insurance shall be properly served if addressed to it and delivered to it care of </w:t>
            </w:r>
          </w:p>
          <w:p w14:paraId="29AD6BC4" w14:textId="77777777" w:rsidR="00592C29" w:rsidRPr="00984C20" w:rsidRDefault="00592C29" w:rsidP="00984C20">
            <w:pPr>
              <w:spacing w:line="276" w:lineRule="auto"/>
              <w:rPr>
                <w:sz w:val="22"/>
                <w:szCs w:val="22"/>
              </w:rPr>
            </w:pPr>
          </w:p>
          <w:p w14:paraId="7D0C01A3" w14:textId="77777777" w:rsidR="00592C29" w:rsidRPr="00984C20" w:rsidRDefault="0048296D" w:rsidP="00984C20">
            <w:pPr>
              <w:spacing w:line="276" w:lineRule="auto"/>
              <w:rPr>
                <w:sz w:val="22"/>
                <w:szCs w:val="22"/>
              </w:rPr>
            </w:pPr>
            <w:r w:rsidRPr="00984C20">
              <w:rPr>
                <w:rFonts w:ascii="Trebuchet MS" w:eastAsia="Trebuchet MS" w:hAnsi="Trebuchet MS" w:cs="Trebuchet MS"/>
                <w:i/>
                <w:iCs/>
                <w:sz w:val="22"/>
                <w:szCs w:val="22"/>
                <w:shd w:val="clear" w:color="auto" w:fill="FFFF00"/>
              </w:rPr>
              <w:t xml:space="preserve">{Response – insert EEA </w:t>
            </w:r>
            <w:proofErr w:type="spellStart"/>
            <w:r w:rsidRPr="00984C20">
              <w:rPr>
                <w:rFonts w:ascii="Trebuchet MS" w:eastAsia="Trebuchet MS" w:hAnsi="Trebuchet MS" w:cs="Trebuchet MS"/>
                <w:i/>
                <w:iCs/>
                <w:sz w:val="22"/>
                <w:szCs w:val="22"/>
                <w:shd w:val="clear" w:color="auto" w:fill="FFFF00"/>
              </w:rPr>
              <w:t>licenced</w:t>
            </w:r>
            <w:proofErr w:type="spellEnd"/>
            <w:r w:rsidRPr="00984C20">
              <w:rPr>
                <w:rFonts w:ascii="Trebuchet MS" w:eastAsia="Trebuchet MS" w:hAnsi="Trebuchet MS" w:cs="Trebuchet MS"/>
                <w:i/>
                <w:iCs/>
                <w:sz w:val="22"/>
                <w:szCs w:val="22"/>
                <w:shd w:val="clear" w:color="auto" w:fill="FFFF00"/>
              </w:rPr>
              <w:t xml:space="preserve"> Broker contact details}</w:t>
            </w:r>
          </w:p>
          <w:p w14:paraId="50A7B656" w14:textId="77777777" w:rsidR="00592C29" w:rsidRPr="00984C20" w:rsidRDefault="00592C29" w:rsidP="00984C20">
            <w:pPr>
              <w:spacing w:line="276" w:lineRule="auto"/>
              <w:rPr>
                <w:sz w:val="22"/>
                <w:szCs w:val="22"/>
              </w:rPr>
            </w:pPr>
          </w:p>
          <w:p w14:paraId="4D0ADF47" w14:textId="77777777" w:rsidR="00592C29" w:rsidRPr="00984C20" w:rsidRDefault="0048296D" w:rsidP="00984C20">
            <w:pPr>
              <w:spacing w:line="276" w:lineRule="auto"/>
              <w:rPr>
                <w:sz w:val="22"/>
                <w:szCs w:val="22"/>
              </w:rPr>
            </w:pPr>
            <w:r w:rsidRPr="00984C20">
              <w:rPr>
                <w:rFonts w:ascii="Trebuchet MS" w:eastAsia="Trebuchet MS" w:hAnsi="Trebuchet MS" w:cs="Trebuchet MS"/>
                <w:sz w:val="22"/>
                <w:szCs w:val="22"/>
              </w:rPr>
              <w:t>who in this instance, has authority to accept service on its behalf.</w:t>
            </w:r>
          </w:p>
          <w:p w14:paraId="35247F0F" w14:textId="77777777" w:rsidR="00592C29" w:rsidRPr="00984C20" w:rsidRDefault="00592C29" w:rsidP="00984C20">
            <w:pPr>
              <w:spacing w:line="276" w:lineRule="auto"/>
              <w:rPr>
                <w:sz w:val="22"/>
                <w:szCs w:val="22"/>
              </w:rPr>
            </w:pPr>
          </w:p>
          <w:p w14:paraId="542B3B3D" w14:textId="77777777" w:rsidR="00592C29" w:rsidRPr="00984C20" w:rsidRDefault="0048296D" w:rsidP="00984C20">
            <w:pPr>
              <w:spacing w:line="276" w:lineRule="auto"/>
              <w:rPr>
                <w:sz w:val="22"/>
                <w:szCs w:val="22"/>
              </w:rPr>
            </w:pPr>
            <w:r w:rsidRPr="00984C20">
              <w:rPr>
                <w:rFonts w:ascii="Trebuchet MS" w:eastAsia="Trebuchet MS" w:hAnsi="Trebuchet MS" w:cs="Trebuchet MS"/>
                <w:sz w:val="22"/>
                <w:szCs w:val="22"/>
              </w:rPr>
              <w:t>Lloyd’s Insurance Company S.A. by giving the above authority does not renounce its right to any special delays or periods of time to which it may be entitled for the service of any such summonses, notices or processes by reason of its residence or domicile in Belgium.</w:t>
            </w:r>
          </w:p>
          <w:p w14:paraId="198C765E" w14:textId="77777777" w:rsidR="00592C29" w:rsidRPr="00984C20" w:rsidRDefault="0048296D" w:rsidP="00984C20">
            <w:pPr>
              <w:spacing w:line="276" w:lineRule="auto"/>
              <w:rPr>
                <w:sz w:val="22"/>
                <w:szCs w:val="22"/>
              </w:rPr>
            </w:pPr>
            <w:r w:rsidRPr="00984C20">
              <w:rPr>
                <w:rFonts w:ascii="Trebuchet MS" w:eastAsia="Trebuchet MS" w:hAnsi="Trebuchet MS" w:cs="Trebuchet MS"/>
                <w:sz w:val="22"/>
                <w:szCs w:val="22"/>
              </w:rPr>
              <w:t>LBS0006 (amended)</w:t>
            </w:r>
          </w:p>
          <w:p w14:paraId="3CA5BA82" w14:textId="77777777" w:rsidR="00592C29" w:rsidRPr="00984C20" w:rsidRDefault="00592C29" w:rsidP="00984C20">
            <w:pPr>
              <w:spacing w:line="276" w:lineRule="auto"/>
              <w:rPr>
                <w:sz w:val="22"/>
                <w:szCs w:val="22"/>
              </w:rPr>
            </w:pPr>
          </w:p>
          <w:p w14:paraId="3CF0D635" w14:textId="77777777" w:rsidR="00592C29" w:rsidRPr="00984C20" w:rsidRDefault="0048296D" w:rsidP="00984C20">
            <w:pPr>
              <w:spacing w:line="276" w:lineRule="auto"/>
              <w:rPr>
                <w:sz w:val="22"/>
                <w:szCs w:val="22"/>
              </w:rPr>
            </w:pPr>
            <w:r w:rsidRPr="00984C20">
              <w:rPr>
                <w:rFonts w:ascii="Trebuchet MS" w:eastAsia="Trebuchet MS" w:hAnsi="Trebuchet MS" w:cs="Trebuchet MS"/>
                <w:sz w:val="22"/>
                <w:szCs w:val="22"/>
                <w:u w:val="single" w:color="B5082E"/>
              </w:rPr>
              <w:t>EU Law and Regulation Clarification Clause (on or after Brexit)</w:t>
            </w:r>
          </w:p>
          <w:p w14:paraId="7E5685F1" w14:textId="77777777" w:rsidR="00592C29" w:rsidRPr="00984C20" w:rsidRDefault="0048296D" w:rsidP="00984C20">
            <w:pPr>
              <w:spacing w:line="276" w:lineRule="auto"/>
              <w:rPr>
                <w:sz w:val="22"/>
                <w:szCs w:val="22"/>
              </w:rPr>
            </w:pPr>
            <w:r w:rsidRPr="00984C20">
              <w:rPr>
                <w:rFonts w:ascii="Trebuchet MS" w:eastAsia="Trebuchet MS" w:hAnsi="Trebuchet MS" w:cs="Trebuchet MS"/>
                <w:sz w:val="22"/>
                <w:szCs w:val="22"/>
              </w:rPr>
              <w:lastRenderedPageBreak/>
              <w:t>In the case of any grant or exclusion or restriction of coverage in respect of the Insured’s liability under or compliance with European Union law or regulation, following the United Kingdom’s withdrawal from the European Union, any reference in this contract of (re)insurance to European Union law or regulation shall include equivalent domestic laws of England &amp; Wales, Scotland and/or Northern Ireland or equivalent United Kingdom regulation.</w:t>
            </w:r>
          </w:p>
          <w:p w14:paraId="585D74D2" w14:textId="77777777" w:rsidR="00592C29" w:rsidRPr="00984C20" w:rsidRDefault="00592C29" w:rsidP="00984C20">
            <w:pPr>
              <w:spacing w:line="276" w:lineRule="auto"/>
              <w:rPr>
                <w:sz w:val="22"/>
                <w:szCs w:val="22"/>
              </w:rPr>
            </w:pPr>
          </w:p>
          <w:p w14:paraId="14578950" w14:textId="77777777" w:rsidR="00592C29" w:rsidRPr="00984C20" w:rsidRDefault="0048296D" w:rsidP="00984C20">
            <w:pPr>
              <w:spacing w:line="276" w:lineRule="auto"/>
              <w:rPr>
                <w:sz w:val="22"/>
                <w:szCs w:val="22"/>
              </w:rPr>
            </w:pPr>
            <w:r w:rsidRPr="00984C20">
              <w:rPr>
                <w:rFonts w:ascii="Trebuchet MS" w:eastAsia="Trebuchet MS" w:hAnsi="Trebuchet MS" w:cs="Trebuchet MS"/>
                <w:sz w:val="22"/>
                <w:szCs w:val="22"/>
              </w:rPr>
              <w:t>If this clause conflicts with any other clause in the contract of (re)insurance, the terms of this clause shall prevail.</w:t>
            </w:r>
          </w:p>
          <w:p w14:paraId="7D3B808D" w14:textId="77777777" w:rsidR="00592C29" w:rsidRPr="00984C20" w:rsidRDefault="0048296D" w:rsidP="00984C20">
            <w:pPr>
              <w:spacing w:line="276" w:lineRule="auto"/>
              <w:rPr>
                <w:sz w:val="22"/>
                <w:szCs w:val="22"/>
              </w:rPr>
            </w:pPr>
            <w:r w:rsidRPr="00984C20">
              <w:rPr>
                <w:rFonts w:ascii="Trebuchet MS" w:eastAsia="Trebuchet MS" w:hAnsi="Trebuchet MS" w:cs="Trebuchet MS"/>
                <w:sz w:val="22"/>
                <w:szCs w:val="22"/>
              </w:rPr>
              <w:t>LMA5335 (amended)</w:t>
            </w:r>
          </w:p>
          <w:p w14:paraId="6EBF8DCB" w14:textId="77777777" w:rsidR="00592C29" w:rsidRPr="00984C20" w:rsidRDefault="00592C29" w:rsidP="00984C20">
            <w:pPr>
              <w:spacing w:line="276" w:lineRule="auto"/>
              <w:rPr>
                <w:sz w:val="22"/>
                <w:szCs w:val="22"/>
              </w:rPr>
            </w:pPr>
          </w:p>
          <w:p w14:paraId="45AF863A" w14:textId="77777777" w:rsidR="00592C29" w:rsidRPr="00984C20" w:rsidRDefault="0048296D" w:rsidP="00984C20">
            <w:pPr>
              <w:spacing w:line="276" w:lineRule="auto"/>
              <w:rPr>
                <w:sz w:val="22"/>
                <w:szCs w:val="22"/>
              </w:rPr>
            </w:pPr>
            <w:r w:rsidRPr="00984C20">
              <w:rPr>
                <w:rFonts w:ascii="Trebuchet MS" w:eastAsia="Trebuchet MS" w:hAnsi="Trebuchet MS" w:cs="Trebuchet MS"/>
                <w:sz w:val="22"/>
                <w:szCs w:val="22"/>
                <w:u w:val="single" w:color="B5082E"/>
              </w:rPr>
              <w:t>EU Territory Clarification Clause (on or after Brexit)</w:t>
            </w:r>
          </w:p>
          <w:p w14:paraId="79BD450B" w14:textId="77777777" w:rsidR="00592C29" w:rsidRPr="00984C20" w:rsidRDefault="0048296D" w:rsidP="00984C20">
            <w:pPr>
              <w:spacing w:line="276" w:lineRule="auto"/>
              <w:rPr>
                <w:sz w:val="22"/>
                <w:szCs w:val="22"/>
              </w:rPr>
            </w:pPr>
            <w:r w:rsidRPr="00984C20">
              <w:rPr>
                <w:rFonts w:ascii="Trebuchet MS" w:eastAsia="Trebuchet MS" w:hAnsi="Trebuchet MS" w:cs="Trebuchet MS"/>
                <w:sz w:val="22"/>
                <w:szCs w:val="22"/>
              </w:rPr>
              <w:t>Following the United Kingdom’s withdrawal from the European Union, any reference in this contract of (re)insurance to the European Economic Area shall include the United Kingdom.</w:t>
            </w:r>
          </w:p>
          <w:p w14:paraId="6D0EBF5D" w14:textId="77777777" w:rsidR="00592C29" w:rsidRPr="00984C20" w:rsidRDefault="00592C29" w:rsidP="00984C20">
            <w:pPr>
              <w:spacing w:line="276" w:lineRule="auto"/>
              <w:rPr>
                <w:sz w:val="22"/>
                <w:szCs w:val="22"/>
              </w:rPr>
            </w:pPr>
          </w:p>
          <w:p w14:paraId="69D0431A" w14:textId="77777777" w:rsidR="00592C29" w:rsidRPr="00984C20" w:rsidRDefault="0048296D" w:rsidP="00984C20">
            <w:pPr>
              <w:spacing w:line="276" w:lineRule="auto"/>
              <w:rPr>
                <w:sz w:val="22"/>
                <w:szCs w:val="22"/>
              </w:rPr>
            </w:pPr>
            <w:r w:rsidRPr="00984C20">
              <w:rPr>
                <w:rFonts w:ascii="Trebuchet MS" w:eastAsia="Trebuchet MS" w:hAnsi="Trebuchet MS" w:cs="Trebuchet MS"/>
                <w:sz w:val="22"/>
                <w:szCs w:val="22"/>
              </w:rPr>
              <w:t>If this clause conflicts with any other clause in the contract of (re)insurance, the terms of this clause shall prevail.</w:t>
            </w:r>
          </w:p>
          <w:p w14:paraId="75AB2112" w14:textId="77777777" w:rsidR="00592C29" w:rsidRPr="00984C20" w:rsidRDefault="0048296D" w:rsidP="00984C20">
            <w:pPr>
              <w:spacing w:line="276" w:lineRule="auto"/>
              <w:rPr>
                <w:sz w:val="22"/>
                <w:szCs w:val="22"/>
              </w:rPr>
            </w:pPr>
            <w:r w:rsidRPr="00984C20">
              <w:rPr>
                <w:rFonts w:ascii="Trebuchet MS" w:eastAsia="Trebuchet MS" w:hAnsi="Trebuchet MS" w:cs="Trebuchet MS"/>
                <w:sz w:val="22"/>
                <w:szCs w:val="22"/>
              </w:rPr>
              <w:t>LMA5336 (amended)</w:t>
            </w:r>
          </w:p>
          <w:p w14:paraId="4120AD92" w14:textId="77777777" w:rsidR="00592C29" w:rsidRPr="00984C20" w:rsidRDefault="00592C29" w:rsidP="00984C20">
            <w:pPr>
              <w:spacing w:line="276" w:lineRule="auto"/>
              <w:rPr>
                <w:sz w:val="22"/>
                <w:szCs w:val="22"/>
              </w:rPr>
            </w:pPr>
          </w:p>
          <w:p w14:paraId="1DAF8199" w14:textId="77777777" w:rsidR="00592C29" w:rsidRPr="00984C20" w:rsidRDefault="0048296D" w:rsidP="00984C20">
            <w:pPr>
              <w:spacing w:line="276" w:lineRule="auto"/>
              <w:rPr>
                <w:sz w:val="22"/>
                <w:szCs w:val="22"/>
              </w:rPr>
            </w:pPr>
            <w:r w:rsidRPr="00984C20">
              <w:rPr>
                <w:rFonts w:ascii="Trebuchet MS" w:eastAsia="Trebuchet MS" w:hAnsi="Trebuchet MS" w:cs="Trebuchet MS"/>
                <w:sz w:val="22"/>
                <w:szCs w:val="22"/>
                <w:u w:val="single" w:color="B5082E"/>
              </w:rPr>
              <w:t>EU Automatic Coverage (Acquisitions / Additions / Additional Insureds) Clarification Clause (on or after Brexit)</w:t>
            </w:r>
          </w:p>
          <w:p w14:paraId="710B8FF7" w14:textId="77777777" w:rsidR="00592C29" w:rsidRPr="00984C20" w:rsidRDefault="0048296D" w:rsidP="00984C20">
            <w:pPr>
              <w:spacing w:line="276" w:lineRule="auto"/>
              <w:rPr>
                <w:sz w:val="22"/>
                <w:szCs w:val="22"/>
              </w:rPr>
            </w:pPr>
            <w:r w:rsidRPr="00984C20">
              <w:rPr>
                <w:rFonts w:ascii="Trebuchet MS" w:eastAsia="Trebuchet MS" w:hAnsi="Trebuchet MS" w:cs="Trebuchet MS"/>
                <w:sz w:val="22"/>
                <w:szCs w:val="22"/>
              </w:rPr>
              <w:t>Any automatic coverage provided by the terms and conditions of this contract of (re)insurance for:</w:t>
            </w:r>
          </w:p>
          <w:p w14:paraId="639ED836" w14:textId="77777777" w:rsidR="00592C29" w:rsidRPr="00984C20" w:rsidRDefault="00592C29" w:rsidP="00984C20">
            <w:pPr>
              <w:spacing w:line="276" w:lineRule="auto"/>
              <w:rPr>
                <w:sz w:val="22"/>
                <w:szCs w:val="22"/>
              </w:rPr>
            </w:pPr>
          </w:p>
          <w:p w14:paraId="5FD97598" w14:textId="77777777" w:rsidR="00592C29" w:rsidRPr="00984C20" w:rsidRDefault="0048296D" w:rsidP="00984C20">
            <w:pPr>
              <w:numPr>
                <w:ilvl w:val="0"/>
                <w:numId w:val="42"/>
              </w:numPr>
              <w:pBdr>
                <w:left w:val="none" w:sz="0" w:space="4" w:color="auto"/>
              </w:pBdr>
              <w:spacing w:line="276" w:lineRule="auto"/>
              <w:ind w:hanging="343"/>
              <w:rPr>
                <w:rFonts w:ascii="Arial" w:eastAsia="Arial" w:hAnsi="Arial" w:cs="Arial"/>
                <w:sz w:val="20"/>
                <w:szCs w:val="20"/>
              </w:rPr>
            </w:pPr>
            <w:r w:rsidRPr="00984C20">
              <w:rPr>
                <w:rFonts w:ascii="Arial" w:eastAsia="Arial" w:hAnsi="Arial" w:cs="Arial"/>
                <w:sz w:val="20"/>
                <w:szCs w:val="20"/>
              </w:rPr>
              <w:t xml:space="preserve">entities acquired by, merged with, or established by, the (re)insured; </w:t>
            </w:r>
          </w:p>
          <w:p w14:paraId="34812A3A" w14:textId="77777777" w:rsidR="00592C29" w:rsidRPr="00984C20" w:rsidRDefault="0048296D" w:rsidP="00984C20">
            <w:pPr>
              <w:numPr>
                <w:ilvl w:val="0"/>
                <w:numId w:val="42"/>
              </w:numPr>
              <w:pBdr>
                <w:left w:val="none" w:sz="0" w:space="4" w:color="auto"/>
              </w:pBdr>
              <w:spacing w:line="276" w:lineRule="auto"/>
              <w:ind w:hanging="343"/>
              <w:rPr>
                <w:rFonts w:ascii="Arial" w:eastAsia="Arial" w:hAnsi="Arial" w:cs="Arial"/>
                <w:sz w:val="20"/>
                <w:szCs w:val="20"/>
              </w:rPr>
            </w:pPr>
            <w:r w:rsidRPr="00984C20">
              <w:rPr>
                <w:rFonts w:ascii="Arial" w:eastAsia="Arial" w:hAnsi="Arial" w:cs="Arial"/>
                <w:sz w:val="20"/>
                <w:szCs w:val="20"/>
              </w:rPr>
              <w:t>property or other interests acquired by the (re)insured;</w:t>
            </w:r>
          </w:p>
          <w:p w14:paraId="5A3DBD06" w14:textId="77777777" w:rsidR="00592C29" w:rsidRPr="00984C20" w:rsidRDefault="0048296D" w:rsidP="00984C20">
            <w:pPr>
              <w:ind w:left="720"/>
              <w:rPr>
                <w:sz w:val="20"/>
                <w:szCs w:val="20"/>
              </w:rPr>
            </w:pPr>
            <w:r w:rsidRPr="00984C20">
              <w:rPr>
                <w:rFonts w:ascii="Arial" w:eastAsia="Arial" w:hAnsi="Arial" w:cs="Arial"/>
                <w:sz w:val="20"/>
                <w:szCs w:val="20"/>
              </w:rPr>
              <w:t>additional (re)insureds;</w:t>
            </w:r>
          </w:p>
          <w:p w14:paraId="0D8973BD" w14:textId="77777777" w:rsidR="00592C29" w:rsidRPr="00984C20" w:rsidRDefault="00592C29" w:rsidP="00984C20">
            <w:pPr>
              <w:spacing w:line="276" w:lineRule="auto"/>
              <w:rPr>
                <w:sz w:val="22"/>
                <w:szCs w:val="22"/>
              </w:rPr>
            </w:pPr>
          </w:p>
          <w:p w14:paraId="6D29C3FE" w14:textId="77777777" w:rsidR="00592C29" w:rsidRPr="00984C20" w:rsidRDefault="0048296D" w:rsidP="00984C20">
            <w:pPr>
              <w:spacing w:line="276" w:lineRule="auto"/>
              <w:rPr>
                <w:sz w:val="22"/>
                <w:szCs w:val="22"/>
              </w:rPr>
            </w:pPr>
            <w:r w:rsidRPr="00984C20">
              <w:rPr>
                <w:rFonts w:ascii="Trebuchet MS" w:eastAsia="Trebuchet MS" w:hAnsi="Trebuchet MS" w:cs="Trebuchet MS"/>
                <w:sz w:val="22"/>
                <w:szCs w:val="22"/>
              </w:rPr>
              <w:t>shall not apply to the extent that, as a result of the United Kingdom’s withdrawal from the European Union,  the (re)insurer is not permitted by applicable law or regulation to provide that coverage and/or would become exposed to legal or regulatory sanction as a consequence of providing that coverage.</w:t>
            </w:r>
          </w:p>
          <w:p w14:paraId="7650D929" w14:textId="77777777" w:rsidR="00592C29" w:rsidRPr="00984C20" w:rsidRDefault="00592C29" w:rsidP="00984C20">
            <w:pPr>
              <w:spacing w:line="276" w:lineRule="auto"/>
              <w:rPr>
                <w:sz w:val="22"/>
                <w:szCs w:val="22"/>
              </w:rPr>
            </w:pPr>
          </w:p>
          <w:p w14:paraId="16A7FDB2" w14:textId="77777777" w:rsidR="00592C29" w:rsidRPr="00984C20" w:rsidRDefault="0048296D" w:rsidP="00984C20">
            <w:pPr>
              <w:spacing w:line="276" w:lineRule="auto"/>
              <w:rPr>
                <w:sz w:val="22"/>
                <w:szCs w:val="22"/>
              </w:rPr>
            </w:pPr>
            <w:r w:rsidRPr="00984C20">
              <w:rPr>
                <w:rFonts w:ascii="Trebuchet MS" w:eastAsia="Trebuchet MS" w:hAnsi="Trebuchet MS" w:cs="Trebuchet MS"/>
                <w:sz w:val="22"/>
                <w:szCs w:val="22"/>
              </w:rPr>
              <w:t>If this clause conflicts with any other clause in the contract of (re)insurance, the terms of this clause shall prevail.</w:t>
            </w:r>
          </w:p>
          <w:p w14:paraId="61D4F799" w14:textId="77777777" w:rsidR="00592C29" w:rsidRDefault="0048296D" w:rsidP="00984C20">
            <w:pPr>
              <w:jc w:val="both"/>
              <w:rPr>
                <w:rFonts w:ascii="Arial" w:eastAsia="Arial" w:hAnsi="Arial" w:cs="Arial"/>
                <w:sz w:val="20"/>
                <w:szCs w:val="20"/>
              </w:rPr>
            </w:pPr>
            <w:r w:rsidRPr="00984C20">
              <w:rPr>
                <w:rFonts w:ascii="Arial" w:eastAsia="Arial" w:hAnsi="Arial" w:cs="Arial"/>
                <w:sz w:val="20"/>
                <w:szCs w:val="20"/>
              </w:rPr>
              <w:t>LMA5337 (amended)</w:t>
            </w:r>
          </w:p>
          <w:p w14:paraId="45BC5C9F" w14:textId="41973B91" w:rsidR="00984C20" w:rsidRPr="00984C20" w:rsidRDefault="00984C20" w:rsidP="00984C20">
            <w:pPr>
              <w:jc w:val="both"/>
              <w:rPr>
                <w:sz w:val="20"/>
                <w:szCs w:val="20"/>
              </w:rPr>
            </w:pPr>
          </w:p>
        </w:tc>
      </w:tr>
      <w:tr w:rsidR="00592C29" w:rsidRPr="00984C20" w14:paraId="3D0D0DF6" w14:textId="77777777">
        <w:tc>
          <w:tcPr>
            <w:tcW w:w="2526" w:type="dxa"/>
            <w:tcMar>
              <w:top w:w="147" w:type="dxa"/>
              <w:left w:w="113" w:type="dxa"/>
              <w:bottom w:w="5" w:type="dxa"/>
              <w:right w:w="113" w:type="dxa"/>
            </w:tcMar>
            <w:hideMark/>
          </w:tcPr>
          <w:p w14:paraId="5E0919B6" w14:textId="77777777" w:rsidR="00592C29" w:rsidRPr="00984C20" w:rsidRDefault="0048296D" w:rsidP="00984C20">
            <w:pPr>
              <w:spacing w:line="280" w:lineRule="atLeast"/>
            </w:pPr>
            <w:r w:rsidRPr="00984C20">
              <w:rPr>
                <w:rFonts w:ascii="Trebuchet MS" w:eastAsia="Trebuchet MS" w:hAnsi="Trebuchet MS" w:cs="Trebuchet MS"/>
                <w:b/>
                <w:bCs/>
                <w:sz w:val="22"/>
                <w:szCs w:val="22"/>
              </w:rPr>
              <w:lastRenderedPageBreak/>
              <w:t xml:space="preserve">PREMIUM: </w:t>
            </w:r>
          </w:p>
        </w:tc>
        <w:tc>
          <w:tcPr>
            <w:tcW w:w="6552" w:type="dxa"/>
            <w:tcMar>
              <w:top w:w="147" w:type="dxa"/>
              <w:left w:w="113" w:type="dxa"/>
              <w:bottom w:w="5" w:type="dxa"/>
              <w:right w:w="113" w:type="dxa"/>
            </w:tcMar>
            <w:hideMark/>
          </w:tcPr>
          <w:p w14:paraId="1E2C3E06"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Amended to include the following allocation:</w:t>
            </w:r>
          </w:p>
          <w:p w14:paraId="22543D08" w14:textId="77777777" w:rsidR="00592C29" w:rsidRPr="00984C20" w:rsidRDefault="00592C29" w:rsidP="00984C20">
            <w:pPr>
              <w:spacing w:line="280" w:lineRule="atLeast"/>
              <w:ind w:right="72"/>
              <w:jc w:val="both"/>
            </w:pPr>
          </w:p>
          <w:p w14:paraId="14B60F03"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The PREMIUM is allocated as follows</w:t>
            </w:r>
            <w:r w:rsidRPr="00984C20">
              <w:rPr>
                <w:rFonts w:ascii="Arial" w:eastAsia="Arial" w:hAnsi="Arial" w:cs="Arial"/>
                <w:sz w:val="20"/>
                <w:szCs w:val="20"/>
                <w:vertAlign w:val="superscript"/>
              </w:rPr>
              <w:footnoteReference w:id="8"/>
            </w:r>
            <w:r w:rsidRPr="00984C20">
              <w:rPr>
                <w:rFonts w:ascii="Trebuchet MS" w:eastAsia="Trebuchet MS" w:hAnsi="Trebuchet MS" w:cs="Trebuchet MS"/>
                <w:sz w:val="22"/>
                <w:szCs w:val="22"/>
              </w:rPr>
              <w:t>:</w:t>
            </w:r>
          </w:p>
          <w:p w14:paraId="3EDFE95E" w14:textId="77777777" w:rsidR="00592C29" w:rsidRPr="00984C20" w:rsidRDefault="00592C29" w:rsidP="00984C20">
            <w:pPr>
              <w:spacing w:line="280" w:lineRule="atLeast"/>
              <w:ind w:right="72"/>
              <w:jc w:val="both"/>
            </w:pPr>
          </w:p>
          <w:p w14:paraId="2F088780"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lastRenderedPageBreak/>
              <w:t>Part 1 (EEA Risks):</w:t>
            </w:r>
          </w:p>
          <w:p w14:paraId="754316DC" w14:textId="77777777" w:rsidR="00592C29" w:rsidRPr="00984C20" w:rsidRDefault="0048296D" w:rsidP="00984C20">
            <w:pPr>
              <w:spacing w:line="280" w:lineRule="atLeast"/>
              <w:ind w:right="72"/>
              <w:jc w:val="both"/>
            </w:pPr>
            <w:r w:rsidRPr="00984C20">
              <w:rPr>
                <w:rFonts w:ascii="Trebuchet MS" w:eastAsia="Trebuchet MS" w:hAnsi="Trebuchet MS" w:cs="Trebuchet MS"/>
                <w:i/>
                <w:iCs/>
                <w:sz w:val="22"/>
                <w:szCs w:val="22"/>
                <w:shd w:val="clear" w:color="auto" w:fill="FFFF00"/>
              </w:rPr>
              <w:t>{insert PREMIUM allocation for EEA proportion of the risk.  This must take into account the PREMIUM allocation for each section of cover, e.g. separate allocations for hull, liability, etc.}</w:t>
            </w:r>
          </w:p>
          <w:p w14:paraId="29D0DC33" w14:textId="77777777" w:rsidR="00592C29" w:rsidRPr="00984C20" w:rsidRDefault="00592C29" w:rsidP="00984C20">
            <w:pPr>
              <w:spacing w:line="280" w:lineRule="atLeast"/>
              <w:ind w:right="72"/>
              <w:jc w:val="both"/>
            </w:pPr>
          </w:p>
          <w:p w14:paraId="4C9C681E"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Part 2 (non-EEA risks):</w:t>
            </w:r>
          </w:p>
          <w:p w14:paraId="27532DB4" w14:textId="77777777" w:rsidR="00592C29" w:rsidRPr="00984C20" w:rsidRDefault="0048296D" w:rsidP="00984C20">
            <w:pPr>
              <w:spacing w:line="280" w:lineRule="atLeast"/>
              <w:ind w:right="72"/>
              <w:jc w:val="both"/>
            </w:pPr>
            <w:r w:rsidRPr="00984C20">
              <w:rPr>
                <w:rFonts w:ascii="Trebuchet MS" w:eastAsia="Trebuchet MS" w:hAnsi="Trebuchet MS" w:cs="Trebuchet MS"/>
                <w:i/>
                <w:iCs/>
                <w:sz w:val="22"/>
                <w:szCs w:val="22"/>
                <w:shd w:val="clear" w:color="auto" w:fill="FFFF00"/>
              </w:rPr>
              <w:t>{insert PREMIUM allocation for non-EEA proportion of the risk.  This must take into account the PREMIUM allocation for each section of cover, e.g. separate allocations for hull, liability, etc.}</w:t>
            </w:r>
          </w:p>
        </w:tc>
      </w:tr>
      <w:tr w:rsidR="00592C29" w:rsidRPr="00984C20" w14:paraId="40101A97" w14:textId="77777777">
        <w:tc>
          <w:tcPr>
            <w:tcW w:w="2526" w:type="dxa"/>
            <w:tcMar>
              <w:top w:w="147" w:type="dxa"/>
              <w:left w:w="113" w:type="dxa"/>
              <w:bottom w:w="5" w:type="dxa"/>
              <w:right w:w="113" w:type="dxa"/>
            </w:tcMar>
            <w:hideMark/>
          </w:tcPr>
          <w:p w14:paraId="38DD595B" w14:textId="77777777" w:rsidR="00592C29" w:rsidRPr="00984C20" w:rsidRDefault="0048296D" w:rsidP="00984C20">
            <w:pPr>
              <w:spacing w:line="280" w:lineRule="atLeast"/>
            </w:pPr>
            <w:r w:rsidRPr="00984C20">
              <w:rPr>
                <w:rFonts w:ascii="Trebuchet MS" w:eastAsia="Trebuchet MS" w:hAnsi="Trebuchet MS" w:cs="Trebuchet MS"/>
                <w:b/>
                <w:bCs/>
                <w:sz w:val="22"/>
                <w:szCs w:val="22"/>
              </w:rPr>
              <w:lastRenderedPageBreak/>
              <w:t>TAXES PAYABLE BY INSURED AND ADMINISTERED BY (RE)INSURER(S):</w:t>
            </w:r>
          </w:p>
        </w:tc>
        <w:tc>
          <w:tcPr>
            <w:tcW w:w="6552" w:type="dxa"/>
            <w:tcMar>
              <w:top w:w="147" w:type="dxa"/>
              <w:left w:w="113" w:type="dxa"/>
              <w:bottom w:w="5" w:type="dxa"/>
              <w:right w:w="113" w:type="dxa"/>
            </w:tcMar>
            <w:hideMark/>
          </w:tcPr>
          <w:p w14:paraId="1EB9BA5F"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Amended to include the following allocation:</w:t>
            </w:r>
          </w:p>
          <w:p w14:paraId="562F9ED5" w14:textId="77777777" w:rsidR="00592C29" w:rsidRPr="00984C20" w:rsidRDefault="00592C29" w:rsidP="00984C20">
            <w:pPr>
              <w:spacing w:line="280" w:lineRule="atLeast"/>
              <w:ind w:right="72"/>
              <w:jc w:val="both"/>
            </w:pPr>
          </w:p>
          <w:p w14:paraId="7BED46CA"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The TAXES PAYABLE BY INSURED AND ADMINSTERED BY (RE)INSURER(S) are allocated as follows:</w:t>
            </w:r>
          </w:p>
          <w:p w14:paraId="58C1A56C" w14:textId="77777777" w:rsidR="00592C29" w:rsidRPr="00984C20" w:rsidRDefault="00592C29" w:rsidP="00984C20">
            <w:pPr>
              <w:spacing w:line="280" w:lineRule="atLeast"/>
              <w:ind w:right="72"/>
              <w:jc w:val="both"/>
            </w:pPr>
          </w:p>
          <w:p w14:paraId="17F40BC2"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Part 1 (EEA risks):</w:t>
            </w:r>
          </w:p>
          <w:p w14:paraId="0873DE0F" w14:textId="77777777" w:rsidR="00592C29" w:rsidRPr="00984C20" w:rsidRDefault="0048296D" w:rsidP="00984C20">
            <w:pPr>
              <w:spacing w:line="280" w:lineRule="atLeast"/>
              <w:ind w:right="72"/>
              <w:jc w:val="both"/>
            </w:pPr>
            <w:r w:rsidRPr="00984C20">
              <w:rPr>
                <w:rFonts w:ascii="Trebuchet MS" w:eastAsia="Trebuchet MS" w:hAnsi="Trebuchet MS" w:cs="Trebuchet MS"/>
                <w:i/>
                <w:iCs/>
                <w:sz w:val="22"/>
                <w:szCs w:val="22"/>
                <w:shd w:val="clear" w:color="auto" w:fill="FFFF00"/>
              </w:rPr>
              <w:t>{identify separately each individual EEA country and the associated tax allocation as a proportion of the Part 1 (EEA risks) PREMIUM}</w:t>
            </w:r>
          </w:p>
          <w:p w14:paraId="601A8AFD" w14:textId="77777777" w:rsidR="00592C29" w:rsidRPr="00984C20" w:rsidRDefault="00592C29" w:rsidP="00984C20">
            <w:pPr>
              <w:spacing w:line="280" w:lineRule="atLeast"/>
              <w:ind w:right="72"/>
              <w:jc w:val="both"/>
            </w:pPr>
          </w:p>
          <w:p w14:paraId="7552E5D2"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Part 2 (non-EEA risks)</w:t>
            </w:r>
          </w:p>
          <w:p w14:paraId="0847A84C" w14:textId="77777777" w:rsidR="00592C29" w:rsidRPr="00984C20" w:rsidRDefault="0048296D" w:rsidP="00984C20">
            <w:pPr>
              <w:spacing w:line="280" w:lineRule="atLeast"/>
              <w:ind w:right="72"/>
              <w:jc w:val="both"/>
            </w:pPr>
            <w:r w:rsidRPr="00984C20">
              <w:rPr>
                <w:rFonts w:ascii="Trebuchet MS" w:eastAsia="Trebuchet MS" w:hAnsi="Trebuchet MS" w:cs="Trebuchet MS"/>
                <w:i/>
                <w:iCs/>
                <w:sz w:val="22"/>
                <w:szCs w:val="22"/>
                <w:shd w:val="clear" w:color="auto" w:fill="FFFF00"/>
              </w:rPr>
              <w:t>{identify separately each individual non-EEA country and the associated tax allocation as a proportion of the Part 2 (non-EEA risks) PREMIUM}</w:t>
            </w:r>
          </w:p>
        </w:tc>
      </w:tr>
      <w:tr w:rsidR="00592C29" w:rsidRPr="00984C20" w14:paraId="0F8A847F" w14:textId="77777777">
        <w:tc>
          <w:tcPr>
            <w:tcW w:w="2526" w:type="dxa"/>
            <w:tcMar>
              <w:top w:w="147" w:type="dxa"/>
              <w:left w:w="113" w:type="dxa"/>
              <w:bottom w:w="5" w:type="dxa"/>
              <w:right w:w="113" w:type="dxa"/>
            </w:tcMar>
            <w:hideMark/>
          </w:tcPr>
          <w:p w14:paraId="44D8E86C" w14:textId="77777777" w:rsidR="00592C29" w:rsidRPr="00984C20" w:rsidRDefault="0048296D" w:rsidP="00984C20">
            <w:pPr>
              <w:spacing w:line="280" w:lineRule="atLeast"/>
            </w:pPr>
            <w:r w:rsidRPr="00984C20">
              <w:rPr>
                <w:rFonts w:ascii="Trebuchet MS" w:eastAsia="Trebuchet MS" w:hAnsi="Trebuchet MS" w:cs="Trebuchet MS"/>
                <w:b/>
                <w:bCs/>
                <w:sz w:val="22"/>
                <w:szCs w:val="22"/>
              </w:rPr>
              <w:t>REGULATORY RISK LOCATION</w:t>
            </w:r>
            <w:r w:rsidRPr="00984C20">
              <w:rPr>
                <w:rFonts w:ascii="Arial" w:eastAsia="Arial" w:hAnsi="Arial" w:cs="Arial"/>
                <w:sz w:val="20"/>
                <w:szCs w:val="20"/>
                <w:vertAlign w:val="superscript"/>
              </w:rPr>
              <w:footnoteReference w:id="9"/>
            </w:r>
            <w:r w:rsidRPr="00984C20">
              <w:rPr>
                <w:rFonts w:ascii="Trebuchet MS" w:eastAsia="Trebuchet MS" w:hAnsi="Trebuchet MS" w:cs="Trebuchet MS"/>
                <w:b/>
                <w:bCs/>
                <w:sz w:val="22"/>
                <w:szCs w:val="22"/>
              </w:rPr>
              <w:t>:</w:t>
            </w:r>
          </w:p>
        </w:tc>
        <w:tc>
          <w:tcPr>
            <w:tcW w:w="6552" w:type="dxa"/>
            <w:tcMar>
              <w:top w:w="147" w:type="dxa"/>
              <w:left w:w="113" w:type="dxa"/>
              <w:bottom w:w="5" w:type="dxa"/>
              <w:right w:w="113" w:type="dxa"/>
            </w:tcMar>
            <w:hideMark/>
          </w:tcPr>
          <w:p w14:paraId="10063ADE"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shd w:val="clear" w:color="auto" w:fill="FFFF00"/>
              </w:rPr>
              <w:t>Deleted and replaced as follows:/Amended to include the following allocation</w:t>
            </w:r>
            <w:r w:rsidRPr="00984C20">
              <w:rPr>
                <w:rFonts w:ascii="Arial" w:eastAsia="Arial" w:hAnsi="Arial" w:cs="Arial"/>
                <w:sz w:val="20"/>
                <w:szCs w:val="20"/>
                <w:vertAlign w:val="superscript"/>
              </w:rPr>
              <w:footnoteReference w:id="10"/>
            </w:r>
            <w:r w:rsidRPr="00984C20">
              <w:rPr>
                <w:rFonts w:ascii="Trebuchet MS" w:eastAsia="Trebuchet MS" w:hAnsi="Trebuchet MS" w:cs="Trebuchet MS"/>
                <w:sz w:val="22"/>
                <w:szCs w:val="22"/>
              </w:rPr>
              <w:t>:</w:t>
            </w:r>
          </w:p>
          <w:p w14:paraId="421935FC" w14:textId="77777777" w:rsidR="00592C29" w:rsidRPr="00984C20" w:rsidRDefault="00592C29" w:rsidP="00984C20">
            <w:pPr>
              <w:spacing w:line="280" w:lineRule="atLeast"/>
              <w:ind w:right="72"/>
              <w:jc w:val="both"/>
            </w:pPr>
          </w:p>
          <w:p w14:paraId="5C38E820"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Part 1 (EEA risks):</w:t>
            </w:r>
          </w:p>
          <w:p w14:paraId="0E2DFCD4" w14:textId="77777777" w:rsidR="00592C29" w:rsidRPr="00984C20" w:rsidRDefault="0048296D" w:rsidP="00984C20">
            <w:pPr>
              <w:spacing w:line="280" w:lineRule="atLeast"/>
              <w:ind w:right="72"/>
              <w:jc w:val="both"/>
            </w:pPr>
            <w:r w:rsidRPr="00984C20">
              <w:rPr>
                <w:rFonts w:ascii="Trebuchet MS" w:eastAsia="Trebuchet MS" w:hAnsi="Trebuchet MS" w:cs="Trebuchet MS"/>
                <w:i/>
                <w:iCs/>
                <w:sz w:val="22"/>
                <w:szCs w:val="22"/>
                <w:shd w:val="clear" w:color="auto" w:fill="FFFF00"/>
              </w:rPr>
              <w:t>{identify separately each individual EEA country and the associated proportion of the PREMIUM }</w:t>
            </w:r>
          </w:p>
          <w:p w14:paraId="15490565" w14:textId="77777777" w:rsidR="00592C29" w:rsidRPr="00984C20" w:rsidRDefault="00592C29" w:rsidP="00984C20">
            <w:pPr>
              <w:spacing w:line="280" w:lineRule="atLeast"/>
              <w:ind w:right="72"/>
              <w:jc w:val="both"/>
            </w:pPr>
          </w:p>
          <w:p w14:paraId="2D60A5E5"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Part 2 (non-EEA risks):</w:t>
            </w:r>
          </w:p>
          <w:p w14:paraId="6FC9107D" w14:textId="77777777" w:rsidR="00592C29" w:rsidRPr="00984C20" w:rsidRDefault="0048296D" w:rsidP="00984C20">
            <w:pPr>
              <w:spacing w:line="280" w:lineRule="atLeast"/>
              <w:ind w:right="72"/>
              <w:jc w:val="both"/>
            </w:pPr>
            <w:r w:rsidRPr="00984C20">
              <w:rPr>
                <w:rFonts w:ascii="Trebuchet MS" w:eastAsia="Trebuchet MS" w:hAnsi="Trebuchet MS" w:cs="Trebuchet MS"/>
                <w:i/>
                <w:iCs/>
                <w:sz w:val="22"/>
                <w:szCs w:val="22"/>
                <w:shd w:val="clear" w:color="auto" w:fill="FFFF00"/>
              </w:rPr>
              <w:t>{insert the non-EEA proportion of the PREMIUM. N.B. Unlike for EEA risks this does not need to state any specific country(</w:t>
            </w:r>
            <w:proofErr w:type="spellStart"/>
            <w:r w:rsidRPr="00984C20">
              <w:rPr>
                <w:rFonts w:ascii="Trebuchet MS" w:eastAsia="Trebuchet MS" w:hAnsi="Trebuchet MS" w:cs="Trebuchet MS"/>
                <w:i/>
                <w:iCs/>
                <w:sz w:val="22"/>
                <w:szCs w:val="22"/>
                <w:shd w:val="clear" w:color="auto" w:fill="FFFF00"/>
              </w:rPr>
              <w:t>ies</w:t>
            </w:r>
            <w:proofErr w:type="spellEnd"/>
            <w:r w:rsidRPr="00984C20">
              <w:rPr>
                <w:rFonts w:ascii="Trebuchet MS" w:eastAsia="Trebuchet MS" w:hAnsi="Trebuchet MS" w:cs="Trebuchet MS"/>
                <w:i/>
                <w:iCs/>
                <w:sz w:val="22"/>
                <w:szCs w:val="22"/>
                <w:shd w:val="clear" w:color="auto" w:fill="FFFF00"/>
              </w:rPr>
              <w:t>)}</w:t>
            </w:r>
            <w:r w:rsidRPr="00984C20">
              <w:rPr>
                <w:rFonts w:ascii="Trebuchet MS" w:eastAsia="Trebuchet MS" w:hAnsi="Trebuchet MS" w:cs="Trebuchet MS"/>
                <w:i/>
                <w:iCs/>
                <w:sz w:val="22"/>
                <w:szCs w:val="22"/>
              </w:rPr>
              <w:t xml:space="preserve"> </w:t>
            </w:r>
          </w:p>
        </w:tc>
      </w:tr>
      <w:tr w:rsidR="00592C29" w:rsidRPr="00984C20" w14:paraId="53268DA6" w14:textId="77777777">
        <w:tc>
          <w:tcPr>
            <w:tcW w:w="2526" w:type="dxa"/>
            <w:tcMar>
              <w:top w:w="147" w:type="dxa"/>
              <w:left w:w="113" w:type="dxa"/>
              <w:bottom w:w="5" w:type="dxa"/>
              <w:right w:w="113" w:type="dxa"/>
            </w:tcMar>
            <w:hideMark/>
          </w:tcPr>
          <w:p w14:paraId="5009C3FE" w14:textId="77777777" w:rsidR="00592C29" w:rsidRPr="00984C20" w:rsidRDefault="0048296D" w:rsidP="00984C20">
            <w:pPr>
              <w:spacing w:line="280" w:lineRule="atLeast"/>
            </w:pPr>
            <w:r w:rsidRPr="00984C20">
              <w:rPr>
                <w:rFonts w:ascii="Trebuchet MS" w:eastAsia="Trebuchet MS" w:hAnsi="Trebuchet MS" w:cs="Trebuchet MS"/>
                <w:b/>
                <w:bCs/>
                <w:sz w:val="22"/>
                <w:szCs w:val="22"/>
              </w:rPr>
              <w:t>ALLOCATION OF PREMIUM TO CODING</w:t>
            </w:r>
            <w:r w:rsidRPr="00984C20">
              <w:rPr>
                <w:rFonts w:ascii="Arial" w:eastAsia="Arial" w:hAnsi="Arial" w:cs="Arial"/>
                <w:sz w:val="20"/>
                <w:szCs w:val="20"/>
                <w:vertAlign w:val="superscript"/>
              </w:rPr>
              <w:footnoteReference w:id="11"/>
            </w:r>
            <w:r w:rsidRPr="00984C20">
              <w:rPr>
                <w:rFonts w:ascii="Trebuchet MS" w:eastAsia="Trebuchet MS" w:hAnsi="Trebuchet MS" w:cs="Trebuchet MS"/>
                <w:b/>
                <w:bCs/>
                <w:sz w:val="22"/>
                <w:szCs w:val="22"/>
              </w:rPr>
              <w:t>:</w:t>
            </w:r>
          </w:p>
        </w:tc>
        <w:tc>
          <w:tcPr>
            <w:tcW w:w="6552" w:type="dxa"/>
            <w:tcMar>
              <w:top w:w="147" w:type="dxa"/>
              <w:left w:w="113" w:type="dxa"/>
              <w:bottom w:w="5" w:type="dxa"/>
              <w:right w:w="113" w:type="dxa"/>
            </w:tcMar>
            <w:hideMark/>
          </w:tcPr>
          <w:p w14:paraId="1609DA68"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Deleted and replaced as follows:</w:t>
            </w:r>
          </w:p>
          <w:p w14:paraId="130C88D2" w14:textId="77777777" w:rsidR="00592C29" w:rsidRPr="00984C20" w:rsidRDefault="00592C29" w:rsidP="00984C20">
            <w:pPr>
              <w:spacing w:line="280" w:lineRule="atLeast"/>
              <w:ind w:right="72"/>
              <w:jc w:val="both"/>
            </w:pPr>
          </w:p>
          <w:p w14:paraId="62E9AD3D"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Part 1 (EEA risks):</w:t>
            </w:r>
          </w:p>
          <w:p w14:paraId="39A7EBE8" w14:textId="77777777" w:rsidR="00592C29" w:rsidRPr="00984C20" w:rsidRDefault="0048296D" w:rsidP="00984C20">
            <w:pPr>
              <w:spacing w:line="280" w:lineRule="atLeast"/>
              <w:ind w:right="72"/>
              <w:jc w:val="both"/>
            </w:pPr>
            <w:r w:rsidRPr="00984C20">
              <w:rPr>
                <w:rFonts w:ascii="Trebuchet MS" w:eastAsia="Trebuchet MS" w:hAnsi="Trebuchet MS" w:cs="Trebuchet MS"/>
                <w:i/>
                <w:iCs/>
                <w:sz w:val="22"/>
                <w:szCs w:val="22"/>
                <w:shd w:val="clear" w:color="auto" w:fill="FFFF00"/>
              </w:rPr>
              <w:t>{Insert risk code PREMIUM allocation.  This must take into account the ALLOCATION OF PREMIUM TO CODING for each section of cover, e.g. Section A – H3 100%, Section B – AW 60% L3 40%}</w:t>
            </w:r>
          </w:p>
          <w:p w14:paraId="7A11E896" w14:textId="77777777" w:rsidR="00592C29" w:rsidRPr="00984C20" w:rsidRDefault="00592C29" w:rsidP="00984C20">
            <w:pPr>
              <w:spacing w:line="280" w:lineRule="atLeast"/>
              <w:ind w:right="72"/>
              <w:jc w:val="both"/>
            </w:pPr>
          </w:p>
          <w:p w14:paraId="1C14C35F"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Part 2 (non-EEA risks):</w:t>
            </w:r>
          </w:p>
          <w:p w14:paraId="6397D72C" w14:textId="77777777" w:rsidR="00592C29" w:rsidRPr="00984C20" w:rsidRDefault="0048296D" w:rsidP="00984C20">
            <w:pPr>
              <w:spacing w:line="280" w:lineRule="atLeast"/>
              <w:ind w:right="72"/>
              <w:jc w:val="both"/>
            </w:pPr>
            <w:r w:rsidRPr="00984C20">
              <w:rPr>
                <w:rFonts w:ascii="Trebuchet MS" w:eastAsia="Trebuchet MS" w:hAnsi="Trebuchet MS" w:cs="Trebuchet MS"/>
                <w:i/>
                <w:iCs/>
                <w:sz w:val="22"/>
                <w:szCs w:val="22"/>
                <w:shd w:val="clear" w:color="auto" w:fill="FFFF00"/>
              </w:rPr>
              <w:lastRenderedPageBreak/>
              <w:t>{Insert risk code PREMIUM allocation.  This must take into account the ALLOCATION OF PREMIUM TO CODING for each section of cover, e.g. Section A – H3 100%, Section B – AW 60% L3 40%}}</w:t>
            </w:r>
          </w:p>
        </w:tc>
      </w:tr>
      <w:tr w:rsidR="00592C29" w:rsidRPr="00984C20" w14:paraId="6D2FE369" w14:textId="77777777">
        <w:tc>
          <w:tcPr>
            <w:tcW w:w="2526" w:type="dxa"/>
            <w:tcMar>
              <w:top w:w="147" w:type="dxa"/>
              <w:left w:w="113" w:type="dxa"/>
              <w:bottom w:w="5" w:type="dxa"/>
              <w:right w:w="113" w:type="dxa"/>
            </w:tcMar>
            <w:hideMark/>
          </w:tcPr>
          <w:p w14:paraId="0914EAE8" w14:textId="77777777" w:rsidR="00592C29" w:rsidRPr="00984C20" w:rsidRDefault="0048296D" w:rsidP="00984C20">
            <w:pPr>
              <w:spacing w:line="280" w:lineRule="atLeast"/>
            </w:pPr>
            <w:r w:rsidRPr="00984C20">
              <w:rPr>
                <w:rFonts w:ascii="Trebuchet MS" w:eastAsia="Trebuchet MS" w:hAnsi="Trebuchet MS" w:cs="Trebuchet MS"/>
                <w:b/>
                <w:bCs/>
                <w:sz w:val="22"/>
                <w:szCs w:val="22"/>
              </w:rPr>
              <w:lastRenderedPageBreak/>
              <w:t>(RE)INSURER’S LIABILITY:</w:t>
            </w:r>
          </w:p>
        </w:tc>
        <w:tc>
          <w:tcPr>
            <w:tcW w:w="6552" w:type="dxa"/>
            <w:tcMar>
              <w:top w:w="147" w:type="dxa"/>
              <w:left w:w="113" w:type="dxa"/>
              <w:bottom w:w="5" w:type="dxa"/>
              <w:right w:w="113" w:type="dxa"/>
            </w:tcMar>
            <w:hideMark/>
          </w:tcPr>
          <w:p w14:paraId="02847258"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 xml:space="preserve">Deleted and replaced as follows: </w:t>
            </w:r>
          </w:p>
          <w:p w14:paraId="2E2345F4" w14:textId="77777777" w:rsidR="00592C29" w:rsidRPr="00984C20" w:rsidRDefault="00592C29" w:rsidP="00984C20">
            <w:pPr>
              <w:spacing w:line="280" w:lineRule="atLeast"/>
              <w:ind w:right="72"/>
              <w:jc w:val="both"/>
            </w:pPr>
          </w:p>
          <w:p w14:paraId="1A3F6D06"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 xml:space="preserve">The following clause is applicable to Part 1 (EEA risks) only: </w:t>
            </w:r>
          </w:p>
          <w:p w14:paraId="0E463F52" w14:textId="77777777" w:rsidR="00592C29" w:rsidRPr="00984C20" w:rsidRDefault="00592C29" w:rsidP="00984C20">
            <w:pPr>
              <w:spacing w:line="280" w:lineRule="atLeast"/>
              <w:ind w:right="72"/>
              <w:jc w:val="both"/>
            </w:pPr>
          </w:p>
          <w:p w14:paraId="37F7F2D9"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SEVERAL LIABILITY NOTICE</w:t>
            </w:r>
          </w:p>
          <w:p w14:paraId="3E2C424D"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The subscribing (re)insurers' obligations under contracts of (re)insurance to which they subscribe are several and not joint and are limited solely to the extent of their individual subscriptions.  The subscribing (re)insurers are not responsible for the subscription of any co-subscribing (re)insurer who for any reason does not satisfy all or part of its obligations.</w:t>
            </w:r>
          </w:p>
          <w:p w14:paraId="42F86B26"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LSW1001 (amended)</w:t>
            </w:r>
          </w:p>
          <w:p w14:paraId="4F336F37" w14:textId="77777777" w:rsidR="00592C29" w:rsidRPr="00984C20" w:rsidRDefault="00592C29" w:rsidP="00984C20">
            <w:pPr>
              <w:spacing w:line="280" w:lineRule="atLeast"/>
              <w:ind w:right="72"/>
              <w:jc w:val="both"/>
            </w:pPr>
          </w:p>
          <w:p w14:paraId="033E65BA"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The following clause is applicable to Part 2 (non-EEA risks) only:</w:t>
            </w:r>
          </w:p>
          <w:p w14:paraId="0BD154C2" w14:textId="77777777" w:rsidR="00592C29" w:rsidRPr="00984C20" w:rsidRDefault="00592C29" w:rsidP="00984C20">
            <w:pPr>
              <w:spacing w:line="280" w:lineRule="atLeast"/>
              <w:ind w:right="72"/>
              <w:jc w:val="both"/>
            </w:pPr>
          </w:p>
          <w:p w14:paraId="78AD5531" w14:textId="77777777" w:rsidR="00592C29" w:rsidRPr="00984C20" w:rsidRDefault="0048296D" w:rsidP="00984C20">
            <w:pPr>
              <w:spacing w:line="280" w:lineRule="atLeast"/>
              <w:ind w:right="72"/>
              <w:jc w:val="both"/>
            </w:pPr>
            <w:r w:rsidRPr="00984C20">
              <w:rPr>
                <w:rFonts w:ascii="Trebuchet MS" w:eastAsia="Trebuchet MS" w:hAnsi="Trebuchet MS" w:cs="Trebuchet MS"/>
                <w:b/>
                <w:bCs/>
                <w:sz w:val="22"/>
                <w:szCs w:val="22"/>
              </w:rPr>
              <w:t xml:space="preserve">(Re)insurer’s liability several not joint </w:t>
            </w:r>
          </w:p>
          <w:p w14:paraId="2CAA2AE9"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The liability of a (re)insurer under this contract is several and not joint with other (re)insurers party to this contract. A (re)insurer is liable only for the proportion of liability it has underwritten. A (re)insurer is not jointly liable for the proportion of liability underwritten by any other (re)insurer. Nor is a (re)insurer otherwise responsible for any liability of any other (re)insurer that may underwrite this contract.</w:t>
            </w:r>
          </w:p>
          <w:p w14:paraId="173CE96A"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The proportion of liability under this contract underwritten by a (re)insurer (or, in the case of a Lloyd’s syndicate, the total of the proportions underwritten by all the members of the syndicate taken together) is shown next to its stamp. This is subject always to the provision concerning “signing” below.</w:t>
            </w:r>
          </w:p>
          <w:p w14:paraId="16D346E6"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In the case of a Lloyd’s syndicate, each member of the syndicate (rather than the syndicate itself) is a (re)insurer. Each member has underwritten a proportion of the total shown for the syndicate (that total itself being the total of the proportions underwritten by all the members of the syndicate taken together). The liability of each member of the syndicate is several and not joint with other members. A member is liable only for that member’s proportion. A member is not jointly liable for any other member’s proportion. Nor is any member otherwise responsible for any liability of any other (re)insurer that may underwrite this contract. The business address of each member is Lloyd’s, One Lime Street, London EC3M 7HA. The identity of each member of a Lloyd’s syndicate and their respective proportion may be obtained by writing to Market Services, Lloyd’s, at the above address.</w:t>
            </w:r>
          </w:p>
          <w:p w14:paraId="4253B2A8"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Proportion of liability</w:t>
            </w:r>
          </w:p>
          <w:p w14:paraId="1FF9AD5A"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 xml:space="preserve">Unless there is “signing” (see below), the proportion of </w:t>
            </w:r>
            <w:r w:rsidRPr="00984C20">
              <w:rPr>
                <w:rFonts w:ascii="Trebuchet MS" w:eastAsia="Trebuchet MS" w:hAnsi="Trebuchet MS" w:cs="Trebuchet MS"/>
                <w:sz w:val="22"/>
                <w:szCs w:val="22"/>
              </w:rPr>
              <w:lastRenderedPageBreak/>
              <w:t>liability under this contract underwritten by each (re)insurer (or, in the case of a Lloyd’s syndicate, the total of the proportions underwritten by all the members of the syndicate taken together) is shown next to its stamp and is referred to as its “written line”.</w:t>
            </w:r>
          </w:p>
          <w:p w14:paraId="487C12C3"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 xml:space="preserve">Where this contract permits, written lines, or certain written lines, may be adjusted (“signed”). In that case a schedule is to be appended to this contract to show the definitive proportion of liability under this contract underwritten by each (re)insurer (or, in the case of a Lloyd’s syndicate, the total of the proportions underwritten by all the members of the syndicate taken together). A definitive proportion (or, in the case of a Lloyd’s syndicate, the total of the proportions underwritten by all the members of a Lloyd’s syndicate taken together) is referred to as a “signed line”. The signed lines shown in the schedule will prevail over the written lines unless a proven error in calculation has occurred. </w:t>
            </w:r>
          </w:p>
          <w:p w14:paraId="5AE89E1A"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Although reference is made at various points in this clause to “this contract” in the singular, where the circumstances so require this should be read as a reference to contracts in the plural.</w:t>
            </w:r>
          </w:p>
          <w:p w14:paraId="29062E6D"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LMA3333</w:t>
            </w:r>
          </w:p>
        </w:tc>
      </w:tr>
      <w:tr w:rsidR="00592C29" w:rsidRPr="00984C20" w14:paraId="5774C572" w14:textId="77777777">
        <w:tc>
          <w:tcPr>
            <w:tcW w:w="2526" w:type="dxa"/>
            <w:tcMar>
              <w:top w:w="147" w:type="dxa"/>
              <w:left w:w="113" w:type="dxa"/>
              <w:bottom w:w="5" w:type="dxa"/>
              <w:right w:w="113" w:type="dxa"/>
            </w:tcMar>
            <w:hideMark/>
          </w:tcPr>
          <w:p w14:paraId="61342ED9" w14:textId="77777777" w:rsidR="00592C29" w:rsidRPr="00984C20" w:rsidRDefault="0048296D" w:rsidP="00984C20">
            <w:pPr>
              <w:spacing w:line="280" w:lineRule="atLeast"/>
              <w:ind w:right="72"/>
            </w:pPr>
            <w:r w:rsidRPr="00984C20">
              <w:rPr>
                <w:rFonts w:ascii="Trebuchet MS" w:eastAsia="Trebuchet MS" w:hAnsi="Trebuchet MS" w:cs="Trebuchet MS"/>
                <w:b/>
                <w:bCs/>
                <w:sz w:val="22"/>
                <w:szCs w:val="22"/>
              </w:rPr>
              <w:lastRenderedPageBreak/>
              <w:t>WRITTEN LINES:</w:t>
            </w:r>
          </w:p>
          <w:p w14:paraId="29F636D7" w14:textId="77777777" w:rsidR="00592C29" w:rsidRPr="00984C20" w:rsidRDefault="00592C29" w:rsidP="00984C20">
            <w:pPr>
              <w:spacing w:line="280" w:lineRule="atLeast"/>
              <w:ind w:right="72"/>
            </w:pPr>
          </w:p>
        </w:tc>
        <w:tc>
          <w:tcPr>
            <w:tcW w:w="6552" w:type="dxa"/>
            <w:tcMar>
              <w:top w:w="147" w:type="dxa"/>
              <w:left w:w="113" w:type="dxa"/>
              <w:bottom w:w="5" w:type="dxa"/>
              <w:right w:w="113" w:type="dxa"/>
            </w:tcMar>
            <w:hideMark/>
          </w:tcPr>
          <w:p w14:paraId="65A2A12F"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 xml:space="preserve">Deleted and replaced as follows: </w:t>
            </w:r>
          </w:p>
          <w:p w14:paraId="2B0E6211" w14:textId="77777777" w:rsidR="00592C29" w:rsidRPr="00984C20" w:rsidRDefault="00592C29" w:rsidP="00984C20">
            <w:pPr>
              <w:spacing w:line="280" w:lineRule="atLeast"/>
              <w:ind w:right="72"/>
              <w:jc w:val="both"/>
            </w:pPr>
          </w:p>
          <w:p w14:paraId="61D4DF6B" w14:textId="77777777" w:rsidR="00592C29" w:rsidRPr="00984C20" w:rsidRDefault="0048296D" w:rsidP="00984C20">
            <w:pPr>
              <w:spacing w:line="280" w:lineRule="atLeast"/>
              <w:ind w:right="72"/>
              <w:jc w:val="both"/>
            </w:pPr>
            <w:r w:rsidRPr="00984C20">
              <w:rPr>
                <w:rFonts w:ascii="Trebuchet MS" w:eastAsia="Trebuchet MS" w:hAnsi="Trebuchet MS" w:cs="Trebuchet MS"/>
                <w:b/>
                <w:bCs/>
                <w:sz w:val="22"/>
                <w:szCs w:val="22"/>
              </w:rPr>
              <w:t>PART 1 (EEA RISKS)</w:t>
            </w:r>
          </w:p>
          <w:p w14:paraId="3E8C0362"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As per signing page PART 1 (EEA RISKS) attached.</w:t>
            </w:r>
          </w:p>
          <w:p w14:paraId="1C6A9594" w14:textId="77777777" w:rsidR="00592C29" w:rsidRPr="00984C20" w:rsidRDefault="00592C29" w:rsidP="00984C20">
            <w:pPr>
              <w:spacing w:line="280" w:lineRule="atLeast"/>
              <w:ind w:right="72"/>
              <w:jc w:val="both"/>
            </w:pPr>
          </w:p>
          <w:p w14:paraId="3FF9137A" w14:textId="77777777" w:rsidR="00592C29" w:rsidRPr="00984C20" w:rsidRDefault="0048296D" w:rsidP="00984C20">
            <w:pPr>
              <w:spacing w:line="280" w:lineRule="atLeast"/>
              <w:ind w:right="72"/>
              <w:jc w:val="both"/>
            </w:pPr>
            <w:r w:rsidRPr="00984C20">
              <w:rPr>
                <w:rFonts w:ascii="Trebuchet MS" w:eastAsia="Trebuchet MS" w:hAnsi="Trebuchet MS" w:cs="Trebuchet MS"/>
                <w:b/>
                <w:bCs/>
                <w:sz w:val="22"/>
                <w:szCs w:val="22"/>
              </w:rPr>
              <w:t>PART 2 (NON-EEA RISKS)</w:t>
            </w:r>
          </w:p>
          <w:p w14:paraId="516CF873"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As per signing page PART 2 (NON-EEA RISKS) attached.</w:t>
            </w:r>
          </w:p>
          <w:p w14:paraId="5C843868" w14:textId="77777777" w:rsidR="00592C29" w:rsidRPr="00984C20" w:rsidRDefault="00592C29" w:rsidP="00984C20">
            <w:pPr>
              <w:spacing w:line="280" w:lineRule="atLeast"/>
              <w:ind w:right="72"/>
              <w:jc w:val="both"/>
            </w:pPr>
          </w:p>
        </w:tc>
      </w:tr>
      <w:tr w:rsidR="00592C29" w:rsidRPr="00984C20" w14:paraId="722E2E67" w14:textId="77777777">
        <w:tc>
          <w:tcPr>
            <w:tcW w:w="2526" w:type="dxa"/>
            <w:tcMar>
              <w:top w:w="147" w:type="dxa"/>
              <w:left w:w="113" w:type="dxa"/>
              <w:bottom w:w="5" w:type="dxa"/>
              <w:right w:w="113" w:type="dxa"/>
            </w:tcMar>
            <w:hideMark/>
          </w:tcPr>
          <w:p w14:paraId="35C7942F" w14:textId="77777777" w:rsidR="00592C29" w:rsidRPr="00984C20" w:rsidRDefault="0048296D" w:rsidP="00984C20">
            <w:pPr>
              <w:spacing w:line="280" w:lineRule="atLeast"/>
            </w:pPr>
            <w:r w:rsidRPr="00984C20">
              <w:rPr>
                <w:rFonts w:ascii="Trebuchet MS" w:eastAsia="Trebuchet MS" w:hAnsi="Trebuchet MS" w:cs="Trebuchet MS"/>
                <w:b/>
                <w:bCs/>
                <w:sz w:val="22"/>
                <w:szCs w:val="22"/>
              </w:rPr>
              <w:t>SLIP LEADER:</w:t>
            </w:r>
          </w:p>
        </w:tc>
        <w:tc>
          <w:tcPr>
            <w:tcW w:w="6552" w:type="dxa"/>
            <w:tcMar>
              <w:top w:w="147" w:type="dxa"/>
              <w:left w:w="113" w:type="dxa"/>
              <w:bottom w:w="5" w:type="dxa"/>
              <w:right w:w="113" w:type="dxa"/>
            </w:tcMar>
            <w:hideMark/>
          </w:tcPr>
          <w:p w14:paraId="448CACE2" w14:textId="77777777" w:rsidR="00592C29" w:rsidRPr="00984C20" w:rsidRDefault="0048296D" w:rsidP="00984C20">
            <w:pPr>
              <w:spacing w:line="280" w:lineRule="atLeast"/>
              <w:ind w:right="72"/>
              <w:jc w:val="both"/>
            </w:pPr>
            <w:r w:rsidRPr="00984C20">
              <w:rPr>
                <w:rFonts w:ascii="Trebuchet MS" w:eastAsia="Trebuchet MS" w:hAnsi="Trebuchet MS" w:cs="Trebuchet MS"/>
                <w:i/>
                <w:iCs/>
                <w:sz w:val="22"/>
                <w:szCs w:val="22"/>
                <w:shd w:val="clear" w:color="auto" w:fill="FFFF00"/>
              </w:rPr>
              <w:t>{Where the SLIP LEADER is Lloyd’s this must be completed</w:t>
            </w:r>
            <w:r w:rsidRPr="00984C20">
              <w:rPr>
                <w:rFonts w:ascii="Arial" w:eastAsia="Arial" w:hAnsi="Arial" w:cs="Arial"/>
                <w:sz w:val="20"/>
                <w:szCs w:val="20"/>
                <w:vertAlign w:val="superscript"/>
              </w:rPr>
              <w:footnoteReference w:id="12"/>
            </w:r>
            <w:r w:rsidRPr="00984C20">
              <w:rPr>
                <w:rFonts w:ascii="Trebuchet MS" w:eastAsia="Trebuchet MS" w:hAnsi="Trebuchet MS" w:cs="Trebuchet MS"/>
                <w:i/>
                <w:iCs/>
                <w:sz w:val="22"/>
                <w:szCs w:val="22"/>
                <w:shd w:val="clear" w:color="auto" w:fill="FFFF00"/>
              </w:rPr>
              <w:t>.  Where the SLIP LEADER is non-Lloyd’s this heading in this endorsement must be deleted.}</w:t>
            </w:r>
          </w:p>
          <w:p w14:paraId="6E23DACE"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 xml:space="preserve">Deleted and replaced as follows: </w:t>
            </w:r>
          </w:p>
          <w:p w14:paraId="708DF2EA" w14:textId="77777777" w:rsidR="00592C29" w:rsidRPr="00984C20" w:rsidRDefault="00592C29" w:rsidP="00984C20">
            <w:pPr>
              <w:spacing w:line="280" w:lineRule="atLeast"/>
              <w:ind w:right="72"/>
              <w:jc w:val="both"/>
            </w:pPr>
          </w:p>
          <w:p w14:paraId="10ACF25F"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Part 1</w:t>
            </w:r>
            <w:r w:rsidRPr="00984C20">
              <w:rPr>
                <w:rFonts w:ascii="Trebuchet MS" w:eastAsia="Trebuchet MS" w:hAnsi="Trebuchet MS" w:cs="Trebuchet MS"/>
                <w:caps/>
                <w:sz w:val="22"/>
                <w:szCs w:val="22"/>
              </w:rPr>
              <w:t xml:space="preserve"> (EEA </w:t>
            </w:r>
            <w:r w:rsidRPr="00984C20">
              <w:rPr>
                <w:rFonts w:ascii="Trebuchet MS" w:eastAsia="Trebuchet MS" w:hAnsi="Trebuchet MS" w:cs="Trebuchet MS"/>
                <w:sz w:val="22"/>
                <w:szCs w:val="22"/>
              </w:rPr>
              <w:t>risks):</w:t>
            </w:r>
          </w:p>
          <w:p w14:paraId="55DAE7A0"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Lloyd’s Insurance Company S.A. (</w:t>
            </w:r>
            <w:r w:rsidRPr="00984C20">
              <w:rPr>
                <w:rFonts w:ascii="Trebuchet MS" w:eastAsia="Trebuchet MS" w:hAnsi="Trebuchet MS" w:cs="Trebuchet MS"/>
                <w:i/>
                <w:iCs/>
                <w:sz w:val="22"/>
                <w:szCs w:val="22"/>
                <w:shd w:val="clear" w:color="auto" w:fill="FFFF00"/>
              </w:rPr>
              <w:t>{insert LBS Syndicate reference}</w:t>
            </w:r>
            <w:r w:rsidRPr="00984C20">
              <w:rPr>
                <w:rFonts w:ascii="Trebuchet MS" w:eastAsia="Trebuchet MS" w:hAnsi="Trebuchet MS" w:cs="Trebuchet MS"/>
                <w:sz w:val="22"/>
                <w:szCs w:val="22"/>
              </w:rPr>
              <w:t>)</w:t>
            </w:r>
          </w:p>
          <w:p w14:paraId="49F4B90B" w14:textId="77777777" w:rsidR="00592C29" w:rsidRPr="00984C20" w:rsidRDefault="00592C29" w:rsidP="00984C20">
            <w:pPr>
              <w:spacing w:line="280" w:lineRule="atLeast"/>
              <w:ind w:right="72"/>
              <w:jc w:val="both"/>
            </w:pPr>
          </w:p>
          <w:p w14:paraId="4C6BC59E"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Part 2 (non-EEA risks):</w:t>
            </w:r>
          </w:p>
          <w:p w14:paraId="5D892A72" w14:textId="77777777" w:rsidR="00592C29" w:rsidRPr="00984C20" w:rsidRDefault="0048296D" w:rsidP="00984C20">
            <w:pPr>
              <w:spacing w:line="280" w:lineRule="atLeast"/>
              <w:ind w:right="72"/>
              <w:jc w:val="both"/>
            </w:pPr>
            <w:r w:rsidRPr="00984C20">
              <w:rPr>
                <w:rFonts w:ascii="Trebuchet MS" w:eastAsia="Trebuchet MS" w:hAnsi="Trebuchet MS" w:cs="Trebuchet MS"/>
                <w:i/>
                <w:iCs/>
                <w:sz w:val="22"/>
                <w:szCs w:val="22"/>
                <w:shd w:val="clear" w:color="auto" w:fill="FFFF00"/>
              </w:rPr>
              <w:t>{insert Syndicate name and number}</w:t>
            </w:r>
            <w:r w:rsidRPr="00984C20">
              <w:rPr>
                <w:rFonts w:ascii="Trebuchet MS" w:eastAsia="Trebuchet MS" w:hAnsi="Trebuchet MS" w:cs="Trebuchet MS"/>
                <w:sz w:val="22"/>
                <w:szCs w:val="22"/>
              </w:rPr>
              <w:t xml:space="preserve"> Syndicate</w:t>
            </w:r>
          </w:p>
        </w:tc>
      </w:tr>
      <w:tr w:rsidR="00592C29" w:rsidRPr="00984C20" w14:paraId="02B358B2" w14:textId="77777777">
        <w:tc>
          <w:tcPr>
            <w:tcW w:w="2526" w:type="dxa"/>
            <w:tcMar>
              <w:top w:w="147" w:type="dxa"/>
              <w:left w:w="113" w:type="dxa"/>
              <w:bottom w:w="5" w:type="dxa"/>
              <w:right w:w="113" w:type="dxa"/>
            </w:tcMar>
            <w:hideMark/>
          </w:tcPr>
          <w:p w14:paraId="70B72132" w14:textId="77777777" w:rsidR="00592C29" w:rsidRPr="00984C20" w:rsidRDefault="0048296D" w:rsidP="00984C20">
            <w:pPr>
              <w:spacing w:line="280" w:lineRule="atLeast"/>
            </w:pPr>
            <w:r w:rsidRPr="00984C20">
              <w:rPr>
                <w:rFonts w:ascii="Trebuchet MS" w:eastAsia="Trebuchet MS" w:hAnsi="Trebuchet MS" w:cs="Trebuchet MS"/>
                <w:b/>
                <w:bCs/>
                <w:sz w:val="22"/>
                <w:szCs w:val="22"/>
              </w:rPr>
              <w:t>BUREAU LEADER (LLOYD’S):</w:t>
            </w:r>
          </w:p>
        </w:tc>
        <w:tc>
          <w:tcPr>
            <w:tcW w:w="6552" w:type="dxa"/>
            <w:tcMar>
              <w:top w:w="147" w:type="dxa"/>
              <w:left w:w="113" w:type="dxa"/>
              <w:bottom w:w="5" w:type="dxa"/>
              <w:right w:w="113" w:type="dxa"/>
            </w:tcMar>
            <w:hideMark/>
          </w:tcPr>
          <w:p w14:paraId="3C817E10" w14:textId="77777777" w:rsidR="00592C29" w:rsidRPr="00984C20" w:rsidRDefault="0048296D" w:rsidP="00984C20">
            <w:pPr>
              <w:spacing w:line="280" w:lineRule="atLeast"/>
              <w:ind w:right="72"/>
              <w:jc w:val="both"/>
            </w:pPr>
            <w:r w:rsidRPr="00984C20">
              <w:rPr>
                <w:rFonts w:ascii="Trebuchet MS" w:eastAsia="Trebuchet MS" w:hAnsi="Trebuchet MS" w:cs="Trebuchet MS"/>
                <w:i/>
                <w:iCs/>
                <w:sz w:val="22"/>
                <w:szCs w:val="22"/>
                <w:shd w:val="clear" w:color="auto" w:fill="FFFF00"/>
              </w:rPr>
              <w:t>{Where the SLIP LEADER is non-Lloyd’s this must be completed</w:t>
            </w:r>
            <w:r w:rsidRPr="00984C20">
              <w:rPr>
                <w:rFonts w:ascii="Arial" w:eastAsia="Arial" w:hAnsi="Arial" w:cs="Arial"/>
                <w:sz w:val="20"/>
                <w:szCs w:val="20"/>
                <w:vertAlign w:val="superscript"/>
              </w:rPr>
              <w:footnoteReference w:id="13"/>
            </w:r>
            <w:r w:rsidRPr="00984C20">
              <w:rPr>
                <w:rFonts w:ascii="Trebuchet MS" w:eastAsia="Trebuchet MS" w:hAnsi="Trebuchet MS" w:cs="Trebuchet MS"/>
                <w:i/>
                <w:iCs/>
                <w:sz w:val="22"/>
                <w:szCs w:val="22"/>
                <w:shd w:val="clear" w:color="auto" w:fill="FFFF00"/>
              </w:rPr>
              <w:t xml:space="preserve">.  Where the SLIP LEADER is Lloyd’s this heading in this endorsement must be deleted.}.  </w:t>
            </w:r>
          </w:p>
          <w:p w14:paraId="529E939D"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Deleted and replaced as follows:</w:t>
            </w:r>
          </w:p>
          <w:p w14:paraId="2891C5A1" w14:textId="77777777" w:rsidR="00592C29" w:rsidRPr="00984C20" w:rsidRDefault="00592C29" w:rsidP="00984C20">
            <w:pPr>
              <w:spacing w:line="280" w:lineRule="atLeast"/>
              <w:ind w:right="72"/>
              <w:jc w:val="both"/>
            </w:pPr>
          </w:p>
          <w:p w14:paraId="7B5771EC"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lastRenderedPageBreak/>
              <w:t>Part 1</w:t>
            </w:r>
            <w:r w:rsidRPr="00984C20">
              <w:rPr>
                <w:rFonts w:ascii="Trebuchet MS" w:eastAsia="Trebuchet MS" w:hAnsi="Trebuchet MS" w:cs="Trebuchet MS"/>
                <w:caps/>
                <w:sz w:val="22"/>
                <w:szCs w:val="22"/>
              </w:rPr>
              <w:t xml:space="preserve"> (EEA </w:t>
            </w:r>
            <w:r w:rsidRPr="00984C20">
              <w:rPr>
                <w:rFonts w:ascii="Trebuchet MS" w:eastAsia="Trebuchet MS" w:hAnsi="Trebuchet MS" w:cs="Trebuchet MS"/>
                <w:sz w:val="22"/>
                <w:szCs w:val="22"/>
              </w:rPr>
              <w:t>risks):</w:t>
            </w:r>
          </w:p>
          <w:p w14:paraId="64BA7307"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Lloyd’s Insurance Company S.A. (</w:t>
            </w:r>
            <w:r w:rsidRPr="00984C20">
              <w:rPr>
                <w:rFonts w:ascii="Trebuchet MS" w:eastAsia="Trebuchet MS" w:hAnsi="Trebuchet MS" w:cs="Trebuchet MS"/>
                <w:i/>
                <w:iCs/>
                <w:sz w:val="22"/>
                <w:szCs w:val="22"/>
                <w:shd w:val="clear" w:color="auto" w:fill="FFFF00"/>
              </w:rPr>
              <w:t>{insert LBS Syndicate reference}</w:t>
            </w:r>
            <w:r w:rsidRPr="00984C20">
              <w:rPr>
                <w:rFonts w:ascii="Trebuchet MS" w:eastAsia="Trebuchet MS" w:hAnsi="Trebuchet MS" w:cs="Trebuchet MS"/>
                <w:sz w:val="22"/>
                <w:szCs w:val="22"/>
              </w:rPr>
              <w:t>)</w:t>
            </w:r>
          </w:p>
          <w:p w14:paraId="5FDBBCF7" w14:textId="77777777" w:rsidR="00592C29" w:rsidRPr="00984C20" w:rsidRDefault="00592C29" w:rsidP="00984C20">
            <w:pPr>
              <w:spacing w:line="280" w:lineRule="atLeast"/>
              <w:ind w:right="72"/>
              <w:jc w:val="both"/>
            </w:pPr>
          </w:p>
          <w:p w14:paraId="0BED3F61"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Part 2 (non-EEA risks):</w:t>
            </w:r>
          </w:p>
          <w:p w14:paraId="27A51214" w14:textId="77777777" w:rsidR="00592C29" w:rsidRPr="00984C20" w:rsidRDefault="0048296D" w:rsidP="00984C20">
            <w:pPr>
              <w:spacing w:line="280" w:lineRule="atLeast"/>
              <w:ind w:right="72"/>
              <w:jc w:val="both"/>
            </w:pPr>
            <w:r w:rsidRPr="00984C20">
              <w:rPr>
                <w:rFonts w:ascii="Trebuchet MS" w:eastAsia="Trebuchet MS" w:hAnsi="Trebuchet MS" w:cs="Trebuchet MS"/>
                <w:i/>
                <w:iCs/>
                <w:sz w:val="22"/>
                <w:szCs w:val="22"/>
                <w:shd w:val="clear" w:color="auto" w:fill="FFFF00"/>
              </w:rPr>
              <w:t>{insert Syndicate name and number}</w:t>
            </w:r>
            <w:r w:rsidRPr="00984C20">
              <w:rPr>
                <w:rFonts w:ascii="Trebuchet MS" w:eastAsia="Trebuchet MS" w:hAnsi="Trebuchet MS" w:cs="Trebuchet MS"/>
                <w:sz w:val="22"/>
                <w:szCs w:val="22"/>
              </w:rPr>
              <w:t xml:space="preserve"> Syndicate</w:t>
            </w:r>
          </w:p>
        </w:tc>
      </w:tr>
      <w:tr w:rsidR="00592C29" w:rsidRPr="00984C20" w14:paraId="1F3CABD7" w14:textId="77777777">
        <w:tc>
          <w:tcPr>
            <w:tcW w:w="2526" w:type="dxa"/>
            <w:tcMar>
              <w:top w:w="147" w:type="dxa"/>
              <w:left w:w="113" w:type="dxa"/>
              <w:bottom w:w="5" w:type="dxa"/>
              <w:right w:w="113" w:type="dxa"/>
            </w:tcMar>
            <w:hideMark/>
          </w:tcPr>
          <w:p w14:paraId="355E4675" w14:textId="77777777" w:rsidR="00592C29" w:rsidRPr="00984C20" w:rsidRDefault="0048296D" w:rsidP="00984C20">
            <w:pPr>
              <w:spacing w:line="280" w:lineRule="atLeast"/>
            </w:pPr>
            <w:r w:rsidRPr="00984C20">
              <w:rPr>
                <w:rFonts w:ascii="Trebuchet MS" w:eastAsia="Trebuchet MS" w:hAnsi="Trebuchet MS" w:cs="Trebuchet MS"/>
                <w:b/>
                <w:bCs/>
                <w:sz w:val="22"/>
                <w:szCs w:val="22"/>
              </w:rPr>
              <w:lastRenderedPageBreak/>
              <w:t>CLAIMS AGREEMENT PARTIES:</w:t>
            </w:r>
          </w:p>
        </w:tc>
        <w:tc>
          <w:tcPr>
            <w:tcW w:w="6552" w:type="dxa"/>
            <w:tcMar>
              <w:top w:w="147" w:type="dxa"/>
              <w:left w:w="113" w:type="dxa"/>
              <w:bottom w:w="5" w:type="dxa"/>
              <w:right w:w="113" w:type="dxa"/>
            </w:tcMar>
            <w:hideMark/>
          </w:tcPr>
          <w:p w14:paraId="7CC1CD45" w14:textId="77777777" w:rsidR="00592C29" w:rsidRPr="00984C20" w:rsidRDefault="0048296D" w:rsidP="00984C20">
            <w:pPr>
              <w:spacing w:line="280" w:lineRule="atLeast"/>
              <w:ind w:right="72"/>
              <w:jc w:val="both"/>
            </w:pPr>
            <w:r w:rsidRPr="00984C20">
              <w:rPr>
                <w:rFonts w:ascii="Trebuchet MS" w:eastAsia="Trebuchet MS" w:hAnsi="Trebuchet MS" w:cs="Trebuchet MS"/>
                <w:i/>
                <w:iCs/>
                <w:sz w:val="22"/>
                <w:szCs w:val="22"/>
                <w:shd w:val="clear" w:color="auto" w:fill="FFFF00"/>
              </w:rPr>
              <w:t>{The second Lloyd’s Syndicate must be identified}</w:t>
            </w:r>
          </w:p>
          <w:p w14:paraId="31ECCDF2"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 xml:space="preserve">Deleted and replaced as follows: </w:t>
            </w:r>
          </w:p>
          <w:p w14:paraId="64A59CBF" w14:textId="77777777" w:rsidR="00592C29" w:rsidRPr="00984C20" w:rsidRDefault="00592C29" w:rsidP="00984C20">
            <w:pPr>
              <w:spacing w:line="280" w:lineRule="atLeast"/>
              <w:ind w:right="72"/>
              <w:jc w:val="both"/>
            </w:pPr>
          </w:p>
          <w:p w14:paraId="407B3170"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Part 1</w:t>
            </w:r>
            <w:r w:rsidRPr="00984C20">
              <w:rPr>
                <w:rFonts w:ascii="Trebuchet MS" w:eastAsia="Trebuchet MS" w:hAnsi="Trebuchet MS" w:cs="Trebuchet MS"/>
                <w:caps/>
                <w:sz w:val="22"/>
                <w:szCs w:val="22"/>
              </w:rPr>
              <w:t xml:space="preserve"> (EEA </w:t>
            </w:r>
            <w:r w:rsidRPr="00984C20">
              <w:rPr>
                <w:rFonts w:ascii="Trebuchet MS" w:eastAsia="Trebuchet MS" w:hAnsi="Trebuchet MS" w:cs="Trebuchet MS"/>
                <w:sz w:val="22"/>
                <w:szCs w:val="22"/>
              </w:rPr>
              <w:t>risks):</w:t>
            </w:r>
          </w:p>
          <w:p w14:paraId="51247EA9"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Lloyd’s Insurance Company S.A. (</w:t>
            </w:r>
            <w:r w:rsidRPr="00984C20">
              <w:rPr>
                <w:rFonts w:ascii="Trebuchet MS" w:eastAsia="Trebuchet MS" w:hAnsi="Trebuchet MS" w:cs="Trebuchet MS"/>
                <w:i/>
                <w:iCs/>
                <w:sz w:val="22"/>
                <w:szCs w:val="22"/>
                <w:shd w:val="clear" w:color="auto" w:fill="FFFF00"/>
              </w:rPr>
              <w:t>{insert LBS Syndicate reference}</w:t>
            </w:r>
            <w:r w:rsidRPr="00984C20">
              <w:rPr>
                <w:rFonts w:ascii="Trebuchet MS" w:eastAsia="Trebuchet MS" w:hAnsi="Trebuchet MS" w:cs="Trebuchet MS"/>
                <w:sz w:val="22"/>
                <w:szCs w:val="22"/>
              </w:rPr>
              <w:t>)</w:t>
            </w:r>
          </w:p>
          <w:p w14:paraId="001C0598" w14:textId="77777777" w:rsidR="00592C29" w:rsidRPr="00984C20" w:rsidRDefault="00592C29" w:rsidP="00984C20">
            <w:pPr>
              <w:spacing w:line="280" w:lineRule="atLeast"/>
              <w:ind w:right="72"/>
              <w:jc w:val="both"/>
            </w:pPr>
          </w:p>
          <w:p w14:paraId="4E0F56C9"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Part 2 (non-EEA risks):</w:t>
            </w:r>
          </w:p>
          <w:p w14:paraId="3D812A33" w14:textId="77777777" w:rsidR="00592C29" w:rsidRPr="00984C20" w:rsidRDefault="0048296D" w:rsidP="00984C20">
            <w:pPr>
              <w:spacing w:line="280" w:lineRule="atLeast"/>
              <w:ind w:right="72"/>
              <w:jc w:val="both"/>
            </w:pPr>
            <w:r w:rsidRPr="00984C20">
              <w:rPr>
                <w:rFonts w:ascii="Trebuchet MS" w:eastAsia="Trebuchet MS" w:hAnsi="Trebuchet MS" w:cs="Trebuchet MS"/>
                <w:i/>
                <w:iCs/>
                <w:sz w:val="22"/>
                <w:szCs w:val="22"/>
                <w:shd w:val="clear" w:color="auto" w:fill="FFFF00"/>
              </w:rPr>
              <w:t>{insert Syndicate name and number}</w:t>
            </w:r>
            <w:r w:rsidRPr="00984C20">
              <w:rPr>
                <w:rFonts w:ascii="Trebuchet MS" w:eastAsia="Trebuchet MS" w:hAnsi="Trebuchet MS" w:cs="Trebuchet MS"/>
                <w:sz w:val="22"/>
                <w:szCs w:val="22"/>
              </w:rPr>
              <w:t xml:space="preserve"> Syndicate</w:t>
            </w:r>
          </w:p>
        </w:tc>
      </w:tr>
      <w:tr w:rsidR="00592C29" w:rsidRPr="00984C20" w14:paraId="04EF8A36" w14:textId="77777777">
        <w:tc>
          <w:tcPr>
            <w:tcW w:w="2526" w:type="dxa"/>
            <w:tcMar>
              <w:top w:w="147" w:type="dxa"/>
              <w:left w:w="113" w:type="dxa"/>
              <w:bottom w:w="5" w:type="dxa"/>
              <w:right w:w="113" w:type="dxa"/>
            </w:tcMar>
            <w:hideMark/>
          </w:tcPr>
          <w:p w14:paraId="75990B41" w14:textId="77777777" w:rsidR="00592C29" w:rsidRPr="00984C20" w:rsidRDefault="0048296D" w:rsidP="00984C20">
            <w:pPr>
              <w:spacing w:line="280" w:lineRule="atLeast"/>
            </w:pPr>
            <w:r w:rsidRPr="00984C20">
              <w:rPr>
                <w:rFonts w:ascii="Trebuchet MS" w:eastAsia="Trebuchet MS" w:hAnsi="Trebuchet MS" w:cs="Trebuchet MS"/>
                <w:b/>
                <w:bCs/>
                <w:sz w:val="22"/>
                <w:szCs w:val="22"/>
              </w:rPr>
              <w:t>INFORMATION:</w:t>
            </w:r>
          </w:p>
        </w:tc>
        <w:tc>
          <w:tcPr>
            <w:tcW w:w="6552" w:type="dxa"/>
            <w:tcMar>
              <w:top w:w="147" w:type="dxa"/>
              <w:left w:w="113" w:type="dxa"/>
              <w:bottom w:w="5" w:type="dxa"/>
              <w:right w:w="113" w:type="dxa"/>
            </w:tcMar>
            <w:hideMark/>
          </w:tcPr>
          <w:p w14:paraId="0B51A6A4" w14:textId="77777777" w:rsidR="00592C29" w:rsidRPr="00984C20" w:rsidRDefault="0048296D" w:rsidP="00984C20">
            <w:pPr>
              <w:spacing w:line="280" w:lineRule="atLeast"/>
              <w:ind w:right="72"/>
              <w:jc w:val="both"/>
            </w:pPr>
            <w:r w:rsidRPr="00984C20">
              <w:rPr>
                <w:rFonts w:ascii="Trebuchet MS" w:eastAsia="Trebuchet MS" w:hAnsi="Trebuchet MS" w:cs="Trebuchet MS"/>
                <w:i/>
                <w:iCs/>
                <w:sz w:val="22"/>
                <w:szCs w:val="22"/>
                <w:shd w:val="clear" w:color="auto" w:fill="FFFF00"/>
              </w:rPr>
              <w:t>{the MRC should be attached to this Endorsement for the purposes of SDC}</w:t>
            </w:r>
          </w:p>
          <w:p w14:paraId="567295F4" w14:textId="77777777" w:rsidR="00592C29" w:rsidRPr="00984C20" w:rsidRDefault="0048296D" w:rsidP="00984C20">
            <w:pPr>
              <w:spacing w:line="280" w:lineRule="atLeast"/>
              <w:ind w:right="72"/>
              <w:jc w:val="both"/>
            </w:pPr>
            <w:r w:rsidRPr="00984C20">
              <w:rPr>
                <w:rFonts w:ascii="Trebuchet MS" w:eastAsia="Trebuchet MS" w:hAnsi="Trebuchet MS" w:cs="Trebuchet MS"/>
                <w:sz w:val="22"/>
                <w:szCs w:val="22"/>
              </w:rPr>
              <w:t xml:space="preserve">Per the MRC identified by the UMR stated above, as attached. </w:t>
            </w:r>
          </w:p>
        </w:tc>
      </w:tr>
    </w:tbl>
    <w:p w14:paraId="7495E18D" w14:textId="77777777" w:rsidR="00592C29" w:rsidRPr="00984C20" w:rsidRDefault="00592C29" w:rsidP="00984C20">
      <w:pPr>
        <w:spacing w:line="276" w:lineRule="auto"/>
        <w:ind w:right="418"/>
        <w:jc w:val="both"/>
        <w:rPr>
          <w:sz w:val="22"/>
          <w:szCs w:val="22"/>
        </w:rPr>
      </w:pPr>
    </w:p>
    <w:tbl>
      <w:tblPr>
        <w:tblW w:w="0" w:type="auto"/>
        <w:jc w:val="center"/>
        <w:tblBorders>
          <w:top w:val="single" w:sz="12" w:space="0" w:color="000000"/>
          <w:left w:val="single" w:sz="12" w:space="0" w:color="000000"/>
          <w:bottom w:val="single" w:sz="12" w:space="0" w:color="000000"/>
          <w:right w:val="single" w:sz="12" w:space="0" w:color="000000"/>
        </w:tblBorders>
        <w:tblCellMar>
          <w:left w:w="0" w:type="dxa"/>
          <w:right w:w="0" w:type="dxa"/>
        </w:tblCellMar>
        <w:tblLook w:val="04A0" w:firstRow="1" w:lastRow="0" w:firstColumn="1" w:lastColumn="0" w:noHBand="0" w:noVBand="1"/>
      </w:tblPr>
      <w:tblGrid>
        <w:gridCol w:w="1466"/>
        <w:gridCol w:w="4961"/>
        <w:gridCol w:w="2145"/>
      </w:tblGrid>
      <w:tr w:rsidR="00592C29" w:rsidRPr="00984C20" w14:paraId="1622B98F" w14:textId="77777777">
        <w:trPr>
          <w:jc w:val="center"/>
        </w:trPr>
        <w:tc>
          <w:tcPr>
            <w:tcW w:w="8572" w:type="dxa"/>
            <w:gridSpan w:val="3"/>
            <w:tcBorders>
              <w:bottom w:val="single" w:sz="6" w:space="0" w:color="000000"/>
            </w:tcBorders>
            <w:tcMar>
              <w:top w:w="15" w:type="dxa"/>
              <w:left w:w="108" w:type="dxa"/>
              <w:bottom w:w="8" w:type="dxa"/>
              <w:right w:w="108" w:type="dxa"/>
            </w:tcMar>
            <w:hideMark/>
          </w:tcPr>
          <w:p w14:paraId="34FAD74F" w14:textId="77777777" w:rsidR="00592C29" w:rsidRPr="00984C20" w:rsidRDefault="0048296D" w:rsidP="00984C20">
            <w:pPr>
              <w:spacing w:line="280" w:lineRule="atLeast"/>
              <w:jc w:val="center"/>
            </w:pPr>
            <w:r w:rsidRPr="00984C20">
              <w:rPr>
                <w:rFonts w:ascii="Trebuchet MS" w:eastAsia="Trebuchet MS" w:hAnsi="Trebuchet MS" w:cs="Trebuchet MS"/>
                <w:b/>
                <w:bCs/>
                <w:sz w:val="22"/>
                <w:szCs w:val="22"/>
              </w:rPr>
              <w:t>AVS100B</w:t>
            </w:r>
          </w:p>
        </w:tc>
      </w:tr>
      <w:tr w:rsidR="00592C29" w:rsidRPr="00984C20" w14:paraId="67E85841" w14:textId="77777777">
        <w:trPr>
          <w:jc w:val="center"/>
        </w:trPr>
        <w:tc>
          <w:tcPr>
            <w:tcW w:w="1466" w:type="dxa"/>
            <w:tcBorders>
              <w:top w:val="single" w:sz="6" w:space="0" w:color="000000"/>
              <w:right w:val="single" w:sz="6" w:space="0" w:color="000000"/>
            </w:tcBorders>
            <w:tcMar>
              <w:top w:w="8" w:type="dxa"/>
              <w:left w:w="108" w:type="dxa"/>
              <w:bottom w:w="5" w:type="dxa"/>
              <w:right w:w="108" w:type="dxa"/>
            </w:tcMar>
            <w:hideMark/>
          </w:tcPr>
          <w:p w14:paraId="4D355DD8" w14:textId="77777777" w:rsidR="00592C29" w:rsidRPr="00984C20" w:rsidRDefault="0048296D" w:rsidP="00984C20">
            <w:pPr>
              <w:spacing w:line="276" w:lineRule="auto"/>
              <w:rPr>
                <w:sz w:val="22"/>
                <w:szCs w:val="22"/>
              </w:rPr>
            </w:pPr>
            <w:r w:rsidRPr="00984C20">
              <w:rPr>
                <w:rFonts w:ascii="Trebuchet MS" w:eastAsia="Trebuchet MS" w:hAnsi="Trebuchet MS" w:cs="Trebuchet MS"/>
                <w:sz w:val="22"/>
                <w:szCs w:val="22"/>
              </w:rPr>
              <w:t>AGREED BY LDRS. ONLY</w:t>
            </w:r>
          </w:p>
          <w:p w14:paraId="135DF878" w14:textId="77777777" w:rsidR="00592C29" w:rsidRPr="00984C20" w:rsidRDefault="00592C29" w:rsidP="00984C20">
            <w:pPr>
              <w:spacing w:line="276" w:lineRule="auto"/>
              <w:jc w:val="center"/>
              <w:rPr>
                <w:sz w:val="22"/>
                <w:szCs w:val="22"/>
              </w:rPr>
            </w:pPr>
          </w:p>
        </w:tc>
        <w:tc>
          <w:tcPr>
            <w:tcW w:w="4961" w:type="dxa"/>
            <w:tcBorders>
              <w:top w:val="single" w:sz="6" w:space="0" w:color="000000"/>
              <w:left w:val="single" w:sz="6" w:space="0" w:color="000000"/>
              <w:right w:val="single" w:sz="6" w:space="0" w:color="000000"/>
            </w:tcBorders>
            <w:tcMar>
              <w:top w:w="8" w:type="dxa"/>
              <w:left w:w="108" w:type="dxa"/>
              <w:bottom w:w="5" w:type="dxa"/>
              <w:right w:w="108" w:type="dxa"/>
            </w:tcMar>
            <w:hideMark/>
          </w:tcPr>
          <w:p w14:paraId="1711D4A2" w14:textId="77777777" w:rsidR="00592C29" w:rsidRPr="00984C20" w:rsidRDefault="0048296D" w:rsidP="00984C20">
            <w:pPr>
              <w:spacing w:line="276" w:lineRule="auto"/>
              <w:jc w:val="center"/>
              <w:rPr>
                <w:sz w:val="22"/>
                <w:szCs w:val="22"/>
              </w:rPr>
            </w:pPr>
            <w:r w:rsidRPr="00984C20">
              <w:rPr>
                <w:rFonts w:ascii="Trebuchet MS" w:eastAsia="Trebuchet MS" w:hAnsi="Trebuchet MS" w:cs="Trebuchet MS"/>
                <w:sz w:val="22"/>
                <w:szCs w:val="22"/>
              </w:rPr>
              <w:t>AGREED BY LDRS. BUT ADVISE ALL UWRS. WITHIN 7 DAYS FROM DATE …………………….</w:t>
            </w:r>
          </w:p>
          <w:p w14:paraId="221717CE" w14:textId="77777777" w:rsidR="00592C29" w:rsidRPr="00984C20" w:rsidRDefault="00592C29" w:rsidP="00984C20">
            <w:pPr>
              <w:spacing w:line="276" w:lineRule="auto"/>
              <w:jc w:val="center"/>
              <w:rPr>
                <w:sz w:val="22"/>
                <w:szCs w:val="22"/>
              </w:rPr>
            </w:pPr>
          </w:p>
        </w:tc>
        <w:tc>
          <w:tcPr>
            <w:tcW w:w="2145" w:type="dxa"/>
            <w:tcBorders>
              <w:top w:val="single" w:sz="6" w:space="0" w:color="000000"/>
              <w:left w:val="single" w:sz="6" w:space="0" w:color="000000"/>
            </w:tcBorders>
            <w:tcMar>
              <w:top w:w="8" w:type="dxa"/>
              <w:left w:w="108" w:type="dxa"/>
              <w:bottom w:w="5" w:type="dxa"/>
              <w:right w:w="108" w:type="dxa"/>
            </w:tcMar>
            <w:hideMark/>
          </w:tcPr>
          <w:p w14:paraId="6AF90237" w14:textId="77777777" w:rsidR="00592C29" w:rsidRPr="00984C20" w:rsidRDefault="0048296D" w:rsidP="00984C20">
            <w:pPr>
              <w:spacing w:line="276" w:lineRule="auto"/>
              <w:jc w:val="center"/>
              <w:rPr>
                <w:sz w:val="22"/>
                <w:szCs w:val="22"/>
              </w:rPr>
            </w:pPr>
            <w:r w:rsidRPr="00984C20">
              <w:rPr>
                <w:rFonts w:ascii="Trebuchet MS" w:eastAsia="Trebuchet MS" w:hAnsi="Trebuchet MS" w:cs="Trebuchet MS"/>
                <w:sz w:val="22"/>
                <w:szCs w:val="22"/>
              </w:rPr>
              <w:t xml:space="preserve">TO BE AGREED BY ALL UWRS. </w:t>
            </w:r>
            <w:r w:rsidRPr="00984C20">
              <w:rPr>
                <w:rFonts w:ascii="Arial" w:eastAsia="Arial" w:hAnsi="Arial" w:cs="Arial"/>
                <w:sz w:val="20"/>
                <w:szCs w:val="20"/>
                <w:vertAlign w:val="superscript"/>
              </w:rPr>
              <w:footnoteReference w:id="14"/>
            </w:r>
          </w:p>
        </w:tc>
      </w:tr>
      <w:tr w:rsidR="00592C29" w:rsidRPr="00984C20" w14:paraId="170DC7BA" w14:textId="77777777">
        <w:trPr>
          <w:trHeight w:val="1247"/>
          <w:jc w:val="center"/>
        </w:trPr>
        <w:tc>
          <w:tcPr>
            <w:tcW w:w="1466" w:type="dxa"/>
            <w:tcBorders>
              <w:right w:val="single" w:sz="6" w:space="0" w:color="000000"/>
            </w:tcBorders>
            <w:tcMar>
              <w:top w:w="5" w:type="dxa"/>
              <w:left w:w="108" w:type="dxa"/>
              <w:bottom w:w="15" w:type="dxa"/>
              <w:right w:w="108" w:type="dxa"/>
            </w:tcMar>
            <w:vAlign w:val="bottom"/>
            <w:hideMark/>
          </w:tcPr>
          <w:p w14:paraId="578EA6AE" w14:textId="77777777" w:rsidR="00592C29" w:rsidRPr="00984C20" w:rsidRDefault="0048296D" w:rsidP="00984C20">
            <w:pPr>
              <w:spacing w:line="280" w:lineRule="atLeast"/>
              <w:jc w:val="center"/>
            </w:pPr>
            <w:r w:rsidRPr="00984C20">
              <w:rPr>
                <w:rFonts w:ascii="Trebuchet MS" w:eastAsia="Trebuchet MS" w:hAnsi="Trebuchet MS" w:cs="Trebuchet MS"/>
                <w:sz w:val="22"/>
                <w:szCs w:val="22"/>
              </w:rPr>
              <w:t>(1)</w:t>
            </w:r>
          </w:p>
        </w:tc>
        <w:tc>
          <w:tcPr>
            <w:tcW w:w="4961" w:type="dxa"/>
            <w:tcBorders>
              <w:left w:val="single" w:sz="6" w:space="0" w:color="000000"/>
              <w:right w:val="single" w:sz="6" w:space="0" w:color="000000"/>
            </w:tcBorders>
            <w:tcMar>
              <w:top w:w="5" w:type="dxa"/>
              <w:left w:w="108" w:type="dxa"/>
              <w:bottom w:w="15" w:type="dxa"/>
              <w:right w:w="108" w:type="dxa"/>
            </w:tcMar>
            <w:vAlign w:val="bottom"/>
            <w:hideMark/>
          </w:tcPr>
          <w:p w14:paraId="169D3EB9" w14:textId="77777777" w:rsidR="00592C29" w:rsidRPr="00984C20" w:rsidRDefault="0048296D" w:rsidP="00984C20">
            <w:pPr>
              <w:spacing w:line="280" w:lineRule="atLeast"/>
              <w:jc w:val="center"/>
            </w:pPr>
            <w:r w:rsidRPr="00984C20">
              <w:rPr>
                <w:rFonts w:ascii="Trebuchet MS" w:eastAsia="Trebuchet MS" w:hAnsi="Trebuchet MS" w:cs="Trebuchet MS"/>
                <w:sz w:val="22"/>
                <w:szCs w:val="22"/>
              </w:rPr>
              <w:t>(2)</w:t>
            </w:r>
          </w:p>
        </w:tc>
        <w:tc>
          <w:tcPr>
            <w:tcW w:w="2145" w:type="dxa"/>
            <w:tcBorders>
              <w:left w:val="single" w:sz="6" w:space="0" w:color="000000"/>
            </w:tcBorders>
            <w:tcMar>
              <w:top w:w="5" w:type="dxa"/>
              <w:left w:w="108" w:type="dxa"/>
              <w:bottom w:w="15" w:type="dxa"/>
              <w:right w:w="108" w:type="dxa"/>
            </w:tcMar>
            <w:vAlign w:val="bottom"/>
            <w:hideMark/>
          </w:tcPr>
          <w:p w14:paraId="297C0D0F" w14:textId="77777777" w:rsidR="00592C29" w:rsidRPr="00984C20" w:rsidRDefault="0048296D" w:rsidP="00984C20">
            <w:pPr>
              <w:spacing w:line="280" w:lineRule="atLeast"/>
              <w:jc w:val="center"/>
            </w:pPr>
            <w:r w:rsidRPr="00984C20">
              <w:rPr>
                <w:rFonts w:ascii="Trebuchet MS" w:eastAsia="Trebuchet MS" w:hAnsi="Trebuchet MS" w:cs="Trebuchet MS"/>
                <w:sz w:val="22"/>
                <w:szCs w:val="22"/>
              </w:rPr>
              <w:t>(3)</w:t>
            </w:r>
          </w:p>
        </w:tc>
      </w:tr>
    </w:tbl>
    <w:p w14:paraId="06B3E4CB" w14:textId="77777777" w:rsidR="00592C29" w:rsidRPr="00984C20" w:rsidRDefault="00592C29" w:rsidP="00984C20">
      <w:pPr>
        <w:spacing w:line="276" w:lineRule="auto"/>
        <w:ind w:left="2880" w:right="418" w:hanging="2340"/>
        <w:jc w:val="both"/>
        <w:rPr>
          <w:sz w:val="22"/>
          <w:szCs w:val="22"/>
        </w:rPr>
      </w:pPr>
    </w:p>
    <w:p w14:paraId="3E5CF864" w14:textId="77777777" w:rsidR="00592C29" w:rsidRPr="00984C20" w:rsidRDefault="00592C29" w:rsidP="00984C20">
      <w:pPr>
        <w:spacing w:line="276" w:lineRule="auto"/>
        <w:ind w:left="2880" w:right="418" w:hanging="2340"/>
        <w:jc w:val="both"/>
        <w:rPr>
          <w:sz w:val="22"/>
          <w:szCs w:val="22"/>
        </w:rPr>
      </w:pPr>
    </w:p>
    <w:p w14:paraId="0FB1FA75" w14:textId="77777777" w:rsidR="00592C29" w:rsidRPr="00984C20" w:rsidRDefault="0048296D" w:rsidP="00984C20">
      <w:pPr>
        <w:spacing w:line="276" w:lineRule="auto"/>
        <w:ind w:left="2880" w:right="418" w:hanging="2340"/>
        <w:jc w:val="both"/>
        <w:rPr>
          <w:sz w:val="22"/>
          <w:szCs w:val="22"/>
        </w:rPr>
      </w:pPr>
      <w:r w:rsidRPr="00984C20">
        <w:rPr>
          <w:rFonts w:ascii="Trebuchet MS" w:eastAsia="Trebuchet MS" w:hAnsi="Trebuchet MS" w:cs="Trebuchet MS"/>
          <w:sz w:val="22"/>
          <w:szCs w:val="22"/>
        </w:rPr>
        <w:t>All other terms and conditions remain unchanged.</w:t>
      </w:r>
    </w:p>
    <w:p w14:paraId="39E22416" w14:textId="77777777" w:rsidR="00592C29" w:rsidRPr="00984C20" w:rsidRDefault="0048296D" w:rsidP="00984C20">
      <w:pPr>
        <w:spacing w:line="276" w:lineRule="auto"/>
        <w:rPr>
          <w:sz w:val="22"/>
          <w:szCs w:val="22"/>
        </w:rPr>
      </w:pPr>
      <w:r w:rsidRPr="00984C20">
        <w:rPr>
          <w:sz w:val="22"/>
          <w:szCs w:val="22"/>
        </w:rPr>
        <w:br w:type="page"/>
      </w:r>
    </w:p>
    <w:p w14:paraId="338F21B5" w14:textId="77777777" w:rsidR="00592C29" w:rsidRPr="00984C20" w:rsidRDefault="0048296D" w:rsidP="00984C20">
      <w:pPr>
        <w:spacing w:line="276" w:lineRule="auto"/>
        <w:ind w:left="2160" w:hanging="2160"/>
        <w:rPr>
          <w:sz w:val="22"/>
          <w:szCs w:val="22"/>
        </w:rPr>
      </w:pPr>
      <w:r w:rsidRPr="00984C20">
        <w:rPr>
          <w:rFonts w:ascii="Trebuchet MS" w:eastAsia="Trebuchet MS" w:hAnsi="Trebuchet MS" w:cs="Trebuchet MS"/>
          <w:b/>
          <w:bCs/>
          <w:sz w:val="22"/>
          <w:szCs w:val="22"/>
        </w:rPr>
        <w:lastRenderedPageBreak/>
        <w:t>WRITTEN LINES</w:t>
      </w:r>
      <w:r w:rsidRPr="00984C20">
        <w:rPr>
          <w:rFonts w:ascii="Arial" w:eastAsia="Arial" w:hAnsi="Arial" w:cs="Arial"/>
          <w:sz w:val="20"/>
          <w:szCs w:val="20"/>
          <w:vertAlign w:val="superscript"/>
        </w:rPr>
        <w:footnoteReference w:id="15"/>
      </w:r>
      <w:r w:rsidRPr="00984C20">
        <w:rPr>
          <w:rFonts w:ascii="Trebuchet MS" w:eastAsia="Trebuchet MS" w:hAnsi="Trebuchet MS" w:cs="Trebuchet MS"/>
          <w:b/>
          <w:bCs/>
          <w:sz w:val="22"/>
          <w:szCs w:val="22"/>
        </w:rPr>
        <w:t>:</w:t>
      </w:r>
    </w:p>
    <w:p w14:paraId="29550552" w14:textId="77777777" w:rsidR="00592C29" w:rsidRPr="00984C20" w:rsidRDefault="00592C29" w:rsidP="00984C20">
      <w:pPr>
        <w:spacing w:line="276" w:lineRule="auto"/>
        <w:ind w:left="2160" w:hanging="2160"/>
        <w:rPr>
          <w:sz w:val="22"/>
          <w:szCs w:val="22"/>
        </w:rPr>
      </w:pPr>
    </w:p>
    <w:p w14:paraId="3DB9E378" w14:textId="77777777" w:rsidR="00592C29" w:rsidRPr="00984C20" w:rsidRDefault="0048296D" w:rsidP="00984C20">
      <w:pPr>
        <w:spacing w:line="276" w:lineRule="auto"/>
        <w:ind w:left="2160" w:hanging="2160"/>
        <w:rPr>
          <w:sz w:val="28"/>
          <w:szCs w:val="28"/>
        </w:rPr>
      </w:pPr>
      <w:r w:rsidRPr="00984C20">
        <w:rPr>
          <w:rFonts w:ascii="Trebuchet MS" w:eastAsia="Trebuchet MS" w:hAnsi="Trebuchet MS" w:cs="Trebuchet MS"/>
          <w:b/>
          <w:bCs/>
          <w:sz w:val="28"/>
          <w:szCs w:val="28"/>
        </w:rPr>
        <w:t>In respect of Part 1 (EEA risks):</w:t>
      </w:r>
    </w:p>
    <w:p w14:paraId="1F5853C7" w14:textId="77777777" w:rsidR="00592C29" w:rsidRPr="00984C20" w:rsidRDefault="00592C29" w:rsidP="00984C20">
      <w:pPr>
        <w:spacing w:line="276" w:lineRule="auto"/>
        <w:ind w:left="2160" w:hanging="2160"/>
        <w:rPr>
          <w:sz w:val="22"/>
          <w:szCs w:val="22"/>
        </w:rPr>
      </w:pPr>
    </w:p>
    <w:p w14:paraId="1A92C353" w14:textId="77777777" w:rsidR="00592C29" w:rsidRPr="00984C20" w:rsidRDefault="00592C29" w:rsidP="00984C20">
      <w:pPr>
        <w:spacing w:line="276" w:lineRule="auto"/>
        <w:ind w:left="2160" w:hanging="2160"/>
        <w:rPr>
          <w:sz w:val="22"/>
          <w:szCs w:val="22"/>
        </w:rPr>
      </w:pPr>
    </w:p>
    <w:tbl>
      <w:tblPr>
        <w:tblW w:w="0" w:type="auto"/>
        <w:tblInd w:w="113" w:type="dxa"/>
        <w:tblCellMar>
          <w:left w:w="0" w:type="dxa"/>
          <w:right w:w="0" w:type="dxa"/>
        </w:tblCellMar>
        <w:tblLook w:val="04A0" w:firstRow="1" w:lastRow="0" w:firstColumn="1" w:lastColumn="0" w:noHBand="0" w:noVBand="1"/>
      </w:tblPr>
      <w:tblGrid>
        <w:gridCol w:w="847"/>
        <w:gridCol w:w="429"/>
        <w:gridCol w:w="290"/>
        <w:gridCol w:w="339"/>
        <w:gridCol w:w="335"/>
        <w:gridCol w:w="335"/>
        <w:gridCol w:w="335"/>
        <w:gridCol w:w="490"/>
        <w:gridCol w:w="441"/>
        <w:gridCol w:w="441"/>
        <w:gridCol w:w="442"/>
        <w:gridCol w:w="441"/>
        <w:gridCol w:w="441"/>
        <w:gridCol w:w="1110"/>
      </w:tblGrid>
      <w:tr w:rsidR="00592C29" w:rsidRPr="00984C20" w14:paraId="76C6D576" w14:textId="77777777">
        <w:trPr>
          <w:trHeight w:val="1608"/>
        </w:trPr>
        <w:tc>
          <w:tcPr>
            <w:tcW w:w="847" w:type="dxa"/>
            <w:vMerge w:val="restart"/>
            <w:tcBorders>
              <w:right w:val="single" w:sz="6" w:space="0" w:color="000000"/>
            </w:tcBorders>
            <w:tcMar>
              <w:top w:w="5" w:type="dxa"/>
              <w:left w:w="113" w:type="dxa"/>
              <w:bottom w:w="5" w:type="dxa"/>
              <w:right w:w="108" w:type="dxa"/>
            </w:tcMar>
            <w:vAlign w:val="center"/>
            <w:hideMark/>
          </w:tcPr>
          <w:p w14:paraId="0B5C0C51" w14:textId="77777777" w:rsidR="00592C29" w:rsidRPr="00984C20" w:rsidRDefault="0048296D" w:rsidP="00984C20">
            <w:pPr>
              <w:spacing w:line="276" w:lineRule="auto"/>
              <w:rPr>
                <w:sz w:val="22"/>
                <w:szCs w:val="22"/>
              </w:rPr>
            </w:pPr>
            <w:r w:rsidRPr="00984C20">
              <w:rPr>
                <w:sz w:val="22"/>
                <w:szCs w:val="22"/>
              </w:rPr>
              <w:t>18.5%</w:t>
            </w:r>
          </w:p>
        </w:tc>
        <w:tc>
          <w:tcPr>
            <w:tcW w:w="4706" w:type="dxa"/>
            <w:gridSpan w:val="1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655125A3" w14:textId="77777777" w:rsidR="00592C29" w:rsidRPr="00984C20" w:rsidRDefault="00592C29" w:rsidP="00984C20">
            <w:pPr>
              <w:spacing w:line="276" w:lineRule="auto"/>
              <w:rPr>
                <w:sz w:val="22"/>
                <w:szCs w:val="22"/>
              </w:rPr>
            </w:pPr>
          </w:p>
          <w:p w14:paraId="751DD07A" w14:textId="77777777" w:rsidR="00592C29" w:rsidRPr="00984C20" w:rsidRDefault="0048296D" w:rsidP="00984C20">
            <w:pPr>
              <w:spacing w:line="276" w:lineRule="auto"/>
              <w:rPr>
                <w:sz w:val="22"/>
                <w:szCs w:val="22"/>
              </w:rPr>
            </w:pPr>
            <w:r w:rsidRPr="00984C20">
              <w:rPr>
                <w:b/>
                <w:bCs/>
                <w:sz w:val="22"/>
                <w:szCs w:val="22"/>
              </w:rPr>
              <w:t xml:space="preserve">Lloyd's Insurance Company S.A  </w:t>
            </w:r>
            <w:r w:rsidRPr="00984C20">
              <w:rPr>
                <w:noProof/>
                <w:sz w:val="22"/>
                <w:szCs w:val="22"/>
              </w:rPr>
              <w:drawing>
                <wp:inline distT="0" distB="0" distL="0" distR="0" wp14:anchorId="23E7F234" wp14:editId="144378A1">
                  <wp:extent cx="457200" cy="304800"/>
                  <wp:effectExtent l="0" t="0" r="0" b="0"/>
                  <wp:docPr id="100059" name="Picture 100059" descr="https://europa.eu/european-union/sites/europaeu/files/docs/body/flag_black_white_hi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r:embed="rId46"/>
                          <a:stretch>
                            <a:fillRect/>
                          </a:stretch>
                        </pic:blipFill>
                        <pic:spPr>
                          <a:xfrm>
                            <a:off x="0" y="0"/>
                            <a:ext cx="457200" cy="304800"/>
                          </a:xfrm>
                          <a:prstGeom prst="rect">
                            <a:avLst/>
                          </a:prstGeom>
                        </pic:spPr>
                      </pic:pic>
                    </a:graphicData>
                  </a:graphic>
                </wp:inline>
              </w:drawing>
            </w:r>
          </w:p>
          <w:p w14:paraId="13D3D89A" w14:textId="77777777" w:rsidR="00592C29" w:rsidRPr="00984C20" w:rsidRDefault="0048296D" w:rsidP="00984C20">
            <w:pPr>
              <w:spacing w:line="276" w:lineRule="auto"/>
              <w:rPr>
                <w:sz w:val="22"/>
                <w:szCs w:val="22"/>
              </w:rPr>
            </w:pPr>
            <w:r w:rsidRPr="00984C20">
              <w:rPr>
                <w:b/>
                <w:bCs/>
                <w:sz w:val="22"/>
                <w:szCs w:val="22"/>
              </w:rPr>
              <w:t xml:space="preserve">                                                            HIS</w:t>
            </w:r>
          </w:p>
          <w:p w14:paraId="41293E39" w14:textId="77777777" w:rsidR="00592C29" w:rsidRPr="00984C20" w:rsidRDefault="0048296D" w:rsidP="00984C20">
            <w:pPr>
              <w:spacing w:line="276" w:lineRule="auto"/>
              <w:ind w:left="1440"/>
              <w:rPr>
                <w:sz w:val="22"/>
                <w:szCs w:val="22"/>
              </w:rPr>
            </w:pPr>
            <w:r w:rsidRPr="00984C20">
              <w:rPr>
                <w:b/>
                <w:bCs/>
                <w:sz w:val="22"/>
                <w:szCs w:val="22"/>
              </w:rPr>
              <w:t xml:space="preserve">                                  5299</w:t>
            </w:r>
          </w:p>
          <w:p w14:paraId="6644E5F9" w14:textId="77777777" w:rsidR="00592C29" w:rsidRPr="00984C20" w:rsidRDefault="00592C29" w:rsidP="00984C20">
            <w:pPr>
              <w:spacing w:line="276" w:lineRule="auto"/>
              <w:rPr>
                <w:sz w:val="22"/>
                <w:szCs w:val="22"/>
              </w:rPr>
            </w:pPr>
          </w:p>
        </w:tc>
        <w:tc>
          <w:tcPr>
            <w:tcW w:w="1110" w:type="dxa"/>
            <w:tcBorders>
              <w:left w:val="single" w:sz="6" w:space="0" w:color="000000"/>
            </w:tcBorders>
            <w:tcMar>
              <w:top w:w="5" w:type="dxa"/>
              <w:left w:w="108" w:type="dxa"/>
              <w:bottom w:w="5" w:type="dxa"/>
              <w:right w:w="113" w:type="dxa"/>
            </w:tcMar>
          </w:tcPr>
          <w:p w14:paraId="7C37766B" w14:textId="77777777" w:rsidR="00592C29" w:rsidRPr="00984C20" w:rsidRDefault="00592C29" w:rsidP="00984C20">
            <w:pPr>
              <w:spacing w:line="276" w:lineRule="auto"/>
              <w:rPr>
                <w:sz w:val="16"/>
                <w:szCs w:val="16"/>
              </w:rPr>
            </w:pPr>
          </w:p>
        </w:tc>
      </w:tr>
      <w:tr w:rsidR="00592C29" w:rsidRPr="00984C20" w14:paraId="6D7CF793" w14:textId="77777777">
        <w:trPr>
          <w:trHeight w:val="211"/>
        </w:trPr>
        <w:tc>
          <w:tcPr>
            <w:tcW w:w="0" w:type="auto"/>
            <w:vMerge/>
            <w:tcBorders>
              <w:right w:val="single" w:sz="6" w:space="0" w:color="000000"/>
            </w:tcBorders>
            <w:vAlign w:val="center"/>
            <w:hideMark/>
          </w:tcPr>
          <w:p w14:paraId="44F813F7" w14:textId="77777777" w:rsidR="00592C29" w:rsidRPr="00984C20" w:rsidRDefault="00592C29" w:rsidP="00984C20">
            <w:pPr>
              <w:rPr>
                <w:sz w:val="16"/>
                <w:szCs w:val="16"/>
              </w:rPr>
            </w:pPr>
          </w:p>
        </w:tc>
        <w:tc>
          <w:tcPr>
            <w:tcW w:w="429"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7C22CD8F" w14:textId="77777777" w:rsidR="00592C29" w:rsidRPr="00984C20" w:rsidRDefault="0048296D" w:rsidP="00984C20">
            <w:pPr>
              <w:spacing w:line="276" w:lineRule="auto"/>
              <w:rPr>
                <w:sz w:val="22"/>
                <w:szCs w:val="22"/>
              </w:rPr>
            </w:pPr>
            <w:r w:rsidRPr="00984C20">
              <w:rPr>
                <w:sz w:val="22"/>
                <w:szCs w:val="22"/>
              </w:rPr>
              <w:t>H</w:t>
            </w:r>
          </w:p>
        </w:tc>
        <w:tc>
          <w:tcPr>
            <w:tcW w:w="284"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E34D731" w14:textId="77777777" w:rsidR="00592C29" w:rsidRPr="00984C20" w:rsidRDefault="0048296D" w:rsidP="00984C20">
            <w:pPr>
              <w:spacing w:line="276" w:lineRule="auto"/>
              <w:rPr>
                <w:sz w:val="22"/>
                <w:szCs w:val="22"/>
              </w:rPr>
            </w:pPr>
            <w:r w:rsidRPr="00984C20">
              <w:rPr>
                <w:sz w:val="22"/>
                <w:szCs w:val="22"/>
              </w:rPr>
              <w:t>I</w:t>
            </w:r>
          </w:p>
        </w:tc>
        <w:tc>
          <w:tcPr>
            <w:tcW w:w="292"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2C30508A" w14:textId="77777777" w:rsidR="00592C29" w:rsidRPr="00984C20" w:rsidRDefault="0048296D" w:rsidP="00984C20">
            <w:pPr>
              <w:spacing w:line="276" w:lineRule="auto"/>
              <w:rPr>
                <w:sz w:val="22"/>
                <w:szCs w:val="22"/>
              </w:rPr>
            </w:pPr>
            <w:r w:rsidRPr="00984C20">
              <w:rPr>
                <w:sz w:val="22"/>
                <w:szCs w:val="22"/>
              </w:rPr>
              <w:t>S</w:t>
            </w:r>
          </w:p>
        </w:tc>
        <w:tc>
          <w:tcPr>
            <w:tcW w:w="33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48E7A86" w14:textId="77777777" w:rsidR="00592C29" w:rsidRPr="00984C20" w:rsidRDefault="0048296D" w:rsidP="00984C20">
            <w:pPr>
              <w:spacing w:line="276" w:lineRule="auto"/>
              <w:rPr>
                <w:sz w:val="22"/>
                <w:szCs w:val="22"/>
              </w:rPr>
            </w:pPr>
            <w:r w:rsidRPr="00984C20">
              <w:rPr>
                <w:sz w:val="22"/>
                <w:szCs w:val="22"/>
              </w:rPr>
              <w:t>3</w:t>
            </w:r>
          </w:p>
        </w:tc>
        <w:tc>
          <w:tcPr>
            <w:tcW w:w="33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78FF4FF3" w14:textId="77777777" w:rsidR="00592C29" w:rsidRPr="00984C20" w:rsidRDefault="0048296D" w:rsidP="00984C20">
            <w:pPr>
              <w:spacing w:line="276" w:lineRule="auto"/>
              <w:rPr>
                <w:sz w:val="22"/>
                <w:szCs w:val="22"/>
              </w:rPr>
            </w:pPr>
            <w:r w:rsidRPr="00984C20">
              <w:rPr>
                <w:sz w:val="22"/>
                <w:szCs w:val="22"/>
              </w:rPr>
              <w:t>5</w:t>
            </w:r>
          </w:p>
        </w:tc>
        <w:tc>
          <w:tcPr>
            <w:tcW w:w="33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75AB2558" w14:textId="77777777" w:rsidR="00592C29" w:rsidRPr="00984C20" w:rsidRDefault="0048296D" w:rsidP="00984C20">
            <w:pPr>
              <w:spacing w:line="276" w:lineRule="auto"/>
              <w:rPr>
                <w:sz w:val="22"/>
                <w:szCs w:val="22"/>
              </w:rPr>
            </w:pPr>
            <w:r w:rsidRPr="00984C20">
              <w:rPr>
                <w:sz w:val="22"/>
                <w:szCs w:val="22"/>
              </w:rPr>
              <w:t>5</w:t>
            </w:r>
          </w:p>
        </w:tc>
        <w:tc>
          <w:tcPr>
            <w:tcW w:w="490"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41C49BC7" w14:textId="77777777" w:rsidR="00592C29" w:rsidRPr="00984C20" w:rsidRDefault="0048296D" w:rsidP="00984C20">
            <w:pPr>
              <w:spacing w:line="276" w:lineRule="auto"/>
              <w:rPr>
                <w:sz w:val="22"/>
                <w:szCs w:val="22"/>
              </w:rPr>
            </w:pPr>
            <w:r w:rsidRPr="00984C20">
              <w:rPr>
                <w:sz w:val="22"/>
                <w:szCs w:val="22"/>
              </w:rPr>
              <w:t>3</w:t>
            </w:r>
          </w:p>
        </w:tc>
        <w:tc>
          <w:tcPr>
            <w:tcW w:w="4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2E98F00B" w14:textId="77777777" w:rsidR="00592C29" w:rsidRPr="00984C20" w:rsidRDefault="0048296D" w:rsidP="00984C20">
            <w:pPr>
              <w:spacing w:line="276" w:lineRule="auto"/>
              <w:rPr>
                <w:sz w:val="22"/>
                <w:szCs w:val="22"/>
              </w:rPr>
            </w:pPr>
            <w:r w:rsidRPr="00984C20">
              <w:rPr>
                <w:sz w:val="22"/>
                <w:szCs w:val="22"/>
              </w:rPr>
              <w:t>A</w:t>
            </w:r>
          </w:p>
        </w:tc>
        <w:tc>
          <w:tcPr>
            <w:tcW w:w="4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3C3DAC2A" w14:textId="77777777" w:rsidR="00592C29" w:rsidRPr="00984C20" w:rsidRDefault="0048296D" w:rsidP="00984C20">
            <w:pPr>
              <w:spacing w:line="276" w:lineRule="auto"/>
              <w:rPr>
                <w:sz w:val="22"/>
                <w:szCs w:val="22"/>
              </w:rPr>
            </w:pPr>
            <w:r w:rsidRPr="00984C20">
              <w:rPr>
                <w:sz w:val="22"/>
                <w:szCs w:val="22"/>
              </w:rPr>
              <w:t>B</w:t>
            </w:r>
          </w:p>
        </w:tc>
        <w:tc>
          <w:tcPr>
            <w:tcW w:w="442"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25029CC1" w14:textId="77777777" w:rsidR="00592C29" w:rsidRPr="00984C20" w:rsidRDefault="0048296D" w:rsidP="00984C20">
            <w:pPr>
              <w:spacing w:line="276" w:lineRule="auto"/>
              <w:rPr>
                <w:sz w:val="22"/>
                <w:szCs w:val="22"/>
              </w:rPr>
            </w:pPr>
            <w:r w:rsidRPr="00984C20">
              <w:rPr>
                <w:sz w:val="22"/>
                <w:szCs w:val="22"/>
              </w:rPr>
              <w:t>2</w:t>
            </w:r>
          </w:p>
        </w:tc>
        <w:tc>
          <w:tcPr>
            <w:tcW w:w="4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70445541" w14:textId="77777777" w:rsidR="00592C29" w:rsidRPr="00984C20" w:rsidRDefault="0048296D" w:rsidP="00984C20">
            <w:pPr>
              <w:spacing w:line="276" w:lineRule="auto"/>
              <w:rPr>
                <w:sz w:val="22"/>
                <w:szCs w:val="22"/>
              </w:rPr>
            </w:pPr>
            <w:r w:rsidRPr="00984C20">
              <w:rPr>
                <w:sz w:val="22"/>
                <w:szCs w:val="22"/>
              </w:rPr>
              <w:t>4</w:t>
            </w:r>
          </w:p>
        </w:tc>
        <w:tc>
          <w:tcPr>
            <w:tcW w:w="4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088780D9" w14:textId="77777777" w:rsidR="00592C29" w:rsidRPr="00984C20" w:rsidRDefault="0048296D" w:rsidP="00984C20">
            <w:pPr>
              <w:spacing w:line="276" w:lineRule="auto"/>
              <w:rPr>
                <w:sz w:val="22"/>
                <w:szCs w:val="22"/>
              </w:rPr>
            </w:pPr>
            <w:r w:rsidRPr="00984C20">
              <w:rPr>
                <w:sz w:val="22"/>
                <w:szCs w:val="22"/>
              </w:rPr>
              <w:t>1</w:t>
            </w:r>
          </w:p>
        </w:tc>
        <w:tc>
          <w:tcPr>
            <w:tcW w:w="1110" w:type="dxa"/>
            <w:tcBorders>
              <w:left w:val="single" w:sz="6" w:space="0" w:color="000000"/>
            </w:tcBorders>
            <w:tcMar>
              <w:top w:w="5" w:type="dxa"/>
              <w:left w:w="108" w:type="dxa"/>
              <w:bottom w:w="5" w:type="dxa"/>
              <w:right w:w="113" w:type="dxa"/>
            </w:tcMar>
          </w:tcPr>
          <w:p w14:paraId="5166BD67" w14:textId="77777777" w:rsidR="00592C29" w:rsidRPr="00984C20" w:rsidRDefault="00592C29" w:rsidP="00984C20">
            <w:pPr>
              <w:spacing w:line="276" w:lineRule="auto"/>
              <w:rPr>
                <w:sz w:val="22"/>
                <w:szCs w:val="22"/>
              </w:rPr>
            </w:pPr>
          </w:p>
        </w:tc>
      </w:tr>
      <w:tr w:rsidR="00592C29" w:rsidRPr="00984C20" w14:paraId="26F3A98B" w14:textId="77777777">
        <w:trPr>
          <w:trHeight w:val="150"/>
        </w:trPr>
        <w:tc>
          <w:tcPr>
            <w:tcW w:w="0" w:type="auto"/>
            <w:vMerge/>
            <w:tcBorders>
              <w:right w:val="single" w:sz="6" w:space="0" w:color="000000"/>
            </w:tcBorders>
            <w:vAlign w:val="center"/>
            <w:hideMark/>
          </w:tcPr>
          <w:p w14:paraId="6E32B677" w14:textId="77777777" w:rsidR="00592C29" w:rsidRPr="00984C20" w:rsidRDefault="00592C29" w:rsidP="00984C20">
            <w:pPr>
              <w:rPr>
                <w:sz w:val="22"/>
                <w:szCs w:val="22"/>
              </w:rPr>
            </w:pPr>
          </w:p>
        </w:tc>
        <w:tc>
          <w:tcPr>
            <w:tcW w:w="4706" w:type="dxa"/>
            <w:gridSpan w:val="1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2A8EDB02" w14:textId="77777777" w:rsidR="00592C29" w:rsidRPr="00984C20" w:rsidRDefault="0048296D" w:rsidP="00984C20">
            <w:pPr>
              <w:spacing w:line="276" w:lineRule="auto"/>
              <w:rPr>
                <w:sz w:val="22"/>
                <w:szCs w:val="22"/>
              </w:rPr>
            </w:pPr>
            <w:r w:rsidRPr="00984C20">
              <w:rPr>
                <w:sz w:val="22"/>
                <w:szCs w:val="22"/>
              </w:rPr>
              <w:t xml:space="preserve">Reinsured by Lloyd’s syndicate HIS 033 </w:t>
            </w:r>
            <w:r w:rsidRPr="00984C20">
              <w:rPr>
                <w:noProof/>
                <w:sz w:val="22"/>
                <w:szCs w:val="22"/>
              </w:rPr>
              <w:drawing>
                <wp:inline distT="0" distB="0" distL="0" distR="0" wp14:anchorId="7B7773C1" wp14:editId="30A0A6F4">
                  <wp:extent cx="209550" cy="247650"/>
                  <wp:effectExtent l="0" t="0" r="0" b="0"/>
                  <wp:docPr id="100061" name="Picture 100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r:embed="rId38"/>
                          <a:stretch>
                            <a:fillRect/>
                          </a:stretch>
                        </pic:blipFill>
                        <pic:spPr>
                          <a:xfrm>
                            <a:off x="0" y="0"/>
                            <a:ext cx="209550" cy="247650"/>
                          </a:xfrm>
                          <a:prstGeom prst="rect">
                            <a:avLst/>
                          </a:prstGeom>
                        </pic:spPr>
                      </pic:pic>
                    </a:graphicData>
                  </a:graphic>
                </wp:inline>
              </w:drawing>
            </w:r>
          </w:p>
        </w:tc>
        <w:tc>
          <w:tcPr>
            <w:tcW w:w="1110" w:type="dxa"/>
            <w:tcBorders>
              <w:left w:val="single" w:sz="6" w:space="0" w:color="000000"/>
            </w:tcBorders>
            <w:tcMar>
              <w:top w:w="5" w:type="dxa"/>
              <w:left w:w="108" w:type="dxa"/>
              <w:bottom w:w="5" w:type="dxa"/>
              <w:right w:w="113" w:type="dxa"/>
            </w:tcMar>
          </w:tcPr>
          <w:p w14:paraId="4574A53B" w14:textId="77777777" w:rsidR="00592C29" w:rsidRPr="00984C20" w:rsidRDefault="00592C29" w:rsidP="00984C20">
            <w:pPr>
              <w:spacing w:line="276" w:lineRule="auto"/>
              <w:rPr>
                <w:sz w:val="22"/>
                <w:szCs w:val="22"/>
              </w:rPr>
            </w:pPr>
          </w:p>
        </w:tc>
      </w:tr>
    </w:tbl>
    <w:p w14:paraId="6CBBFC8E" w14:textId="77777777" w:rsidR="00592C29" w:rsidRPr="00984C20" w:rsidRDefault="00592C29" w:rsidP="00984C20">
      <w:pPr>
        <w:spacing w:line="276" w:lineRule="auto"/>
        <w:rPr>
          <w:sz w:val="22"/>
          <w:szCs w:val="22"/>
        </w:rPr>
      </w:pPr>
    </w:p>
    <w:p w14:paraId="02D4C33C" w14:textId="77777777" w:rsidR="00592C29" w:rsidRPr="00984C20" w:rsidRDefault="00592C29" w:rsidP="00984C20">
      <w:pPr>
        <w:spacing w:line="276" w:lineRule="auto"/>
        <w:rPr>
          <w:sz w:val="22"/>
          <w:szCs w:val="22"/>
        </w:rPr>
      </w:pPr>
    </w:p>
    <w:tbl>
      <w:tblPr>
        <w:tblW w:w="0" w:type="auto"/>
        <w:tblInd w:w="113" w:type="dxa"/>
        <w:tblCellMar>
          <w:left w:w="0" w:type="dxa"/>
          <w:right w:w="0" w:type="dxa"/>
        </w:tblCellMar>
        <w:tblLook w:val="04A0" w:firstRow="1" w:lastRow="0" w:firstColumn="1" w:lastColumn="0" w:noHBand="0" w:noVBand="1"/>
      </w:tblPr>
      <w:tblGrid>
        <w:gridCol w:w="847"/>
        <w:gridCol w:w="351"/>
        <w:gridCol w:w="375"/>
        <w:gridCol w:w="351"/>
        <w:gridCol w:w="335"/>
        <w:gridCol w:w="335"/>
        <w:gridCol w:w="335"/>
        <w:gridCol w:w="490"/>
        <w:gridCol w:w="441"/>
        <w:gridCol w:w="441"/>
        <w:gridCol w:w="442"/>
        <w:gridCol w:w="441"/>
        <w:gridCol w:w="441"/>
        <w:gridCol w:w="735"/>
        <w:gridCol w:w="1083"/>
      </w:tblGrid>
      <w:tr w:rsidR="00592C29" w:rsidRPr="00984C20" w14:paraId="251708AD" w14:textId="77777777">
        <w:trPr>
          <w:trHeight w:val="1608"/>
        </w:trPr>
        <w:tc>
          <w:tcPr>
            <w:tcW w:w="847" w:type="dxa"/>
            <w:vMerge w:val="restart"/>
            <w:tcBorders>
              <w:right w:val="single" w:sz="6" w:space="0" w:color="000000"/>
            </w:tcBorders>
            <w:tcMar>
              <w:top w:w="5" w:type="dxa"/>
              <w:left w:w="113" w:type="dxa"/>
              <w:bottom w:w="5" w:type="dxa"/>
              <w:right w:w="108" w:type="dxa"/>
            </w:tcMar>
            <w:vAlign w:val="center"/>
            <w:hideMark/>
          </w:tcPr>
          <w:p w14:paraId="37527AC9" w14:textId="77777777" w:rsidR="00592C29" w:rsidRPr="00984C20" w:rsidRDefault="0048296D" w:rsidP="00984C20">
            <w:pPr>
              <w:spacing w:line="276" w:lineRule="auto"/>
              <w:rPr>
                <w:sz w:val="22"/>
                <w:szCs w:val="22"/>
              </w:rPr>
            </w:pPr>
            <w:r w:rsidRPr="00984C20">
              <w:rPr>
                <w:sz w:val="22"/>
                <w:szCs w:val="22"/>
              </w:rPr>
              <w:t>25%</w:t>
            </w:r>
          </w:p>
        </w:tc>
        <w:tc>
          <w:tcPr>
            <w:tcW w:w="4706" w:type="dxa"/>
            <w:gridSpan w:val="1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723D4E61" w14:textId="77777777" w:rsidR="00592C29" w:rsidRPr="00984C20" w:rsidRDefault="00592C29" w:rsidP="00984C20">
            <w:pPr>
              <w:spacing w:line="276" w:lineRule="auto"/>
              <w:rPr>
                <w:sz w:val="22"/>
                <w:szCs w:val="22"/>
              </w:rPr>
            </w:pPr>
          </w:p>
          <w:p w14:paraId="34F4DC85" w14:textId="77777777" w:rsidR="00592C29" w:rsidRPr="00984C20" w:rsidRDefault="0048296D" w:rsidP="00984C20">
            <w:pPr>
              <w:spacing w:line="276" w:lineRule="auto"/>
              <w:rPr>
                <w:sz w:val="22"/>
                <w:szCs w:val="22"/>
              </w:rPr>
            </w:pPr>
            <w:r w:rsidRPr="00984C20">
              <w:rPr>
                <w:b/>
                <w:bCs/>
                <w:sz w:val="22"/>
                <w:szCs w:val="22"/>
              </w:rPr>
              <w:t xml:space="preserve">Lloyd's Insurance Company S.A  </w:t>
            </w:r>
            <w:r w:rsidRPr="00984C20">
              <w:rPr>
                <w:noProof/>
                <w:sz w:val="22"/>
                <w:szCs w:val="22"/>
              </w:rPr>
              <w:drawing>
                <wp:inline distT="0" distB="0" distL="0" distR="0" wp14:anchorId="1E31B197" wp14:editId="7376A440">
                  <wp:extent cx="457200" cy="304800"/>
                  <wp:effectExtent l="0" t="0" r="0" b="0"/>
                  <wp:docPr id="100063" name="Picture 100063" descr="https://europa.eu/european-union/sites/europaeu/files/docs/body/flag_black_white_hi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r:embed="rId46"/>
                          <a:stretch>
                            <a:fillRect/>
                          </a:stretch>
                        </pic:blipFill>
                        <pic:spPr>
                          <a:xfrm>
                            <a:off x="0" y="0"/>
                            <a:ext cx="457200" cy="304800"/>
                          </a:xfrm>
                          <a:prstGeom prst="rect">
                            <a:avLst/>
                          </a:prstGeom>
                        </pic:spPr>
                      </pic:pic>
                    </a:graphicData>
                  </a:graphic>
                </wp:inline>
              </w:drawing>
            </w:r>
          </w:p>
          <w:p w14:paraId="30BCA8C5" w14:textId="77777777" w:rsidR="00592C29" w:rsidRPr="00984C20" w:rsidRDefault="0048296D" w:rsidP="00984C20">
            <w:pPr>
              <w:spacing w:line="276" w:lineRule="auto"/>
              <w:rPr>
                <w:sz w:val="22"/>
                <w:szCs w:val="22"/>
              </w:rPr>
            </w:pPr>
            <w:r w:rsidRPr="00984C20">
              <w:rPr>
                <w:b/>
                <w:bCs/>
                <w:sz w:val="22"/>
                <w:szCs w:val="22"/>
              </w:rPr>
              <w:t xml:space="preserve">                                                            TAL</w:t>
            </w:r>
          </w:p>
          <w:p w14:paraId="50A347DC" w14:textId="77777777" w:rsidR="00592C29" w:rsidRPr="00984C20" w:rsidRDefault="0048296D" w:rsidP="00984C20">
            <w:pPr>
              <w:spacing w:line="276" w:lineRule="auto"/>
              <w:ind w:left="1440"/>
              <w:rPr>
                <w:sz w:val="22"/>
                <w:szCs w:val="22"/>
              </w:rPr>
            </w:pPr>
            <w:r w:rsidRPr="00984C20">
              <w:rPr>
                <w:b/>
                <w:bCs/>
                <w:sz w:val="22"/>
                <w:szCs w:val="22"/>
              </w:rPr>
              <w:t xml:space="preserve">                                  5318</w:t>
            </w:r>
          </w:p>
          <w:p w14:paraId="2308A8E7" w14:textId="77777777" w:rsidR="00592C29" w:rsidRPr="00984C20" w:rsidRDefault="00592C29" w:rsidP="00984C20">
            <w:pPr>
              <w:spacing w:line="276" w:lineRule="auto"/>
              <w:rPr>
                <w:sz w:val="22"/>
                <w:szCs w:val="22"/>
              </w:rPr>
            </w:pPr>
          </w:p>
        </w:tc>
        <w:tc>
          <w:tcPr>
            <w:tcW w:w="1818" w:type="dxa"/>
            <w:gridSpan w:val="2"/>
            <w:tcBorders>
              <w:left w:val="single" w:sz="6" w:space="0" w:color="000000"/>
            </w:tcBorders>
            <w:tcMar>
              <w:top w:w="5" w:type="dxa"/>
              <w:left w:w="108" w:type="dxa"/>
              <w:bottom w:w="5" w:type="dxa"/>
              <w:right w:w="113" w:type="dxa"/>
            </w:tcMar>
            <w:hideMark/>
          </w:tcPr>
          <w:p w14:paraId="1E446190" w14:textId="77777777" w:rsidR="00592C29" w:rsidRPr="00984C20" w:rsidRDefault="00592C29" w:rsidP="00984C20">
            <w:pPr>
              <w:spacing w:line="276" w:lineRule="auto"/>
              <w:rPr>
                <w:sz w:val="16"/>
                <w:szCs w:val="16"/>
              </w:rPr>
            </w:pPr>
          </w:p>
          <w:p w14:paraId="405F9B44" w14:textId="77777777" w:rsidR="00592C29" w:rsidRPr="00984C20" w:rsidRDefault="00592C29" w:rsidP="00984C20">
            <w:pPr>
              <w:spacing w:line="276" w:lineRule="auto"/>
              <w:rPr>
                <w:sz w:val="16"/>
                <w:szCs w:val="16"/>
              </w:rPr>
            </w:pPr>
          </w:p>
          <w:p w14:paraId="2ED46442" w14:textId="77777777" w:rsidR="00592C29" w:rsidRPr="00984C20" w:rsidRDefault="00592C29" w:rsidP="00984C20">
            <w:pPr>
              <w:spacing w:line="276" w:lineRule="auto"/>
              <w:rPr>
                <w:sz w:val="16"/>
                <w:szCs w:val="16"/>
              </w:rPr>
            </w:pPr>
          </w:p>
        </w:tc>
      </w:tr>
      <w:tr w:rsidR="00592C29" w:rsidRPr="00984C20" w14:paraId="4723CC2C" w14:textId="77777777">
        <w:trPr>
          <w:trHeight w:val="333"/>
        </w:trPr>
        <w:tc>
          <w:tcPr>
            <w:tcW w:w="0" w:type="auto"/>
            <w:vMerge/>
            <w:tcBorders>
              <w:right w:val="single" w:sz="6" w:space="0" w:color="000000"/>
            </w:tcBorders>
            <w:vAlign w:val="center"/>
            <w:hideMark/>
          </w:tcPr>
          <w:p w14:paraId="7FB4A05F" w14:textId="77777777" w:rsidR="00592C29" w:rsidRPr="00984C20" w:rsidRDefault="00592C29" w:rsidP="00984C20">
            <w:pPr>
              <w:rPr>
                <w:sz w:val="16"/>
                <w:szCs w:val="16"/>
              </w:rPr>
            </w:pPr>
          </w:p>
        </w:tc>
        <w:tc>
          <w:tcPr>
            <w:tcW w:w="33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4F79604F" w14:textId="77777777" w:rsidR="00592C29" w:rsidRPr="00984C20" w:rsidRDefault="0048296D" w:rsidP="00984C20">
            <w:pPr>
              <w:spacing w:line="276" w:lineRule="auto"/>
              <w:rPr>
                <w:sz w:val="22"/>
                <w:szCs w:val="22"/>
              </w:rPr>
            </w:pPr>
            <w:r w:rsidRPr="00984C20">
              <w:rPr>
                <w:sz w:val="22"/>
                <w:szCs w:val="22"/>
              </w:rPr>
              <w:t>T</w:t>
            </w:r>
          </w:p>
        </w:tc>
        <w:tc>
          <w:tcPr>
            <w:tcW w:w="33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7E70A404" w14:textId="77777777" w:rsidR="00592C29" w:rsidRPr="00984C20" w:rsidRDefault="0048296D" w:rsidP="00984C20">
            <w:pPr>
              <w:spacing w:line="276" w:lineRule="auto"/>
              <w:rPr>
                <w:sz w:val="22"/>
                <w:szCs w:val="22"/>
              </w:rPr>
            </w:pPr>
            <w:r w:rsidRPr="00984C20">
              <w:rPr>
                <w:sz w:val="22"/>
                <w:szCs w:val="22"/>
              </w:rPr>
              <w:t>A</w:t>
            </w:r>
          </w:p>
        </w:tc>
        <w:tc>
          <w:tcPr>
            <w:tcW w:w="33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42512E2E" w14:textId="77777777" w:rsidR="00592C29" w:rsidRPr="00984C20" w:rsidRDefault="0048296D" w:rsidP="00984C20">
            <w:pPr>
              <w:spacing w:line="276" w:lineRule="auto"/>
              <w:rPr>
                <w:sz w:val="22"/>
                <w:szCs w:val="22"/>
              </w:rPr>
            </w:pPr>
            <w:r w:rsidRPr="00984C20">
              <w:rPr>
                <w:sz w:val="22"/>
                <w:szCs w:val="22"/>
              </w:rPr>
              <w:t>L</w:t>
            </w:r>
          </w:p>
        </w:tc>
        <w:tc>
          <w:tcPr>
            <w:tcW w:w="33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3F6576F3" w14:textId="77777777" w:rsidR="00592C29" w:rsidRPr="00984C20" w:rsidRDefault="0048296D" w:rsidP="00984C20">
            <w:pPr>
              <w:spacing w:line="276" w:lineRule="auto"/>
              <w:rPr>
                <w:sz w:val="22"/>
                <w:szCs w:val="22"/>
              </w:rPr>
            </w:pPr>
            <w:r w:rsidRPr="00984C20">
              <w:rPr>
                <w:sz w:val="22"/>
                <w:szCs w:val="22"/>
              </w:rPr>
              <w:t>5</w:t>
            </w:r>
          </w:p>
        </w:tc>
        <w:tc>
          <w:tcPr>
            <w:tcW w:w="33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329112C2" w14:textId="77777777" w:rsidR="00592C29" w:rsidRPr="00984C20" w:rsidRDefault="0048296D" w:rsidP="00984C20">
            <w:pPr>
              <w:spacing w:line="276" w:lineRule="auto"/>
              <w:rPr>
                <w:sz w:val="22"/>
                <w:szCs w:val="22"/>
              </w:rPr>
            </w:pPr>
            <w:r w:rsidRPr="00984C20">
              <w:rPr>
                <w:sz w:val="22"/>
                <w:szCs w:val="22"/>
              </w:rPr>
              <w:t>3</w:t>
            </w:r>
          </w:p>
        </w:tc>
        <w:tc>
          <w:tcPr>
            <w:tcW w:w="33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02896516" w14:textId="77777777" w:rsidR="00592C29" w:rsidRPr="00984C20" w:rsidRDefault="0048296D" w:rsidP="00984C20">
            <w:pPr>
              <w:spacing w:line="276" w:lineRule="auto"/>
              <w:rPr>
                <w:sz w:val="22"/>
                <w:szCs w:val="22"/>
              </w:rPr>
            </w:pPr>
            <w:r w:rsidRPr="00984C20">
              <w:rPr>
                <w:sz w:val="22"/>
                <w:szCs w:val="22"/>
              </w:rPr>
              <w:t>3</w:t>
            </w:r>
          </w:p>
        </w:tc>
        <w:tc>
          <w:tcPr>
            <w:tcW w:w="490"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6BF7B0D7" w14:textId="77777777" w:rsidR="00592C29" w:rsidRPr="00984C20" w:rsidRDefault="0048296D" w:rsidP="00984C20">
            <w:pPr>
              <w:spacing w:line="276" w:lineRule="auto"/>
              <w:rPr>
                <w:sz w:val="22"/>
                <w:szCs w:val="22"/>
              </w:rPr>
            </w:pPr>
            <w:r w:rsidRPr="00984C20">
              <w:rPr>
                <w:sz w:val="22"/>
                <w:szCs w:val="22"/>
              </w:rPr>
              <w:t>5</w:t>
            </w:r>
          </w:p>
        </w:tc>
        <w:tc>
          <w:tcPr>
            <w:tcW w:w="4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18481CA0" w14:textId="77777777" w:rsidR="00592C29" w:rsidRPr="00984C20" w:rsidRDefault="0048296D" w:rsidP="00984C20">
            <w:pPr>
              <w:spacing w:line="276" w:lineRule="auto"/>
              <w:rPr>
                <w:sz w:val="22"/>
                <w:szCs w:val="22"/>
              </w:rPr>
            </w:pPr>
            <w:r w:rsidRPr="00984C20">
              <w:rPr>
                <w:sz w:val="22"/>
                <w:szCs w:val="22"/>
              </w:rPr>
              <w:t>A</w:t>
            </w:r>
          </w:p>
        </w:tc>
        <w:tc>
          <w:tcPr>
            <w:tcW w:w="4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217EDB8D" w14:textId="77777777" w:rsidR="00592C29" w:rsidRPr="00984C20" w:rsidRDefault="0048296D" w:rsidP="00984C20">
            <w:pPr>
              <w:spacing w:line="276" w:lineRule="auto"/>
              <w:rPr>
                <w:sz w:val="22"/>
                <w:szCs w:val="22"/>
              </w:rPr>
            </w:pPr>
            <w:r w:rsidRPr="00984C20">
              <w:rPr>
                <w:sz w:val="22"/>
                <w:szCs w:val="22"/>
              </w:rPr>
              <w:t>B</w:t>
            </w:r>
          </w:p>
        </w:tc>
        <w:tc>
          <w:tcPr>
            <w:tcW w:w="442"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1AB97742" w14:textId="77777777" w:rsidR="00592C29" w:rsidRPr="00984C20" w:rsidRDefault="0048296D" w:rsidP="00984C20">
            <w:pPr>
              <w:spacing w:line="276" w:lineRule="auto"/>
              <w:rPr>
                <w:sz w:val="22"/>
                <w:szCs w:val="22"/>
              </w:rPr>
            </w:pPr>
            <w:r w:rsidRPr="00984C20">
              <w:rPr>
                <w:sz w:val="22"/>
                <w:szCs w:val="22"/>
              </w:rPr>
              <w:t>2</w:t>
            </w:r>
          </w:p>
        </w:tc>
        <w:tc>
          <w:tcPr>
            <w:tcW w:w="4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820D9F2" w14:textId="77777777" w:rsidR="00592C29" w:rsidRPr="00984C20" w:rsidRDefault="0048296D" w:rsidP="00984C20">
            <w:pPr>
              <w:spacing w:line="276" w:lineRule="auto"/>
              <w:rPr>
                <w:sz w:val="22"/>
                <w:szCs w:val="22"/>
              </w:rPr>
            </w:pPr>
            <w:r w:rsidRPr="00984C20">
              <w:rPr>
                <w:sz w:val="22"/>
                <w:szCs w:val="22"/>
              </w:rPr>
              <w:t>4</w:t>
            </w:r>
          </w:p>
        </w:tc>
        <w:tc>
          <w:tcPr>
            <w:tcW w:w="4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7F55F0E0" w14:textId="77777777" w:rsidR="00592C29" w:rsidRPr="00984C20" w:rsidRDefault="0048296D" w:rsidP="00984C20">
            <w:pPr>
              <w:spacing w:line="276" w:lineRule="auto"/>
              <w:rPr>
                <w:sz w:val="22"/>
                <w:szCs w:val="22"/>
              </w:rPr>
            </w:pPr>
            <w:r w:rsidRPr="00984C20">
              <w:rPr>
                <w:sz w:val="22"/>
                <w:szCs w:val="22"/>
              </w:rPr>
              <w:t>1</w:t>
            </w:r>
          </w:p>
        </w:tc>
        <w:tc>
          <w:tcPr>
            <w:tcW w:w="735" w:type="dxa"/>
            <w:tcBorders>
              <w:left w:val="single" w:sz="6" w:space="0" w:color="000000"/>
            </w:tcBorders>
            <w:tcMar>
              <w:top w:w="5" w:type="dxa"/>
              <w:left w:w="108" w:type="dxa"/>
              <w:bottom w:w="5" w:type="dxa"/>
              <w:right w:w="113" w:type="dxa"/>
            </w:tcMar>
          </w:tcPr>
          <w:p w14:paraId="1F06CB05" w14:textId="77777777" w:rsidR="00592C29" w:rsidRPr="00984C20" w:rsidRDefault="00592C29" w:rsidP="00984C20">
            <w:pPr>
              <w:spacing w:line="276" w:lineRule="auto"/>
              <w:rPr>
                <w:sz w:val="22"/>
                <w:szCs w:val="22"/>
              </w:rPr>
            </w:pPr>
          </w:p>
        </w:tc>
        <w:tc>
          <w:tcPr>
            <w:tcW w:w="0" w:type="auto"/>
            <w:tcMar>
              <w:top w:w="5" w:type="dxa"/>
              <w:left w:w="5" w:type="dxa"/>
              <w:bottom w:w="5" w:type="dxa"/>
              <w:right w:w="5" w:type="dxa"/>
            </w:tcMar>
            <w:hideMark/>
          </w:tcPr>
          <w:p w14:paraId="62A74C37" w14:textId="77777777" w:rsidR="00592C29" w:rsidRPr="00984C20" w:rsidRDefault="00592C29" w:rsidP="00984C20"/>
        </w:tc>
      </w:tr>
      <w:tr w:rsidR="00592C29" w:rsidRPr="00984C20" w14:paraId="66069703" w14:textId="77777777">
        <w:trPr>
          <w:trHeight w:val="150"/>
        </w:trPr>
        <w:tc>
          <w:tcPr>
            <w:tcW w:w="0" w:type="auto"/>
            <w:vMerge/>
            <w:tcBorders>
              <w:right w:val="single" w:sz="6" w:space="0" w:color="000000"/>
            </w:tcBorders>
            <w:vAlign w:val="center"/>
            <w:hideMark/>
          </w:tcPr>
          <w:p w14:paraId="435C86EE" w14:textId="77777777" w:rsidR="00592C29" w:rsidRPr="00984C20" w:rsidRDefault="00592C29" w:rsidP="00984C20"/>
        </w:tc>
        <w:tc>
          <w:tcPr>
            <w:tcW w:w="4706" w:type="dxa"/>
            <w:gridSpan w:val="1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4FB13539" w14:textId="77777777" w:rsidR="00592C29" w:rsidRPr="00984C20" w:rsidRDefault="0048296D" w:rsidP="00984C20">
            <w:pPr>
              <w:spacing w:line="276" w:lineRule="auto"/>
              <w:rPr>
                <w:sz w:val="22"/>
                <w:szCs w:val="22"/>
              </w:rPr>
            </w:pPr>
            <w:r w:rsidRPr="00984C20">
              <w:rPr>
                <w:sz w:val="22"/>
                <w:szCs w:val="22"/>
              </w:rPr>
              <w:t xml:space="preserve">Reinsured by Lloyd’s syndicate TAL 1183 </w:t>
            </w:r>
            <w:r w:rsidRPr="00984C20">
              <w:rPr>
                <w:noProof/>
                <w:sz w:val="22"/>
                <w:szCs w:val="22"/>
              </w:rPr>
              <w:drawing>
                <wp:inline distT="0" distB="0" distL="0" distR="0" wp14:anchorId="29882682" wp14:editId="673A1B6C">
                  <wp:extent cx="209550" cy="247650"/>
                  <wp:effectExtent l="0" t="0" r="0" b="0"/>
                  <wp:docPr id="100065" name="Picture 100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r:embed="rId38"/>
                          <a:stretch>
                            <a:fillRect/>
                          </a:stretch>
                        </pic:blipFill>
                        <pic:spPr>
                          <a:xfrm>
                            <a:off x="0" y="0"/>
                            <a:ext cx="209550" cy="247650"/>
                          </a:xfrm>
                          <a:prstGeom prst="rect">
                            <a:avLst/>
                          </a:prstGeom>
                        </pic:spPr>
                      </pic:pic>
                    </a:graphicData>
                  </a:graphic>
                </wp:inline>
              </w:drawing>
            </w:r>
          </w:p>
        </w:tc>
        <w:tc>
          <w:tcPr>
            <w:tcW w:w="735" w:type="dxa"/>
            <w:tcBorders>
              <w:left w:val="single" w:sz="6" w:space="0" w:color="000000"/>
            </w:tcBorders>
            <w:tcMar>
              <w:top w:w="5" w:type="dxa"/>
              <w:left w:w="108" w:type="dxa"/>
              <w:bottom w:w="5" w:type="dxa"/>
              <w:right w:w="113" w:type="dxa"/>
            </w:tcMar>
          </w:tcPr>
          <w:p w14:paraId="5C53A099" w14:textId="77777777" w:rsidR="00592C29" w:rsidRPr="00984C20" w:rsidRDefault="00592C29" w:rsidP="00984C20">
            <w:pPr>
              <w:spacing w:line="276" w:lineRule="auto"/>
              <w:rPr>
                <w:sz w:val="22"/>
                <w:szCs w:val="22"/>
              </w:rPr>
            </w:pPr>
          </w:p>
        </w:tc>
        <w:tc>
          <w:tcPr>
            <w:tcW w:w="0" w:type="auto"/>
            <w:tcMar>
              <w:top w:w="5" w:type="dxa"/>
              <w:left w:w="5" w:type="dxa"/>
              <w:bottom w:w="5" w:type="dxa"/>
              <w:right w:w="5" w:type="dxa"/>
            </w:tcMar>
            <w:hideMark/>
          </w:tcPr>
          <w:p w14:paraId="0F450612" w14:textId="77777777" w:rsidR="00592C29" w:rsidRPr="00984C20" w:rsidRDefault="00592C29" w:rsidP="00984C20"/>
        </w:tc>
      </w:tr>
    </w:tbl>
    <w:p w14:paraId="25DC29F4" w14:textId="77777777" w:rsidR="00592C29" w:rsidRPr="00984C20" w:rsidRDefault="00592C29" w:rsidP="00984C20">
      <w:pPr>
        <w:spacing w:line="276" w:lineRule="auto"/>
      </w:pPr>
    </w:p>
    <w:p w14:paraId="0A4243A5" w14:textId="77777777" w:rsidR="00592C29" w:rsidRPr="00984C20" w:rsidRDefault="00592C29" w:rsidP="00984C20">
      <w:pPr>
        <w:spacing w:line="276" w:lineRule="auto"/>
      </w:pPr>
    </w:p>
    <w:p w14:paraId="2B29C7CA" w14:textId="77777777" w:rsidR="00592C29" w:rsidRPr="00984C20" w:rsidRDefault="00592C29" w:rsidP="00984C20">
      <w:pPr>
        <w:spacing w:line="276" w:lineRule="auto"/>
        <w:rPr>
          <w:sz w:val="28"/>
          <w:szCs w:val="28"/>
        </w:rPr>
      </w:pPr>
    </w:p>
    <w:p w14:paraId="7CE268B8" w14:textId="77777777" w:rsidR="00592C29" w:rsidRPr="00984C20" w:rsidRDefault="0048296D" w:rsidP="00984C20">
      <w:pPr>
        <w:spacing w:line="276" w:lineRule="auto"/>
        <w:rPr>
          <w:sz w:val="28"/>
          <w:szCs w:val="28"/>
        </w:rPr>
      </w:pPr>
      <w:r w:rsidRPr="00984C20">
        <w:rPr>
          <w:rFonts w:ascii="Trebuchet MS" w:eastAsia="Trebuchet MS" w:hAnsi="Trebuchet MS" w:cs="Trebuchet MS"/>
          <w:b/>
          <w:bCs/>
          <w:sz w:val="28"/>
          <w:szCs w:val="28"/>
        </w:rPr>
        <w:t>In respect of Part 2 (non-EEA risks)</w:t>
      </w:r>
    </w:p>
    <w:p w14:paraId="14D860F8" w14:textId="77777777" w:rsidR="00592C29" w:rsidRPr="00984C20" w:rsidRDefault="00592C29" w:rsidP="00984C20">
      <w:pPr>
        <w:spacing w:line="276" w:lineRule="auto"/>
        <w:ind w:left="2160" w:hanging="2160"/>
        <w:rPr>
          <w:sz w:val="22"/>
          <w:szCs w:val="22"/>
        </w:rPr>
      </w:pPr>
    </w:p>
    <w:p w14:paraId="4C0CC2F7" w14:textId="77777777" w:rsidR="00592C29" w:rsidRPr="00984C20" w:rsidRDefault="00592C29" w:rsidP="00984C20">
      <w:pPr>
        <w:spacing w:line="276" w:lineRule="auto"/>
        <w:ind w:left="2160" w:hanging="2160"/>
        <w:rPr>
          <w:sz w:val="22"/>
          <w:szCs w:val="22"/>
        </w:rPr>
      </w:pPr>
    </w:p>
    <w:tbl>
      <w:tblPr>
        <w:tblW w:w="0" w:type="auto"/>
        <w:jc w:val="center"/>
        <w:tblCellMar>
          <w:left w:w="0" w:type="dxa"/>
          <w:right w:w="0" w:type="dxa"/>
        </w:tblCellMar>
        <w:tblLook w:val="04A0" w:firstRow="1" w:lastRow="0" w:firstColumn="1" w:lastColumn="0" w:noHBand="0" w:noVBand="1"/>
      </w:tblPr>
      <w:tblGrid>
        <w:gridCol w:w="817"/>
        <w:gridCol w:w="352"/>
        <w:gridCol w:w="323"/>
        <w:gridCol w:w="343"/>
        <w:gridCol w:w="327"/>
        <w:gridCol w:w="327"/>
        <w:gridCol w:w="327"/>
        <w:gridCol w:w="327"/>
        <w:gridCol w:w="327"/>
        <w:gridCol w:w="332"/>
        <w:gridCol w:w="351"/>
        <w:gridCol w:w="327"/>
        <w:gridCol w:w="405"/>
        <w:gridCol w:w="1287"/>
      </w:tblGrid>
      <w:tr w:rsidR="00592C29" w:rsidRPr="00984C20" w14:paraId="685D7E6E" w14:textId="77777777">
        <w:trPr>
          <w:jc w:val="center"/>
        </w:trPr>
        <w:tc>
          <w:tcPr>
            <w:tcW w:w="817" w:type="dxa"/>
            <w:vMerge w:val="restart"/>
            <w:tcBorders>
              <w:right w:val="single" w:sz="6" w:space="0" w:color="000000"/>
            </w:tcBorders>
            <w:tcMar>
              <w:top w:w="5" w:type="dxa"/>
              <w:left w:w="113" w:type="dxa"/>
              <w:bottom w:w="5" w:type="dxa"/>
              <w:right w:w="108" w:type="dxa"/>
            </w:tcMar>
            <w:vAlign w:val="center"/>
            <w:hideMark/>
          </w:tcPr>
          <w:p w14:paraId="20A05267" w14:textId="77777777" w:rsidR="00592C29" w:rsidRPr="00984C20" w:rsidRDefault="0048296D" w:rsidP="00984C20">
            <w:pPr>
              <w:spacing w:line="276" w:lineRule="auto"/>
              <w:jc w:val="center"/>
              <w:rPr>
                <w:sz w:val="22"/>
                <w:szCs w:val="22"/>
              </w:rPr>
            </w:pPr>
            <w:r w:rsidRPr="00984C20">
              <w:rPr>
                <w:sz w:val="22"/>
                <w:szCs w:val="22"/>
              </w:rPr>
              <w:t>18.5%</w:t>
            </w:r>
          </w:p>
        </w:tc>
        <w:tc>
          <w:tcPr>
            <w:tcW w:w="4003" w:type="dxa"/>
            <w:gridSpan w:val="1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4185F6A2" w14:textId="77777777" w:rsidR="00592C29" w:rsidRPr="00984C20" w:rsidRDefault="0048296D" w:rsidP="00984C20">
            <w:pPr>
              <w:spacing w:line="276" w:lineRule="auto"/>
              <w:rPr>
                <w:sz w:val="22"/>
                <w:szCs w:val="22"/>
              </w:rPr>
            </w:pPr>
            <w:r w:rsidRPr="00984C20">
              <w:rPr>
                <w:noProof/>
                <w:sz w:val="22"/>
                <w:szCs w:val="22"/>
              </w:rPr>
              <w:drawing>
                <wp:inline distT="0" distB="0" distL="0" distR="0" wp14:anchorId="3B3AE20A" wp14:editId="5CFE715F">
                  <wp:extent cx="2419350" cy="390525"/>
                  <wp:effectExtent l="0" t="0" r="0" b="0"/>
                  <wp:docPr id="100067" name="Picture 100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r:embed="rId47"/>
                          <a:stretch>
                            <a:fillRect/>
                          </a:stretch>
                        </pic:blipFill>
                        <pic:spPr>
                          <a:xfrm>
                            <a:off x="0" y="0"/>
                            <a:ext cx="2419350" cy="390525"/>
                          </a:xfrm>
                          <a:prstGeom prst="rect">
                            <a:avLst/>
                          </a:prstGeom>
                        </pic:spPr>
                      </pic:pic>
                    </a:graphicData>
                  </a:graphic>
                </wp:inline>
              </w:drawing>
            </w:r>
          </w:p>
        </w:tc>
        <w:tc>
          <w:tcPr>
            <w:tcW w:w="1287" w:type="dxa"/>
            <w:vMerge w:val="restart"/>
            <w:tcBorders>
              <w:left w:val="single" w:sz="6" w:space="0" w:color="000000"/>
            </w:tcBorders>
            <w:tcMar>
              <w:top w:w="5" w:type="dxa"/>
              <w:left w:w="108" w:type="dxa"/>
              <w:bottom w:w="5" w:type="dxa"/>
              <w:right w:w="113" w:type="dxa"/>
            </w:tcMar>
            <w:hideMark/>
          </w:tcPr>
          <w:p w14:paraId="4B538E0D" w14:textId="77777777" w:rsidR="00592C29" w:rsidRPr="00984C20" w:rsidRDefault="00592C29" w:rsidP="00984C20">
            <w:pPr>
              <w:spacing w:line="276" w:lineRule="auto"/>
              <w:rPr>
                <w:sz w:val="22"/>
                <w:szCs w:val="22"/>
              </w:rPr>
            </w:pPr>
          </w:p>
          <w:p w14:paraId="5F7D6376" w14:textId="77777777" w:rsidR="00592C29" w:rsidRPr="00984C20" w:rsidRDefault="00592C29" w:rsidP="00984C20">
            <w:pPr>
              <w:spacing w:line="276" w:lineRule="auto"/>
              <w:rPr>
                <w:sz w:val="22"/>
                <w:szCs w:val="22"/>
              </w:rPr>
            </w:pPr>
          </w:p>
        </w:tc>
      </w:tr>
      <w:tr w:rsidR="00984C20" w:rsidRPr="00984C20" w14:paraId="5A315488" w14:textId="77777777">
        <w:trPr>
          <w:jc w:val="center"/>
        </w:trPr>
        <w:tc>
          <w:tcPr>
            <w:tcW w:w="0" w:type="auto"/>
            <w:vMerge/>
            <w:tcBorders>
              <w:right w:val="single" w:sz="6" w:space="0" w:color="000000"/>
            </w:tcBorders>
            <w:vAlign w:val="center"/>
            <w:hideMark/>
          </w:tcPr>
          <w:p w14:paraId="65C8369F" w14:textId="77777777" w:rsidR="00592C29" w:rsidRPr="00984C20" w:rsidRDefault="00592C29" w:rsidP="00984C20">
            <w:pPr>
              <w:rPr>
                <w:sz w:val="22"/>
                <w:szCs w:val="22"/>
              </w:rPr>
            </w:pPr>
          </w:p>
        </w:tc>
        <w:tc>
          <w:tcPr>
            <w:tcW w:w="332"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4CE46AD8" w14:textId="77777777" w:rsidR="00592C29" w:rsidRPr="00984C20" w:rsidRDefault="0048296D" w:rsidP="00984C20">
            <w:pPr>
              <w:spacing w:line="276" w:lineRule="auto"/>
              <w:rPr>
                <w:sz w:val="16"/>
                <w:szCs w:val="16"/>
              </w:rPr>
            </w:pPr>
            <w:r w:rsidRPr="00984C20">
              <w:rPr>
                <w:sz w:val="16"/>
                <w:szCs w:val="16"/>
              </w:rPr>
              <w:t>H</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71E3CEAF" w14:textId="77777777" w:rsidR="00592C29" w:rsidRPr="00984C20" w:rsidRDefault="0048296D" w:rsidP="00984C20">
            <w:pPr>
              <w:spacing w:line="276" w:lineRule="auto"/>
              <w:rPr>
                <w:sz w:val="16"/>
                <w:szCs w:val="16"/>
              </w:rPr>
            </w:pPr>
            <w:r w:rsidRPr="00984C20">
              <w:rPr>
                <w:sz w:val="16"/>
                <w:szCs w:val="16"/>
              </w:rPr>
              <w:t>I</w:t>
            </w:r>
          </w:p>
        </w:tc>
        <w:tc>
          <w:tcPr>
            <w:tcW w:w="3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4B7D1732" w14:textId="77777777" w:rsidR="00592C29" w:rsidRPr="00984C20" w:rsidRDefault="0048296D" w:rsidP="00984C20">
            <w:pPr>
              <w:spacing w:line="276" w:lineRule="auto"/>
              <w:rPr>
                <w:sz w:val="16"/>
                <w:szCs w:val="16"/>
              </w:rPr>
            </w:pPr>
            <w:r w:rsidRPr="00984C20">
              <w:rPr>
                <w:sz w:val="16"/>
                <w:szCs w:val="16"/>
              </w:rPr>
              <w:t>S</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18EFAA50" w14:textId="77777777" w:rsidR="00592C29" w:rsidRPr="00984C20" w:rsidRDefault="0048296D" w:rsidP="00984C20">
            <w:pPr>
              <w:spacing w:line="276" w:lineRule="auto"/>
              <w:rPr>
                <w:sz w:val="16"/>
                <w:szCs w:val="16"/>
              </w:rPr>
            </w:pPr>
            <w:r w:rsidRPr="00984C20">
              <w:rPr>
                <w:sz w:val="16"/>
                <w:szCs w:val="16"/>
              </w:rPr>
              <w:t>1</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3D658E0A" w14:textId="77777777" w:rsidR="00592C29" w:rsidRPr="00984C20" w:rsidRDefault="0048296D" w:rsidP="00984C20">
            <w:pPr>
              <w:spacing w:line="276" w:lineRule="auto"/>
              <w:rPr>
                <w:sz w:val="16"/>
                <w:szCs w:val="16"/>
              </w:rPr>
            </w:pPr>
            <w:r w:rsidRPr="00984C20">
              <w:rPr>
                <w:sz w:val="16"/>
                <w:szCs w:val="16"/>
              </w:rPr>
              <w:t>1</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7C06DA57" w14:textId="77777777" w:rsidR="00592C29" w:rsidRPr="00984C20" w:rsidRDefault="0048296D" w:rsidP="00984C20">
            <w:pPr>
              <w:spacing w:line="276" w:lineRule="auto"/>
              <w:rPr>
                <w:sz w:val="16"/>
                <w:szCs w:val="16"/>
              </w:rPr>
            </w:pPr>
            <w:r w:rsidRPr="00984C20">
              <w:rPr>
                <w:sz w:val="16"/>
                <w:szCs w:val="16"/>
              </w:rPr>
              <w:t>5</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2DF32B1A" w14:textId="77777777" w:rsidR="00592C29" w:rsidRPr="00984C20" w:rsidRDefault="0048296D" w:rsidP="00984C20">
            <w:pPr>
              <w:spacing w:line="276" w:lineRule="auto"/>
              <w:rPr>
                <w:sz w:val="16"/>
                <w:szCs w:val="16"/>
              </w:rPr>
            </w:pPr>
            <w:r w:rsidRPr="00984C20">
              <w:rPr>
                <w:sz w:val="16"/>
                <w:szCs w:val="16"/>
              </w:rPr>
              <w:t>6</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64C942B5" w14:textId="77777777" w:rsidR="00592C29" w:rsidRPr="00984C20" w:rsidRDefault="0048296D" w:rsidP="00984C20">
            <w:pPr>
              <w:spacing w:line="276" w:lineRule="auto"/>
              <w:rPr>
                <w:sz w:val="16"/>
                <w:szCs w:val="16"/>
              </w:rPr>
            </w:pPr>
            <w:r w:rsidRPr="00984C20">
              <w:rPr>
                <w:sz w:val="16"/>
                <w:szCs w:val="16"/>
              </w:rPr>
              <w:t>7</w:t>
            </w:r>
          </w:p>
        </w:tc>
        <w:tc>
          <w:tcPr>
            <w:tcW w:w="332"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181117C9" w14:textId="77777777" w:rsidR="00592C29" w:rsidRPr="00984C20" w:rsidRDefault="0048296D" w:rsidP="00984C20">
            <w:pPr>
              <w:spacing w:line="276" w:lineRule="auto"/>
              <w:rPr>
                <w:sz w:val="16"/>
                <w:szCs w:val="16"/>
              </w:rPr>
            </w:pPr>
            <w:r w:rsidRPr="00984C20">
              <w:rPr>
                <w:sz w:val="16"/>
                <w:szCs w:val="16"/>
              </w:rPr>
              <w:t>7</w:t>
            </w:r>
          </w:p>
        </w:tc>
        <w:tc>
          <w:tcPr>
            <w:tcW w:w="332"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62CA416D" w14:textId="77777777" w:rsidR="00592C29" w:rsidRPr="00984C20" w:rsidRDefault="0048296D" w:rsidP="00984C20">
            <w:pPr>
              <w:spacing w:line="276" w:lineRule="auto"/>
              <w:rPr>
                <w:sz w:val="16"/>
                <w:szCs w:val="16"/>
              </w:rPr>
            </w:pPr>
            <w:r w:rsidRPr="00984C20">
              <w:rPr>
                <w:sz w:val="16"/>
                <w:szCs w:val="16"/>
              </w:rPr>
              <w:t>A</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043CD069" w14:textId="77777777" w:rsidR="00592C29" w:rsidRPr="00984C20" w:rsidRDefault="0048296D" w:rsidP="00984C20">
            <w:pPr>
              <w:spacing w:line="276" w:lineRule="auto"/>
              <w:rPr>
                <w:sz w:val="16"/>
                <w:szCs w:val="16"/>
              </w:rPr>
            </w:pPr>
            <w:r w:rsidRPr="00984C20">
              <w:rPr>
                <w:sz w:val="16"/>
                <w:szCs w:val="16"/>
              </w:rPr>
              <w:t>1</w:t>
            </w:r>
          </w:p>
        </w:tc>
        <w:tc>
          <w:tcPr>
            <w:tcW w:w="405"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2C140F82" w14:textId="77777777" w:rsidR="00592C29" w:rsidRPr="00984C20" w:rsidRDefault="0048296D" w:rsidP="00984C20">
            <w:pPr>
              <w:spacing w:line="276" w:lineRule="auto"/>
              <w:rPr>
                <w:sz w:val="16"/>
                <w:szCs w:val="16"/>
              </w:rPr>
            </w:pPr>
            <w:r w:rsidRPr="00984C20">
              <w:rPr>
                <w:sz w:val="16"/>
                <w:szCs w:val="16"/>
              </w:rPr>
              <w:t>2</w:t>
            </w:r>
          </w:p>
        </w:tc>
        <w:tc>
          <w:tcPr>
            <w:tcW w:w="0" w:type="auto"/>
            <w:vMerge/>
            <w:tcBorders>
              <w:left w:val="single" w:sz="6" w:space="0" w:color="000000"/>
            </w:tcBorders>
            <w:vAlign w:val="center"/>
            <w:hideMark/>
          </w:tcPr>
          <w:p w14:paraId="18A3AD05" w14:textId="77777777" w:rsidR="00592C29" w:rsidRPr="00984C20" w:rsidRDefault="00592C29" w:rsidP="00984C20">
            <w:pPr>
              <w:rPr>
                <w:sz w:val="16"/>
                <w:szCs w:val="16"/>
              </w:rPr>
            </w:pPr>
          </w:p>
        </w:tc>
      </w:tr>
      <w:tr w:rsidR="00592C29" w:rsidRPr="00984C20" w14:paraId="28424F85" w14:textId="77777777">
        <w:trPr>
          <w:jc w:val="center"/>
        </w:trPr>
        <w:tc>
          <w:tcPr>
            <w:tcW w:w="0" w:type="auto"/>
            <w:vMerge/>
            <w:tcBorders>
              <w:right w:val="single" w:sz="6" w:space="0" w:color="000000"/>
            </w:tcBorders>
            <w:vAlign w:val="center"/>
            <w:hideMark/>
          </w:tcPr>
          <w:p w14:paraId="3184DCB1" w14:textId="77777777" w:rsidR="00592C29" w:rsidRPr="00984C20" w:rsidRDefault="00592C29" w:rsidP="00984C20">
            <w:pPr>
              <w:rPr>
                <w:sz w:val="16"/>
                <w:szCs w:val="16"/>
              </w:rPr>
            </w:pPr>
          </w:p>
        </w:tc>
        <w:tc>
          <w:tcPr>
            <w:tcW w:w="4003" w:type="dxa"/>
            <w:gridSpan w:val="1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11352BC" w14:textId="77777777" w:rsidR="00592C29" w:rsidRPr="00984C20" w:rsidRDefault="0048296D" w:rsidP="00984C20">
            <w:pPr>
              <w:spacing w:line="276" w:lineRule="auto"/>
              <w:rPr>
                <w:sz w:val="22"/>
                <w:szCs w:val="22"/>
              </w:rPr>
            </w:pPr>
            <w:r w:rsidRPr="00984C20">
              <w:rPr>
                <w:noProof/>
                <w:sz w:val="22"/>
                <w:szCs w:val="22"/>
              </w:rPr>
              <w:drawing>
                <wp:inline distT="0" distB="0" distL="0" distR="0" wp14:anchorId="28503E40" wp14:editId="2970F6F1">
                  <wp:extent cx="2314575" cy="238125"/>
                  <wp:effectExtent l="0" t="0" r="0" b="0"/>
                  <wp:docPr id="100069" name="Picture 100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r:embed="rId40"/>
                          <a:stretch>
                            <a:fillRect/>
                          </a:stretch>
                        </pic:blipFill>
                        <pic:spPr>
                          <a:xfrm>
                            <a:off x="0" y="0"/>
                            <a:ext cx="2314575" cy="238125"/>
                          </a:xfrm>
                          <a:prstGeom prst="rect">
                            <a:avLst/>
                          </a:prstGeom>
                        </pic:spPr>
                      </pic:pic>
                    </a:graphicData>
                  </a:graphic>
                </wp:inline>
              </w:drawing>
            </w:r>
          </w:p>
        </w:tc>
        <w:tc>
          <w:tcPr>
            <w:tcW w:w="0" w:type="auto"/>
            <w:vMerge/>
            <w:tcBorders>
              <w:left w:val="single" w:sz="6" w:space="0" w:color="000000"/>
            </w:tcBorders>
            <w:vAlign w:val="center"/>
            <w:hideMark/>
          </w:tcPr>
          <w:p w14:paraId="6D59C75E" w14:textId="77777777" w:rsidR="00592C29" w:rsidRPr="00984C20" w:rsidRDefault="00592C29" w:rsidP="00984C20">
            <w:pPr>
              <w:rPr>
                <w:sz w:val="22"/>
                <w:szCs w:val="22"/>
              </w:rPr>
            </w:pPr>
          </w:p>
        </w:tc>
      </w:tr>
    </w:tbl>
    <w:p w14:paraId="12F16A3A" w14:textId="77777777" w:rsidR="00592C29" w:rsidRPr="00984C20" w:rsidRDefault="00592C29" w:rsidP="00984C20">
      <w:pPr>
        <w:spacing w:line="276" w:lineRule="auto"/>
        <w:ind w:left="2160" w:hanging="2160"/>
        <w:rPr>
          <w:sz w:val="22"/>
          <w:szCs w:val="22"/>
        </w:rPr>
      </w:pPr>
    </w:p>
    <w:p w14:paraId="5284DC6E" w14:textId="77777777" w:rsidR="00592C29" w:rsidRPr="00984C20" w:rsidRDefault="00592C29" w:rsidP="00984C20">
      <w:pPr>
        <w:spacing w:line="276" w:lineRule="auto"/>
        <w:ind w:left="2160" w:hanging="2160"/>
        <w:rPr>
          <w:sz w:val="22"/>
          <w:szCs w:val="22"/>
        </w:rPr>
      </w:pPr>
    </w:p>
    <w:tbl>
      <w:tblPr>
        <w:tblW w:w="0" w:type="auto"/>
        <w:jc w:val="center"/>
        <w:tblCellMar>
          <w:left w:w="0" w:type="dxa"/>
          <w:right w:w="0" w:type="dxa"/>
        </w:tblCellMar>
        <w:tblLook w:val="04A0" w:firstRow="1" w:lastRow="0" w:firstColumn="1" w:lastColumn="0" w:noHBand="0" w:noVBand="1"/>
      </w:tblPr>
      <w:tblGrid>
        <w:gridCol w:w="817"/>
        <w:gridCol w:w="332"/>
        <w:gridCol w:w="323"/>
        <w:gridCol w:w="341"/>
        <w:gridCol w:w="323"/>
        <w:gridCol w:w="323"/>
        <w:gridCol w:w="323"/>
        <w:gridCol w:w="323"/>
        <w:gridCol w:w="323"/>
        <w:gridCol w:w="332"/>
        <w:gridCol w:w="332"/>
        <w:gridCol w:w="323"/>
        <w:gridCol w:w="323"/>
        <w:gridCol w:w="1369"/>
      </w:tblGrid>
      <w:tr w:rsidR="00592C29" w:rsidRPr="00984C20" w14:paraId="6CEEEC3E" w14:textId="77777777">
        <w:trPr>
          <w:jc w:val="center"/>
        </w:trPr>
        <w:tc>
          <w:tcPr>
            <w:tcW w:w="817" w:type="dxa"/>
            <w:vMerge w:val="restart"/>
            <w:tcBorders>
              <w:right w:val="single" w:sz="6" w:space="0" w:color="000000"/>
            </w:tcBorders>
            <w:tcMar>
              <w:top w:w="5" w:type="dxa"/>
              <w:left w:w="113" w:type="dxa"/>
              <w:bottom w:w="5" w:type="dxa"/>
              <w:right w:w="108" w:type="dxa"/>
            </w:tcMar>
            <w:vAlign w:val="center"/>
            <w:hideMark/>
          </w:tcPr>
          <w:p w14:paraId="4E094BFD" w14:textId="77777777" w:rsidR="00592C29" w:rsidRPr="00984C20" w:rsidRDefault="0048296D" w:rsidP="00984C20">
            <w:pPr>
              <w:spacing w:line="276" w:lineRule="auto"/>
              <w:jc w:val="center"/>
              <w:rPr>
                <w:sz w:val="22"/>
                <w:szCs w:val="22"/>
              </w:rPr>
            </w:pPr>
            <w:r w:rsidRPr="00984C20">
              <w:rPr>
                <w:sz w:val="22"/>
                <w:szCs w:val="22"/>
              </w:rPr>
              <w:t>25%</w:t>
            </w:r>
          </w:p>
        </w:tc>
        <w:tc>
          <w:tcPr>
            <w:tcW w:w="3903" w:type="dxa"/>
            <w:gridSpan w:val="1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5B5158E" w14:textId="77777777" w:rsidR="00592C29" w:rsidRPr="00984C20" w:rsidRDefault="0048296D" w:rsidP="00984C20">
            <w:pPr>
              <w:spacing w:line="276" w:lineRule="auto"/>
              <w:rPr>
                <w:sz w:val="22"/>
                <w:szCs w:val="22"/>
              </w:rPr>
            </w:pPr>
            <w:r w:rsidRPr="00984C20">
              <w:rPr>
                <w:noProof/>
                <w:sz w:val="22"/>
                <w:szCs w:val="22"/>
              </w:rPr>
              <w:drawing>
                <wp:inline distT="0" distB="0" distL="0" distR="0" wp14:anchorId="6DBE3F49" wp14:editId="368EB527">
                  <wp:extent cx="2266950" cy="342900"/>
                  <wp:effectExtent l="0" t="0" r="0" b="0"/>
                  <wp:docPr id="100071" name="Picture 100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r:embed="rId48"/>
                          <a:stretch>
                            <a:fillRect/>
                          </a:stretch>
                        </pic:blipFill>
                        <pic:spPr>
                          <a:xfrm>
                            <a:off x="0" y="0"/>
                            <a:ext cx="2266950" cy="342900"/>
                          </a:xfrm>
                          <a:prstGeom prst="rect">
                            <a:avLst/>
                          </a:prstGeom>
                        </pic:spPr>
                      </pic:pic>
                    </a:graphicData>
                  </a:graphic>
                </wp:inline>
              </w:drawing>
            </w:r>
          </w:p>
        </w:tc>
        <w:tc>
          <w:tcPr>
            <w:tcW w:w="1369" w:type="dxa"/>
            <w:vMerge w:val="restart"/>
            <w:tcBorders>
              <w:left w:val="single" w:sz="6" w:space="0" w:color="000000"/>
            </w:tcBorders>
            <w:tcMar>
              <w:top w:w="5" w:type="dxa"/>
              <w:left w:w="108" w:type="dxa"/>
              <w:bottom w:w="5" w:type="dxa"/>
              <w:right w:w="113" w:type="dxa"/>
            </w:tcMar>
            <w:hideMark/>
          </w:tcPr>
          <w:p w14:paraId="1F08D0F7" w14:textId="77777777" w:rsidR="00592C29" w:rsidRPr="00984C20" w:rsidRDefault="00592C29" w:rsidP="00984C20">
            <w:pPr>
              <w:spacing w:line="276" w:lineRule="auto"/>
              <w:rPr>
                <w:sz w:val="22"/>
                <w:szCs w:val="22"/>
              </w:rPr>
            </w:pPr>
          </w:p>
          <w:p w14:paraId="3045482E" w14:textId="77777777" w:rsidR="00592C29" w:rsidRPr="00984C20" w:rsidRDefault="00592C29" w:rsidP="00984C20">
            <w:pPr>
              <w:spacing w:line="276" w:lineRule="auto"/>
              <w:rPr>
                <w:sz w:val="22"/>
                <w:szCs w:val="22"/>
              </w:rPr>
            </w:pPr>
          </w:p>
        </w:tc>
      </w:tr>
      <w:tr w:rsidR="00984C20" w:rsidRPr="00984C20" w14:paraId="22A2BC12" w14:textId="77777777">
        <w:trPr>
          <w:jc w:val="center"/>
        </w:trPr>
        <w:tc>
          <w:tcPr>
            <w:tcW w:w="0" w:type="auto"/>
            <w:vMerge/>
            <w:tcBorders>
              <w:right w:val="single" w:sz="6" w:space="0" w:color="000000"/>
            </w:tcBorders>
            <w:vAlign w:val="center"/>
            <w:hideMark/>
          </w:tcPr>
          <w:p w14:paraId="24E9F711" w14:textId="77777777" w:rsidR="00592C29" w:rsidRPr="00984C20" w:rsidRDefault="00592C29" w:rsidP="00984C20">
            <w:pPr>
              <w:rPr>
                <w:sz w:val="22"/>
                <w:szCs w:val="22"/>
              </w:rPr>
            </w:pP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3EB81A6C" w14:textId="77777777" w:rsidR="00592C29" w:rsidRPr="00984C20" w:rsidRDefault="0048296D" w:rsidP="00984C20">
            <w:pPr>
              <w:spacing w:line="276" w:lineRule="auto"/>
              <w:rPr>
                <w:sz w:val="16"/>
                <w:szCs w:val="16"/>
              </w:rPr>
            </w:pPr>
            <w:r w:rsidRPr="00984C20">
              <w:rPr>
                <w:sz w:val="16"/>
                <w:szCs w:val="16"/>
              </w:rPr>
              <w:t>A</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37DA7382" w14:textId="77777777" w:rsidR="00592C29" w:rsidRPr="00984C20" w:rsidRDefault="0048296D" w:rsidP="00984C20">
            <w:pPr>
              <w:spacing w:line="276" w:lineRule="auto"/>
              <w:rPr>
                <w:sz w:val="16"/>
                <w:szCs w:val="16"/>
              </w:rPr>
            </w:pPr>
            <w:r w:rsidRPr="00984C20">
              <w:rPr>
                <w:sz w:val="16"/>
                <w:szCs w:val="16"/>
              </w:rPr>
              <w:t>F</w:t>
            </w:r>
          </w:p>
        </w:tc>
        <w:tc>
          <w:tcPr>
            <w:tcW w:w="34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28E06A3" w14:textId="77777777" w:rsidR="00592C29" w:rsidRPr="00984C20" w:rsidRDefault="0048296D" w:rsidP="00984C20">
            <w:pPr>
              <w:spacing w:line="276" w:lineRule="auto"/>
              <w:rPr>
                <w:sz w:val="16"/>
                <w:szCs w:val="16"/>
              </w:rPr>
            </w:pPr>
            <w:r w:rsidRPr="00984C20">
              <w:rPr>
                <w:sz w:val="16"/>
                <w:szCs w:val="16"/>
              </w:rPr>
              <w:t>G</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2DA16ED6" w14:textId="77777777" w:rsidR="00592C29" w:rsidRPr="00984C20" w:rsidRDefault="0048296D" w:rsidP="00984C20">
            <w:pPr>
              <w:spacing w:line="276" w:lineRule="auto"/>
              <w:rPr>
                <w:sz w:val="16"/>
                <w:szCs w:val="16"/>
              </w:rPr>
            </w:pPr>
            <w:r w:rsidRPr="00984C20">
              <w:rPr>
                <w:sz w:val="16"/>
                <w:szCs w:val="16"/>
              </w:rPr>
              <w:t>1</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2525D67E" w14:textId="77777777" w:rsidR="00592C29" w:rsidRPr="00984C20" w:rsidRDefault="0048296D" w:rsidP="00984C20">
            <w:pPr>
              <w:spacing w:line="276" w:lineRule="auto"/>
              <w:rPr>
                <w:sz w:val="16"/>
                <w:szCs w:val="16"/>
              </w:rPr>
            </w:pPr>
            <w:r w:rsidRPr="00984C20">
              <w:rPr>
                <w:sz w:val="16"/>
                <w:szCs w:val="16"/>
              </w:rPr>
              <w:t>4</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37A275F1" w14:textId="77777777" w:rsidR="00592C29" w:rsidRPr="00984C20" w:rsidRDefault="0048296D" w:rsidP="00984C20">
            <w:pPr>
              <w:spacing w:line="276" w:lineRule="auto"/>
              <w:rPr>
                <w:sz w:val="16"/>
                <w:szCs w:val="16"/>
              </w:rPr>
            </w:pPr>
            <w:r w:rsidRPr="00984C20">
              <w:rPr>
                <w:sz w:val="16"/>
                <w:szCs w:val="16"/>
              </w:rPr>
              <w:t>5</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6E93740B" w14:textId="77777777" w:rsidR="00592C29" w:rsidRPr="00984C20" w:rsidRDefault="0048296D" w:rsidP="00984C20">
            <w:pPr>
              <w:spacing w:line="276" w:lineRule="auto"/>
              <w:rPr>
                <w:sz w:val="16"/>
                <w:szCs w:val="16"/>
              </w:rPr>
            </w:pPr>
            <w:r w:rsidRPr="00984C20">
              <w:rPr>
                <w:sz w:val="16"/>
                <w:szCs w:val="16"/>
              </w:rPr>
              <w:t>6</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29D7AD81" w14:textId="77777777" w:rsidR="00592C29" w:rsidRPr="00984C20" w:rsidRDefault="0048296D" w:rsidP="00984C20">
            <w:pPr>
              <w:spacing w:line="276" w:lineRule="auto"/>
              <w:rPr>
                <w:sz w:val="16"/>
                <w:szCs w:val="16"/>
              </w:rPr>
            </w:pPr>
            <w:r w:rsidRPr="00984C20">
              <w:rPr>
                <w:sz w:val="16"/>
                <w:szCs w:val="16"/>
              </w:rPr>
              <w:t>7</w:t>
            </w:r>
          </w:p>
        </w:tc>
        <w:tc>
          <w:tcPr>
            <w:tcW w:w="332"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227E9BB" w14:textId="77777777" w:rsidR="00592C29" w:rsidRPr="00984C20" w:rsidRDefault="0048296D" w:rsidP="00984C20">
            <w:pPr>
              <w:spacing w:line="276" w:lineRule="auto"/>
              <w:rPr>
                <w:sz w:val="16"/>
                <w:szCs w:val="16"/>
              </w:rPr>
            </w:pPr>
            <w:r w:rsidRPr="00984C20">
              <w:rPr>
                <w:sz w:val="16"/>
                <w:szCs w:val="16"/>
              </w:rPr>
              <w:t>7</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603E89CB" w14:textId="77777777" w:rsidR="00592C29" w:rsidRPr="00984C20" w:rsidRDefault="0048296D" w:rsidP="00984C20">
            <w:pPr>
              <w:spacing w:line="276" w:lineRule="auto"/>
              <w:rPr>
                <w:sz w:val="16"/>
                <w:szCs w:val="16"/>
              </w:rPr>
            </w:pPr>
            <w:r w:rsidRPr="00984C20">
              <w:rPr>
                <w:sz w:val="16"/>
                <w:szCs w:val="16"/>
              </w:rPr>
              <w:t>A</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A3908EF" w14:textId="77777777" w:rsidR="00592C29" w:rsidRPr="00984C20" w:rsidRDefault="0048296D" w:rsidP="00984C20">
            <w:pPr>
              <w:spacing w:line="276" w:lineRule="auto"/>
              <w:rPr>
                <w:sz w:val="16"/>
                <w:szCs w:val="16"/>
              </w:rPr>
            </w:pPr>
            <w:r w:rsidRPr="00984C20">
              <w:rPr>
                <w:sz w:val="16"/>
                <w:szCs w:val="16"/>
              </w:rPr>
              <w:t>1</w:t>
            </w:r>
          </w:p>
        </w:tc>
        <w:tc>
          <w:tcPr>
            <w:tcW w:w="3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918B102" w14:textId="77777777" w:rsidR="00592C29" w:rsidRPr="00984C20" w:rsidRDefault="0048296D" w:rsidP="00984C20">
            <w:pPr>
              <w:spacing w:line="276" w:lineRule="auto"/>
              <w:rPr>
                <w:sz w:val="16"/>
                <w:szCs w:val="16"/>
              </w:rPr>
            </w:pPr>
            <w:r w:rsidRPr="00984C20">
              <w:rPr>
                <w:sz w:val="16"/>
                <w:szCs w:val="16"/>
              </w:rPr>
              <w:t>2</w:t>
            </w:r>
          </w:p>
        </w:tc>
        <w:tc>
          <w:tcPr>
            <w:tcW w:w="0" w:type="auto"/>
            <w:vMerge/>
            <w:tcBorders>
              <w:left w:val="single" w:sz="6" w:space="0" w:color="000000"/>
            </w:tcBorders>
            <w:vAlign w:val="center"/>
            <w:hideMark/>
          </w:tcPr>
          <w:p w14:paraId="234B810E" w14:textId="77777777" w:rsidR="00592C29" w:rsidRPr="00984C20" w:rsidRDefault="00592C29" w:rsidP="00984C20">
            <w:pPr>
              <w:rPr>
                <w:sz w:val="16"/>
                <w:szCs w:val="16"/>
              </w:rPr>
            </w:pPr>
          </w:p>
        </w:tc>
      </w:tr>
      <w:tr w:rsidR="00592C29" w:rsidRPr="00984C20" w14:paraId="38897967" w14:textId="77777777">
        <w:trPr>
          <w:jc w:val="center"/>
        </w:trPr>
        <w:tc>
          <w:tcPr>
            <w:tcW w:w="0" w:type="auto"/>
            <w:vMerge/>
            <w:tcBorders>
              <w:right w:val="single" w:sz="6" w:space="0" w:color="000000"/>
            </w:tcBorders>
            <w:vAlign w:val="center"/>
            <w:hideMark/>
          </w:tcPr>
          <w:p w14:paraId="5815CB0A" w14:textId="77777777" w:rsidR="00592C29" w:rsidRPr="00984C20" w:rsidRDefault="00592C29" w:rsidP="00984C20">
            <w:pPr>
              <w:rPr>
                <w:sz w:val="16"/>
                <w:szCs w:val="16"/>
              </w:rPr>
            </w:pPr>
          </w:p>
        </w:tc>
        <w:tc>
          <w:tcPr>
            <w:tcW w:w="3903" w:type="dxa"/>
            <w:gridSpan w:val="1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71B29EE" w14:textId="77777777" w:rsidR="00592C29" w:rsidRPr="00984C20" w:rsidRDefault="0048296D" w:rsidP="00984C20">
            <w:pPr>
              <w:spacing w:line="276" w:lineRule="auto"/>
              <w:rPr>
                <w:sz w:val="22"/>
                <w:szCs w:val="22"/>
              </w:rPr>
            </w:pPr>
            <w:r w:rsidRPr="00984C20">
              <w:rPr>
                <w:noProof/>
                <w:sz w:val="22"/>
                <w:szCs w:val="22"/>
              </w:rPr>
              <w:drawing>
                <wp:inline distT="0" distB="0" distL="0" distR="0" wp14:anchorId="1BC866B9" wp14:editId="72197A9B">
                  <wp:extent cx="2314575" cy="238125"/>
                  <wp:effectExtent l="0" t="0" r="0" b="0"/>
                  <wp:docPr id="100073" name="Picture 100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r:embed="rId40"/>
                          <a:stretch>
                            <a:fillRect/>
                          </a:stretch>
                        </pic:blipFill>
                        <pic:spPr>
                          <a:xfrm>
                            <a:off x="0" y="0"/>
                            <a:ext cx="2314575" cy="238125"/>
                          </a:xfrm>
                          <a:prstGeom prst="rect">
                            <a:avLst/>
                          </a:prstGeom>
                        </pic:spPr>
                      </pic:pic>
                    </a:graphicData>
                  </a:graphic>
                </wp:inline>
              </w:drawing>
            </w:r>
          </w:p>
        </w:tc>
        <w:tc>
          <w:tcPr>
            <w:tcW w:w="0" w:type="auto"/>
            <w:vMerge/>
            <w:tcBorders>
              <w:left w:val="single" w:sz="6" w:space="0" w:color="000000"/>
            </w:tcBorders>
            <w:vAlign w:val="center"/>
            <w:hideMark/>
          </w:tcPr>
          <w:p w14:paraId="48246D7F" w14:textId="77777777" w:rsidR="00592C29" w:rsidRPr="00984C20" w:rsidRDefault="00592C29" w:rsidP="00984C20">
            <w:pPr>
              <w:rPr>
                <w:sz w:val="22"/>
                <w:szCs w:val="22"/>
              </w:rPr>
            </w:pPr>
          </w:p>
        </w:tc>
      </w:tr>
    </w:tbl>
    <w:p w14:paraId="0D033D36" w14:textId="77777777" w:rsidR="00592C29" w:rsidRPr="00984C20" w:rsidRDefault="00592C29" w:rsidP="00984C20">
      <w:pPr>
        <w:spacing w:line="276" w:lineRule="auto"/>
        <w:rPr>
          <w:sz w:val="22"/>
          <w:szCs w:val="22"/>
        </w:rPr>
      </w:pPr>
    </w:p>
    <w:p w14:paraId="504FFD75" w14:textId="77777777" w:rsidR="00592C29" w:rsidRPr="00984C20" w:rsidRDefault="00592C29" w:rsidP="00984C20">
      <w:pPr>
        <w:spacing w:line="276" w:lineRule="auto"/>
        <w:ind w:left="540" w:right="418"/>
        <w:jc w:val="both"/>
        <w:rPr>
          <w:sz w:val="22"/>
          <w:szCs w:val="22"/>
        </w:rPr>
      </w:pPr>
    </w:p>
    <w:p w14:paraId="27BB5E3A" w14:textId="77777777" w:rsidR="00592C29" w:rsidRPr="00984C20" w:rsidRDefault="00592C29" w:rsidP="00984C20">
      <w:pPr>
        <w:jc w:val="both"/>
        <w:rPr>
          <w:sz w:val="22"/>
          <w:szCs w:val="22"/>
        </w:rPr>
      </w:pPr>
    </w:p>
    <w:p w14:paraId="5A1AA00D" w14:textId="77777777" w:rsidR="00592C29" w:rsidRPr="00984C20" w:rsidRDefault="00592C29" w:rsidP="00984C20">
      <w:pPr>
        <w:jc w:val="both"/>
        <w:rPr>
          <w:sz w:val="22"/>
          <w:szCs w:val="22"/>
        </w:rPr>
      </w:pPr>
    </w:p>
    <w:p w14:paraId="4A7AE96A" w14:textId="77777777" w:rsidR="00592C29" w:rsidRPr="00984C20" w:rsidRDefault="0048296D" w:rsidP="00984C20">
      <w:pPr>
        <w:spacing w:line="276" w:lineRule="auto"/>
        <w:rPr>
          <w:sz w:val="22"/>
          <w:szCs w:val="22"/>
        </w:rPr>
      </w:pPr>
      <w:r w:rsidRPr="00984C20">
        <w:rPr>
          <w:sz w:val="22"/>
          <w:szCs w:val="22"/>
        </w:rPr>
        <w:br w:type="page"/>
      </w:r>
    </w:p>
    <w:p w14:paraId="6859676A" w14:textId="77777777" w:rsidR="00592C29" w:rsidRDefault="0048296D" w:rsidP="00984C20">
      <w:pPr>
        <w:pStyle w:val="Heading1"/>
        <w:spacing w:before="0" w:after="0"/>
        <w:rPr>
          <w:sz w:val="40"/>
          <w:szCs w:val="40"/>
        </w:rPr>
      </w:pPr>
      <w:bookmarkStart w:id="81" w:name="_Toc31396099"/>
      <w:r>
        <w:rPr>
          <w:rFonts w:ascii="Arial" w:eastAsia="Arial" w:hAnsi="Arial" w:cs="Arial"/>
          <w:color w:val="2E97D3"/>
          <w:sz w:val="40"/>
          <w:szCs w:val="40"/>
        </w:rPr>
        <w:lastRenderedPageBreak/>
        <w:t>Appendix 8 – Mid Term Alterations</w:t>
      </w:r>
      <w:bookmarkEnd w:id="81"/>
      <w:r>
        <w:rPr>
          <w:rFonts w:ascii="Arial" w:eastAsia="Arial" w:hAnsi="Arial" w:cs="Arial"/>
          <w:color w:val="2E97D3"/>
          <w:sz w:val="40"/>
          <w:szCs w:val="40"/>
        </w:rPr>
        <w:t xml:space="preserve"> </w:t>
      </w:r>
    </w:p>
    <w:p w14:paraId="038F31E7" w14:textId="77777777" w:rsidR="00592C29" w:rsidRDefault="00592C29" w:rsidP="00984C20">
      <w:pPr>
        <w:jc w:val="both"/>
        <w:rPr>
          <w:sz w:val="22"/>
          <w:szCs w:val="22"/>
        </w:rPr>
      </w:pPr>
    </w:p>
    <w:p w14:paraId="432AA096" w14:textId="77777777" w:rsidR="00585E2B" w:rsidRPr="006E7804" w:rsidRDefault="00585E2B" w:rsidP="00984C20">
      <w:pPr>
        <w:jc w:val="both"/>
        <w:rPr>
          <w:rFonts w:ascii="Arial" w:eastAsia="Arial" w:hAnsi="Arial" w:cs="Arial"/>
          <w:sz w:val="22"/>
          <w:szCs w:val="22"/>
        </w:rPr>
      </w:pPr>
    </w:p>
    <w:p w14:paraId="277A0AC4" w14:textId="636B6CE4" w:rsidR="00592C29" w:rsidRPr="00ED6793" w:rsidRDefault="0048296D" w:rsidP="00ED6793">
      <w:pPr>
        <w:jc w:val="both"/>
        <w:rPr>
          <w:rFonts w:ascii="Arial" w:hAnsi="Arial" w:cs="Arial"/>
          <w:b/>
          <w:sz w:val="22"/>
          <w:szCs w:val="22"/>
        </w:rPr>
      </w:pPr>
      <w:r w:rsidRPr="00585E2B">
        <w:rPr>
          <w:rFonts w:ascii="Arial" w:eastAsia="Arial" w:hAnsi="Arial" w:cs="Arial"/>
          <w:sz w:val="22"/>
          <w:szCs w:val="22"/>
        </w:rPr>
        <w:t xml:space="preserve">In September 2019, Lloyd’s Brussels published Endorsement Operational Guidelines Version 2.0, to provide the market with guidance regarding the processing of Lloyd’s Brussels endorsements, </w:t>
      </w:r>
      <w:r w:rsidR="006E7804" w:rsidRPr="007567CA">
        <w:rPr>
          <w:rFonts w:ascii="Arial" w:eastAsia="Arial" w:hAnsi="Arial" w:cs="Arial"/>
          <w:sz w:val="22"/>
          <w:szCs w:val="22"/>
        </w:rPr>
        <w:t>which is available at</w:t>
      </w:r>
      <w:r w:rsidR="006E7804">
        <w:rPr>
          <w:rFonts w:ascii="Arial" w:eastAsia="Arial" w:hAnsi="Arial" w:cs="Arial"/>
          <w:color w:val="B5082E"/>
          <w:sz w:val="22"/>
          <w:szCs w:val="22"/>
        </w:rPr>
        <w:t xml:space="preserve"> </w:t>
      </w:r>
      <w:hyperlink r:id="rId49" w:history="1">
        <w:r w:rsidR="006E7804" w:rsidRPr="007567CA">
          <w:rPr>
            <w:rStyle w:val="Hyperlink"/>
            <w:rFonts w:ascii="Arial" w:eastAsia="Arial" w:hAnsi="Arial" w:cs="Arial"/>
            <w:color w:val="0000FF"/>
            <w:sz w:val="22"/>
            <w:szCs w:val="22"/>
          </w:rPr>
          <w:t>LINK</w:t>
        </w:r>
      </w:hyperlink>
    </w:p>
    <w:p w14:paraId="47719BD2" w14:textId="77777777" w:rsidR="00592C29" w:rsidRPr="00585E2B" w:rsidRDefault="00592C29" w:rsidP="00ED6793">
      <w:pPr>
        <w:jc w:val="both"/>
        <w:rPr>
          <w:rFonts w:ascii="Arial" w:hAnsi="Arial" w:cs="Arial"/>
          <w:sz w:val="22"/>
          <w:szCs w:val="22"/>
        </w:rPr>
      </w:pPr>
    </w:p>
    <w:p w14:paraId="6C73A672" w14:textId="77777777" w:rsidR="00592C29" w:rsidRPr="00585E2B" w:rsidRDefault="0048296D" w:rsidP="00ED6793">
      <w:pPr>
        <w:jc w:val="both"/>
        <w:rPr>
          <w:rFonts w:ascii="Arial" w:hAnsi="Arial" w:cs="Arial"/>
          <w:sz w:val="22"/>
          <w:szCs w:val="22"/>
        </w:rPr>
      </w:pPr>
      <w:r w:rsidRPr="00585E2B">
        <w:rPr>
          <w:rFonts w:ascii="Arial" w:eastAsia="Arial" w:hAnsi="Arial" w:cs="Arial"/>
          <w:sz w:val="22"/>
          <w:szCs w:val="22"/>
        </w:rPr>
        <w:t xml:space="preserve">The Endorsement Operational Guidelines is intended to sit alongside the MRC and MRCE guidelines and other documentation available on the London Market Group website </w:t>
      </w:r>
      <w:hyperlink r:id="rId50" w:history="1">
        <w:r w:rsidRPr="00585E2B">
          <w:rPr>
            <w:rFonts w:ascii="Arial" w:eastAsia="Arial" w:hAnsi="Arial" w:cs="Arial"/>
            <w:color w:val="0000FF"/>
            <w:sz w:val="22"/>
            <w:szCs w:val="22"/>
            <w:u w:val="single" w:color="B5082E"/>
          </w:rPr>
          <w:t>https://lmg.london/</w:t>
        </w:r>
      </w:hyperlink>
    </w:p>
    <w:p w14:paraId="2BC5577B" w14:textId="77777777" w:rsidR="00592C29" w:rsidRPr="00585E2B" w:rsidRDefault="00592C29" w:rsidP="00ED6793">
      <w:pPr>
        <w:jc w:val="both"/>
        <w:rPr>
          <w:rFonts w:ascii="Arial" w:hAnsi="Arial" w:cs="Arial"/>
          <w:sz w:val="22"/>
          <w:szCs w:val="22"/>
        </w:rPr>
      </w:pPr>
    </w:p>
    <w:p w14:paraId="4CB9CB18" w14:textId="77777777" w:rsidR="00592C29" w:rsidRPr="00585E2B" w:rsidRDefault="0048296D" w:rsidP="00ED6793">
      <w:pPr>
        <w:jc w:val="both"/>
        <w:rPr>
          <w:rFonts w:ascii="Arial" w:hAnsi="Arial" w:cs="Arial"/>
          <w:sz w:val="22"/>
          <w:szCs w:val="22"/>
        </w:rPr>
      </w:pPr>
      <w:r w:rsidRPr="00585E2B">
        <w:rPr>
          <w:rFonts w:ascii="Arial" w:eastAsia="Arial" w:hAnsi="Arial" w:cs="Arial"/>
          <w:sz w:val="22"/>
          <w:szCs w:val="22"/>
        </w:rPr>
        <w:t>The Guidelines contain detailed guidance and process flows for the processing of Lloyd’s Brussels endorsements, therefore only a brief overview is provided here.</w:t>
      </w:r>
    </w:p>
    <w:p w14:paraId="0EB14784" w14:textId="77777777" w:rsidR="00592C29" w:rsidRPr="00585E2B" w:rsidRDefault="00592C29" w:rsidP="00ED6793">
      <w:pPr>
        <w:jc w:val="both"/>
        <w:rPr>
          <w:rFonts w:ascii="Arial" w:hAnsi="Arial" w:cs="Arial"/>
          <w:sz w:val="22"/>
          <w:szCs w:val="22"/>
        </w:rPr>
      </w:pPr>
    </w:p>
    <w:p w14:paraId="7BBAA746" w14:textId="77777777" w:rsidR="00585E2B" w:rsidRDefault="00585E2B" w:rsidP="00ED6793">
      <w:pPr>
        <w:jc w:val="both"/>
        <w:rPr>
          <w:rFonts w:ascii="Arial" w:eastAsia="Arial" w:hAnsi="Arial" w:cs="Arial"/>
          <w:b/>
          <w:sz w:val="22"/>
          <w:szCs w:val="22"/>
        </w:rPr>
      </w:pPr>
    </w:p>
    <w:p w14:paraId="421146BB" w14:textId="64D28810" w:rsidR="00592C29" w:rsidRPr="00585E2B" w:rsidRDefault="0048296D" w:rsidP="00ED6793">
      <w:pPr>
        <w:jc w:val="both"/>
        <w:rPr>
          <w:rFonts w:ascii="Arial" w:hAnsi="Arial" w:cs="Arial"/>
          <w:b/>
          <w:sz w:val="22"/>
          <w:szCs w:val="22"/>
        </w:rPr>
      </w:pPr>
      <w:r w:rsidRPr="00585E2B">
        <w:rPr>
          <w:rFonts w:ascii="Arial" w:eastAsia="Arial" w:hAnsi="Arial" w:cs="Arial"/>
          <w:b/>
          <w:sz w:val="22"/>
          <w:szCs w:val="22"/>
        </w:rPr>
        <w:t>Background</w:t>
      </w:r>
    </w:p>
    <w:p w14:paraId="48D3C000" w14:textId="77777777" w:rsidR="00585E2B" w:rsidRPr="00585E2B" w:rsidRDefault="00585E2B" w:rsidP="00ED6793">
      <w:pPr>
        <w:jc w:val="both"/>
        <w:rPr>
          <w:rFonts w:ascii="Arial" w:eastAsia="Trebuchet MS" w:hAnsi="Arial" w:cs="Arial"/>
          <w:sz w:val="22"/>
          <w:szCs w:val="22"/>
        </w:rPr>
      </w:pPr>
    </w:p>
    <w:p w14:paraId="2BD33B1E" w14:textId="555F6C8A" w:rsidR="00592C29" w:rsidRPr="00ED6793" w:rsidRDefault="0048296D" w:rsidP="00ED6793">
      <w:pPr>
        <w:jc w:val="both"/>
        <w:rPr>
          <w:rFonts w:ascii="Arial" w:eastAsia="Arial" w:hAnsi="Arial" w:cs="Arial"/>
          <w:sz w:val="22"/>
          <w:szCs w:val="22"/>
        </w:rPr>
      </w:pPr>
      <w:r w:rsidRPr="00ED6793">
        <w:rPr>
          <w:rFonts w:ascii="Arial" w:eastAsia="Arial" w:hAnsi="Arial" w:cs="Arial"/>
          <w:sz w:val="22"/>
          <w:szCs w:val="22"/>
        </w:rPr>
        <w:t>The Lloyd’s Brussels Endorsement Operational Guidance version 1.0 was published to the</w:t>
      </w:r>
    </w:p>
    <w:p w14:paraId="618FB6CD" w14:textId="77777777" w:rsidR="00592C29" w:rsidRPr="00ED6793" w:rsidRDefault="0048296D" w:rsidP="00ED6793">
      <w:pPr>
        <w:jc w:val="both"/>
        <w:rPr>
          <w:rFonts w:ascii="Arial" w:eastAsia="Arial" w:hAnsi="Arial" w:cs="Arial"/>
          <w:sz w:val="22"/>
          <w:szCs w:val="22"/>
        </w:rPr>
      </w:pPr>
      <w:r w:rsidRPr="00ED6793">
        <w:rPr>
          <w:rFonts w:ascii="Arial" w:eastAsia="Arial" w:hAnsi="Arial" w:cs="Arial"/>
          <w:sz w:val="22"/>
          <w:szCs w:val="22"/>
        </w:rPr>
        <w:t>market in January 2019, which set out the options for agreeing and processing endorsements to</w:t>
      </w:r>
    </w:p>
    <w:p w14:paraId="6164CC8F" w14:textId="77777777" w:rsidR="00592C29" w:rsidRPr="00ED6793" w:rsidRDefault="0048296D" w:rsidP="00ED6793">
      <w:pPr>
        <w:jc w:val="both"/>
        <w:rPr>
          <w:rFonts w:ascii="Arial" w:eastAsia="Arial" w:hAnsi="Arial" w:cs="Arial"/>
          <w:sz w:val="22"/>
          <w:szCs w:val="22"/>
        </w:rPr>
      </w:pPr>
      <w:r w:rsidRPr="00585E2B">
        <w:rPr>
          <w:rFonts w:ascii="Arial" w:eastAsia="Arial" w:hAnsi="Arial" w:cs="Arial"/>
          <w:sz w:val="22"/>
          <w:szCs w:val="22"/>
        </w:rPr>
        <w:t>contracts where one or more Lloyd’s Brussels markets are on risk.</w:t>
      </w:r>
    </w:p>
    <w:p w14:paraId="73086DFA" w14:textId="77777777" w:rsidR="00592C29" w:rsidRPr="00ED6793" w:rsidRDefault="00592C29" w:rsidP="00ED6793">
      <w:pPr>
        <w:jc w:val="both"/>
        <w:rPr>
          <w:rFonts w:ascii="Arial" w:eastAsia="Arial" w:hAnsi="Arial" w:cs="Arial"/>
          <w:sz w:val="22"/>
          <w:szCs w:val="22"/>
        </w:rPr>
      </w:pPr>
    </w:p>
    <w:p w14:paraId="256FFC78" w14:textId="77777777" w:rsidR="00592C29" w:rsidRPr="00ED6793" w:rsidRDefault="0048296D" w:rsidP="00ED6793">
      <w:pPr>
        <w:jc w:val="both"/>
        <w:rPr>
          <w:rFonts w:ascii="Arial" w:eastAsia="Arial" w:hAnsi="Arial" w:cs="Arial"/>
          <w:sz w:val="22"/>
          <w:szCs w:val="22"/>
        </w:rPr>
      </w:pPr>
      <w:r w:rsidRPr="00ED6793">
        <w:rPr>
          <w:rFonts w:ascii="Arial" w:eastAsia="Arial" w:hAnsi="Arial" w:cs="Arial"/>
          <w:sz w:val="22"/>
          <w:szCs w:val="22"/>
        </w:rPr>
        <w:t>Following market feedback, Lloyd’s Brussels has introduced an additional option of endorsing</w:t>
      </w:r>
    </w:p>
    <w:p w14:paraId="543549C1" w14:textId="77777777" w:rsidR="00592C29" w:rsidRPr="00ED6793" w:rsidRDefault="0048296D" w:rsidP="00ED6793">
      <w:pPr>
        <w:jc w:val="both"/>
        <w:rPr>
          <w:rFonts w:ascii="Arial" w:eastAsia="Arial" w:hAnsi="Arial" w:cs="Arial"/>
          <w:sz w:val="22"/>
          <w:szCs w:val="22"/>
        </w:rPr>
      </w:pPr>
      <w:r w:rsidRPr="00ED6793">
        <w:rPr>
          <w:rFonts w:ascii="Arial" w:eastAsia="Arial" w:hAnsi="Arial" w:cs="Arial"/>
          <w:sz w:val="22"/>
          <w:szCs w:val="22"/>
        </w:rPr>
        <w:t>Lloyd’s Brussels onto an existing Market Reform Contract (MRC), known as an Endorsement</w:t>
      </w:r>
    </w:p>
    <w:p w14:paraId="1B5B59DE" w14:textId="77777777" w:rsidR="00592C29" w:rsidRPr="00ED6793" w:rsidRDefault="0048296D" w:rsidP="00ED6793">
      <w:pPr>
        <w:jc w:val="both"/>
        <w:rPr>
          <w:rFonts w:ascii="Arial" w:eastAsia="Arial" w:hAnsi="Arial" w:cs="Arial"/>
          <w:sz w:val="22"/>
          <w:szCs w:val="22"/>
        </w:rPr>
      </w:pPr>
      <w:r w:rsidRPr="00ED6793">
        <w:rPr>
          <w:rFonts w:ascii="Arial" w:eastAsia="Arial" w:hAnsi="Arial" w:cs="Arial"/>
          <w:sz w:val="22"/>
          <w:szCs w:val="22"/>
        </w:rPr>
        <w:t>MRC which satisfies the markets request for a more pragmatic approach and Lloyd’s Brussels</w:t>
      </w:r>
    </w:p>
    <w:p w14:paraId="1A934A94" w14:textId="77777777" w:rsidR="00592C29" w:rsidRPr="00ED6793" w:rsidRDefault="0048296D" w:rsidP="00ED6793">
      <w:pPr>
        <w:jc w:val="both"/>
        <w:rPr>
          <w:rFonts w:ascii="Arial" w:eastAsia="Arial" w:hAnsi="Arial" w:cs="Arial"/>
          <w:sz w:val="22"/>
          <w:szCs w:val="22"/>
        </w:rPr>
      </w:pPr>
      <w:r w:rsidRPr="00ED6793">
        <w:rPr>
          <w:rFonts w:ascii="Arial" w:eastAsia="Arial" w:hAnsi="Arial" w:cs="Arial"/>
          <w:sz w:val="22"/>
          <w:szCs w:val="22"/>
        </w:rPr>
        <w:t>operational requirements.</w:t>
      </w:r>
    </w:p>
    <w:p w14:paraId="1FA0DAB2" w14:textId="77777777" w:rsidR="00592C29" w:rsidRPr="00ED6793" w:rsidRDefault="00592C29" w:rsidP="00ED6793">
      <w:pPr>
        <w:jc w:val="both"/>
        <w:rPr>
          <w:rFonts w:ascii="Arial" w:eastAsia="Arial" w:hAnsi="Arial" w:cs="Arial"/>
          <w:sz w:val="22"/>
          <w:szCs w:val="22"/>
        </w:rPr>
      </w:pPr>
    </w:p>
    <w:p w14:paraId="78F2AAB7" w14:textId="77777777" w:rsidR="00592C29" w:rsidRPr="00585E2B" w:rsidRDefault="0048296D" w:rsidP="00ED6793">
      <w:pPr>
        <w:jc w:val="both"/>
        <w:rPr>
          <w:rFonts w:ascii="Arial" w:hAnsi="Arial" w:cs="Arial"/>
          <w:sz w:val="22"/>
          <w:szCs w:val="22"/>
        </w:rPr>
      </w:pPr>
      <w:r w:rsidRPr="00585E2B">
        <w:rPr>
          <w:rFonts w:ascii="Arial" w:eastAsia="Arial" w:hAnsi="Arial" w:cs="Arial"/>
          <w:sz w:val="22"/>
          <w:szCs w:val="22"/>
        </w:rPr>
        <w:t>Its focus is to provide Managing Agents and Brokers with the operational requirements only. Endorsement MRCs will form the basis of Insurer Contract Documentation and Brokers and Managing Agents must therefore ensure that any such document complies with all necessary licensing and regulatory requirements, market standards, Lloyd’s Underwriting Principles as well as their own internal quality assurance and due diligence processes.</w:t>
      </w:r>
    </w:p>
    <w:p w14:paraId="108C1656" w14:textId="77777777" w:rsidR="00592C29" w:rsidRPr="00585E2B" w:rsidRDefault="00592C29" w:rsidP="00ED6793">
      <w:pPr>
        <w:jc w:val="both"/>
        <w:rPr>
          <w:rFonts w:ascii="Arial" w:hAnsi="Arial" w:cs="Arial"/>
          <w:sz w:val="22"/>
          <w:szCs w:val="22"/>
        </w:rPr>
      </w:pPr>
    </w:p>
    <w:p w14:paraId="7A61689D" w14:textId="77777777" w:rsidR="00585E2B" w:rsidRDefault="00585E2B" w:rsidP="00585E2B">
      <w:pPr>
        <w:jc w:val="both"/>
        <w:rPr>
          <w:rFonts w:ascii="Arial" w:eastAsia="Arial" w:hAnsi="Arial" w:cs="Arial"/>
          <w:b/>
          <w:sz w:val="22"/>
          <w:szCs w:val="22"/>
        </w:rPr>
      </w:pPr>
    </w:p>
    <w:p w14:paraId="69418B6D" w14:textId="42B023FD" w:rsidR="00592C29" w:rsidRPr="00585E2B" w:rsidRDefault="0048296D" w:rsidP="00585E2B">
      <w:pPr>
        <w:jc w:val="both"/>
        <w:rPr>
          <w:rFonts w:ascii="Arial" w:eastAsia="Arial" w:hAnsi="Arial" w:cs="Arial"/>
          <w:b/>
          <w:sz w:val="22"/>
          <w:szCs w:val="22"/>
        </w:rPr>
      </w:pPr>
      <w:r w:rsidRPr="00585E2B">
        <w:rPr>
          <w:rFonts w:ascii="Arial" w:eastAsia="Arial" w:hAnsi="Arial" w:cs="Arial"/>
          <w:b/>
          <w:sz w:val="22"/>
          <w:szCs w:val="22"/>
        </w:rPr>
        <w:t>Lloyd’s Brussels Scope</w:t>
      </w:r>
    </w:p>
    <w:p w14:paraId="25E888BD" w14:textId="77777777" w:rsidR="00585E2B" w:rsidRPr="00585E2B" w:rsidRDefault="00585E2B" w:rsidP="00585E2B">
      <w:pPr>
        <w:jc w:val="both"/>
        <w:rPr>
          <w:rFonts w:ascii="Arial" w:eastAsia="Arial" w:hAnsi="Arial" w:cs="Arial"/>
          <w:b/>
          <w:sz w:val="22"/>
          <w:szCs w:val="22"/>
        </w:rPr>
      </w:pPr>
    </w:p>
    <w:p w14:paraId="128EB88E" w14:textId="05F748B9" w:rsidR="00592C29" w:rsidRDefault="0048296D" w:rsidP="00585E2B">
      <w:pPr>
        <w:jc w:val="both"/>
        <w:rPr>
          <w:rFonts w:ascii="Arial" w:eastAsia="Arial" w:hAnsi="Arial" w:cs="Arial"/>
          <w:sz w:val="22"/>
          <w:szCs w:val="22"/>
        </w:rPr>
      </w:pPr>
      <w:r w:rsidRPr="00585E2B">
        <w:rPr>
          <w:rFonts w:ascii="Arial" w:eastAsia="Arial" w:hAnsi="Arial" w:cs="Arial"/>
          <w:sz w:val="22"/>
          <w:szCs w:val="22"/>
        </w:rPr>
        <w:t>The process described within the Endorsement Operational Guidance is applicable to the following types of (re)insurance contracts:</w:t>
      </w:r>
    </w:p>
    <w:p w14:paraId="7AAD9415" w14:textId="77777777" w:rsidR="00585E2B" w:rsidRPr="00585E2B" w:rsidRDefault="00585E2B" w:rsidP="00585E2B">
      <w:pPr>
        <w:jc w:val="both"/>
        <w:rPr>
          <w:rFonts w:ascii="Arial" w:hAnsi="Arial" w:cs="Arial"/>
          <w:sz w:val="22"/>
          <w:szCs w:val="22"/>
        </w:rPr>
      </w:pPr>
    </w:p>
    <w:p w14:paraId="084ADEE7" w14:textId="77777777" w:rsidR="00592C29" w:rsidRPr="00585E2B" w:rsidRDefault="0048296D" w:rsidP="00585E2B">
      <w:pPr>
        <w:numPr>
          <w:ilvl w:val="0"/>
          <w:numId w:val="43"/>
        </w:numPr>
        <w:pBdr>
          <w:left w:val="none" w:sz="0" w:space="7" w:color="auto"/>
        </w:pBdr>
        <w:ind w:hanging="350"/>
        <w:jc w:val="both"/>
        <w:rPr>
          <w:rFonts w:ascii="Arial" w:hAnsi="Arial" w:cs="Arial"/>
          <w:sz w:val="22"/>
          <w:szCs w:val="22"/>
        </w:rPr>
      </w:pPr>
      <w:r w:rsidRPr="00585E2B">
        <w:rPr>
          <w:rFonts w:ascii="Arial" w:eastAsia="Trebuchet MS" w:hAnsi="Arial" w:cs="Arial"/>
          <w:sz w:val="22"/>
          <w:szCs w:val="22"/>
        </w:rPr>
        <w:t>Open market direct insurance</w:t>
      </w:r>
    </w:p>
    <w:p w14:paraId="3B560A0D" w14:textId="77777777" w:rsidR="00592C29" w:rsidRPr="00585E2B" w:rsidRDefault="0048296D" w:rsidP="00585E2B">
      <w:pPr>
        <w:numPr>
          <w:ilvl w:val="0"/>
          <w:numId w:val="43"/>
        </w:numPr>
        <w:pBdr>
          <w:left w:val="none" w:sz="0" w:space="7" w:color="auto"/>
        </w:pBdr>
        <w:ind w:hanging="350"/>
        <w:jc w:val="both"/>
        <w:rPr>
          <w:rFonts w:ascii="Arial" w:hAnsi="Arial" w:cs="Arial"/>
          <w:sz w:val="22"/>
          <w:szCs w:val="22"/>
        </w:rPr>
      </w:pPr>
      <w:proofErr w:type="spellStart"/>
      <w:r w:rsidRPr="00585E2B">
        <w:rPr>
          <w:rFonts w:ascii="Arial" w:eastAsia="Trebuchet MS" w:hAnsi="Arial" w:cs="Arial"/>
          <w:sz w:val="22"/>
          <w:szCs w:val="22"/>
        </w:rPr>
        <w:t>Coverholder</w:t>
      </w:r>
      <w:proofErr w:type="spellEnd"/>
      <w:r w:rsidRPr="00585E2B">
        <w:rPr>
          <w:rFonts w:ascii="Arial" w:eastAsia="Trebuchet MS" w:hAnsi="Arial" w:cs="Arial"/>
          <w:sz w:val="22"/>
          <w:szCs w:val="22"/>
        </w:rPr>
        <w:t xml:space="preserve"> Appointment Agreements</w:t>
      </w:r>
    </w:p>
    <w:p w14:paraId="6ECC6F29" w14:textId="77777777" w:rsidR="00592C29" w:rsidRPr="00585E2B" w:rsidRDefault="0048296D" w:rsidP="00585E2B">
      <w:pPr>
        <w:numPr>
          <w:ilvl w:val="0"/>
          <w:numId w:val="43"/>
        </w:numPr>
        <w:pBdr>
          <w:left w:val="none" w:sz="0" w:space="7" w:color="auto"/>
        </w:pBdr>
        <w:ind w:hanging="350"/>
        <w:jc w:val="both"/>
        <w:rPr>
          <w:rFonts w:ascii="Arial" w:hAnsi="Arial" w:cs="Arial"/>
          <w:sz w:val="22"/>
          <w:szCs w:val="22"/>
        </w:rPr>
      </w:pPr>
      <w:r w:rsidRPr="00585E2B">
        <w:rPr>
          <w:rFonts w:ascii="Arial" w:eastAsia="Trebuchet MS" w:hAnsi="Arial" w:cs="Arial"/>
          <w:sz w:val="22"/>
          <w:szCs w:val="22"/>
        </w:rPr>
        <w:t xml:space="preserve">Bulking and non-bulking </w:t>
      </w:r>
      <w:proofErr w:type="spellStart"/>
      <w:r w:rsidRPr="00585E2B">
        <w:rPr>
          <w:rFonts w:ascii="Arial" w:eastAsia="Trebuchet MS" w:hAnsi="Arial" w:cs="Arial"/>
          <w:sz w:val="22"/>
          <w:szCs w:val="22"/>
        </w:rPr>
        <w:t>Lineslips</w:t>
      </w:r>
      <w:proofErr w:type="spellEnd"/>
    </w:p>
    <w:p w14:paraId="33D15AF3" w14:textId="77777777" w:rsidR="00592C29" w:rsidRPr="00585E2B" w:rsidRDefault="0048296D" w:rsidP="00585E2B">
      <w:pPr>
        <w:numPr>
          <w:ilvl w:val="0"/>
          <w:numId w:val="43"/>
        </w:numPr>
        <w:pBdr>
          <w:left w:val="none" w:sz="0" w:space="7" w:color="auto"/>
        </w:pBdr>
        <w:ind w:hanging="350"/>
        <w:jc w:val="both"/>
        <w:rPr>
          <w:rFonts w:ascii="Arial" w:hAnsi="Arial" w:cs="Arial"/>
          <w:sz w:val="22"/>
          <w:szCs w:val="22"/>
        </w:rPr>
      </w:pPr>
      <w:r w:rsidRPr="00585E2B">
        <w:rPr>
          <w:rFonts w:ascii="Arial" w:eastAsia="Trebuchet MS" w:hAnsi="Arial" w:cs="Arial"/>
          <w:sz w:val="22"/>
          <w:szCs w:val="22"/>
        </w:rPr>
        <w:t>Facultative reinsurance</w:t>
      </w:r>
    </w:p>
    <w:p w14:paraId="019AFB37" w14:textId="77777777" w:rsidR="00592C29" w:rsidRPr="00585E2B" w:rsidRDefault="0048296D" w:rsidP="00585E2B">
      <w:pPr>
        <w:numPr>
          <w:ilvl w:val="0"/>
          <w:numId w:val="43"/>
        </w:numPr>
        <w:pBdr>
          <w:left w:val="none" w:sz="0" w:space="7" w:color="auto"/>
        </w:pBdr>
        <w:ind w:hanging="350"/>
        <w:jc w:val="both"/>
        <w:rPr>
          <w:rFonts w:ascii="Arial" w:hAnsi="Arial" w:cs="Arial"/>
          <w:sz w:val="22"/>
          <w:szCs w:val="22"/>
        </w:rPr>
      </w:pPr>
      <w:r w:rsidRPr="00585E2B">
        <w:rPr>
          <w:rFonts w:ascii="Arial" w:eastAsia="Trebuchet MS" w:hAnsi="Arial" w:cs="Arial"/>
          <w:sz w:val="22"/>
          <w:szCs w:val="22"/>
        </w:rPr>
        <w:t>Excess of loss reinsurance contracts</w:t>
      </w:r>
    </w:p>
    <w:p w14:paraId="31A425C7" w14:textId="77777777" w:rsidR="00592C29" w:rsidRPr="00585E2B" w:rsidRDefault="00592C29" w:rsidP="00585E2B">
      <w:pPr>
        <w:jc w:val="both"/>
        <w:rPr>
          <w:rFonts w:ascii="Arial" w:hAnsi="Arial" w:cs="Arial"/>
          <w:sz w:val="22"/>
          <w:szCs w:val="22"/>
        </w:rPr>
      </w:pPr>
    </w:p>
    <w:p w14:paraId="014A1100" w14:textId="7016D047" w:rsidR="00592C29" w:rsidRDefault="0048296D" w:rsidP="00585E2B">
      <w:pPr>
        <w:jc w:val="both"/>
        <w:rPr>
          <w:rFonts w:ascii="Arial" w:eastAsia="Arial" w:hAnsi="Arial" w:cs="Arial"/>
          <w:sz w:val="22"/>
          <w:szCs w:val="22"/>
        </w:rPr>
      </w:pPr>
      <w:r w:rsidRPr="00585E2B">
        <w:rPr>
          <w:rFonts w:ascii="Arial" w:eastAsia="Arial" w:hAnsi="Arial" w:cs="Arial"/>
          <w:sz w:val="22"/>
          <w:szCs w:val="22"/>
        </w:rPr>
        <w:t>The following is out of scope for Lloyd’s Brussels business:</w:t>
      </w:r>
    </w:p>
    <w:p w14:paraId="36412E4D" w14:textId="77777777" w:rsidR="00585E2B" w:rsidRPr="00585E2B" w:rsidRDefault="00585E2B" w:rsidP="00585E2B">
      <w:pPr>
        <w:jc w:val="both"/>
        <w:rPr>
          <w:rFonts w:ascii="Arial" w:hAnsi="Arial" w:cs="Arial"/>
          <w:sz w:val="22"/>
          <w:szCs w:val="22"/>
        </w:rPr>
      </w:pPr>
    </w:p>
    <w:p w14:paraId="117AD37B" w14:textId="77777777" w:rsidR="00592C29" w:rsidRPr="00585E2B" w:rsidRDefault="0048296D" w:rsidP="00585E2B">
      <w:pPr>
        <w:numPr>
          <w:ilvl w:val="0"/>
          <w:numId w:val="44"/>
        </w:numPr>
        <w:pBdr>
          <w:left w:val="none" w:sz="0" w:space="7" w:color="auto"/>
        </w:pBdr>
        <w:ind w:hanging="350"/>
        <w:jc w:val="both"/>
        <w:rPr>
          <w:rFonts w:ascii="Arial" w:hAnsi="Arial" w:cs="Arial"/>
          <w:sz w:val="22"/>
          <w:szCs w:val="22"/>
        </w:rPr>
      </w:pPr>
      <w:r w:rsidRPr="00585E2B">
        <w:rPr>
          <w:rFonts w:ascii="Arial" w:eastAsia="Trebuchet MS" w:hAnsi="Arial" w:cs="Arial"/>
          <w:sz w:val="22"/>
          <w:szCs w:val="22"/>
        </w:rPr>
        <w:t>Proportional treaty reinsurance contracts</w:t>
      </w:r>
    </w:p>
    <w:p w14:paraId="300FC06F" w14:textId="77777777" w:rsidR="00592C29" w:rsidRPr="00585E2B" w:rsidRDefault="0048296D" w:rsidP="00585E2B">
      <w:pPr>
        <w:numPr>
          <w:ilvl w:val="0"/>
          <w:numId w:val="44"/>
        </w:numPr>
        <w:pBdr>
          <w:left w:val="none" w:sz="0" w:space="7" w:color="auto"/>
        </w:pBdr>
        <w:ind w:hanging="350"/>
        <w:jc w:val="both"/>
        <w:rPr>
          <w:rFonts w:ascii="Arial" w:hAnsi="Arial" w:cs="Arial"/>
          <w:sz w:val="22"/>
          <w:szCs w:val="22"/>
        </w:rPr>
      </w:pPr>
      <w:r w:rsidRPr="00585E2B">
        <w:rPr>
          <w:rFonts w:ascii="Arial" w:eastAsia="Trebuchet MS" w:hAnsi="Arial" w:cs="Arial"/>
          <w:sz w:val="22"/>
          <w:szCs w:val="22"/>
        </w:rPr>
        <w:t>All insurance or reinsurance transactions settled outside Lloyd’s Central Settlement</w:t>
      </w:r>
    </w:p>
    <w:p w14:paraId="67562622" w14:textId="77777777" w:rsidR="00592C29" w:rsidRPr="00585E2B" w:rsidRDefault="0048296D" w:rsidP="00585E2B">
      <w:pPr>
        <w:numPr>
          <w:ilvl w:val="0"/>
          <w:numId w:val="44"/>
        </w:numPr>
        <w:pBdr>
          <w:left w:val="none" w:sz="0" w:space="7" w:color="auto"/>
        </w:pBdr>
        <w:ind w:hanging="350"/>
        <w:jc w:val="both"/>
        <w:rPr>
          <w:rFonts w:ascii="Arial" w:hAnsi="Arial" w:cs="Arial"/>
          <w:sz w:val="22"/>
          <w:szCs w:val="22"/>
        </w:rPr>
      </w:pPr>
      <w:r w:rsidRPr="00585E2B">
        <w:rPr>
          <w:rFonts w:ascii="Arial" w:eastAsia="Trebuchet MS" w:hAnsi="Arial" w:cs="Arial"/>
          <w:sz w:val="22"/>
          <w:szCs w:val="22"/>
        </w:rPr>
        <w:t>Lloyd’s Direct Reporting Service</w:t>
      </w:r>
    </w:p>
    <w:p w14:paraId="6F01CEF3" w14:textId="77777777" w:rsidR="00592C29" w:rsidRPr="00585E2B" w:rsidRDefault="00592C29" w:rsidP="00585E2B">
      <w:pPr>
        <w:jc w:val="both"/>
        <w:rPr>
          <w:rFonts w:ascii="Arial" w:hAnsi="Arial" w:cs="Arial"/>
          <w:sz w:val="22"/>
          <w:szCs w:val="22"/>
        </w:rPr>
      </w:pPr>
    </w:p>
    <w:p w14:paraId="05F1E818" w14:textId="77777777" w:rsidR="00585E2B" w:rsidRDefault="00585E2B" w:rsidP="00585E2B">
      <w:pPr>
        <w:jc w:val="both"/>
        <w:rPr>
          <w:rFonts w:ascii="Arial" w:eastAsia="Arial" w:hAnsi="Arial" w:cs="Arial"/>
          <w:sz w:val="22"/>
          <w:szCs w:val="22"/>
        </w:rPr>
      </w:pPr>
    </w:p>
    <w:p w14:paraId="36653500" w14:textId="77777777" w:rsidR="00585E2B" w:rsidRDefault="00585E2B">
      <w:pPr>
        <w:rPr>
          <w:rFonts w:ascii="Arial" w:eastAsia="Arial" w:hAnsi="Arial" w:cs="Arial"/>
          <w:sz w:val="22"/>
          <w:szCs w:val="22"/>
        </w:rPr>
      </w:pPr>
      <w:r>
        <w:rPr>
          <w:rFonts w:ascii="Arial" w:eastAsia="Arial" w:hAnsi="Arial" w:cs="Arial"/>
          <w:sz w:val="22"/>
          <w:szCs w:val="22"/>
        </w:rPr>
        <w:br w:type="page"/>
      </w:r>
    </w:p>
    <w:p w14:paraId="336D2FFF" w14:textId="2C619386" w:rsidR="00592C29" w:rsidRPr="00585E2B" w:rsidRDefault="0048296D" w:rsidP="00585E2B">
      <w:pPr>
        <w:jc w:val="both"/>
        <w:rPr>
          <w:rFonts w:ascii="Arial" w:eastAsia="Arial" w:hAnsi="Arial" w:cs="Arial"/>
          <w:b/>
          <w:sz w:val="22"/>
          <w:szCs w:val="22"/>
        </w:rPr>
      </w:pPr>
      <w:r w:rsidRPr="00585E2B">
        <w:rPr>
          <w:rFonts w:ascii="Arial" w:eastAsia="Arial" w:hAnsi="Arial" w:cs="Arial"/>
          <w:b/>
          <w:sz w:val="22"/>
          <w:szCs w:val="22"/>
        </w:rPr>
        <w:lastRenderedPageBreak/>
        <w:t>Supported Business Scenarios</w:t>
      </w:r>
    </w:p>
    <w:p w14:paraId="1BC61346" w14:textId="77777777" w:rsidR="00585E2B" w:rsidRPr="00585E2B" w:rsidRDefault="00585E2B" w:rsidP="00585E2B">
      <w:pPr>
        <w:jc w:val="both"/>
        <w:rPr>
          <w:rFonts w:ascii="Arial" w:hAnsi="Arial" w:cs="Arial"/>
          <w:sz w:val="22"/>
          <w:szCs w:val="22"/>
        </w:rPr>
      </w:pPr>
    </w:p>
    <w:p w14:paraId="7ED71CE1" w14:textId="63AF191D" w:rsidR="00592C29" w:rsidRDefault="0048296D" w:rsidP="00585E2B">
      <w:pPr>
        <w:jc w:val="both"/>
        <w:rPr>
          <w:rFonts w:ascii="Arial" w:eastAsia="Arial" w:hAnsi="Arial" w:cs="Arial"/>
          <w:sz w:val="22"/>
          <w:szCs w:val="22"/>
        </w:rPr>
      </w:pPr>
      <w:r w:rsidRPr="00585E2B">
        <w:rPr>
          <w:rFonts w:ascii="Arial" w:eastAsia="Arial" w:hAnsi="Arial" w:cs="Arial"/>
          <w:sz w:val="22"/>
          <w:szCs w:val="22"/>
        </w:rPr>
        <w:t>The Endorsement Operational Guidance provides process guidelines for the following scenarios:</w:t>
      </w:r>
    </w:p>
    <w:p w14:paraId="4F635EC0" w14:textId="77777777" w:rsidR="00585E2B" w:rsidRPr="00585E2B" w:rsidRDefault="00585E2B" w:rsidP="00585E2B">
      <w:pPr>
        <w:jc w:val="both"/>
        <w:rPr>
          <w:rFonts w:ascii="Arial" w:hAnsi="Arial" w:cs="Arial"/>
          <w:sz w:val="22"/>
          <w:szCs w:val="22"/>
        </w:rPr>
      </w:pPr>
    </w:p>
    <w:p w14:paraId="1D7BDC60" w14:textId="77777777" w:rsidR="00592C29" w:rsidRPr="00585E2B" w:rsidRDefault="0048296D" w:rsidP="00585E2B">
      <w:pPr>
        <w:ind w:left="720"/>
        <w:jc w:val="both"/>
        <w:rPr>
          <w:rFonts w:ascii="Arial" w:hAnsi="Arial" w:cs="Arial"/>
          <w:sz w:val="22"/>
          <w:szCs w:val="22"/>
        </w:rPr>
      </w:pPr>
      <w:r w:rsidRPr="00585E2B">
        <w:rPr>
          <w:rFonts w:ascii="Arial" w:eastAsia="Arial" w:hAnsi="Arial" w:cs="Arial"/>
          <w:sz w:val="22"/>
          <w:szCs w:val="22"/>
        </w:rPr>
        <w:t>1. A new EEA section on which Lloyd’s Brussels is participating;</w:t>
      </w:r>
    </w:p>
    <w:p w14:paraId="33C2136F" w14:textId="77777777" w:rsidR="00592C29" w:rsidRPr="00585E2B" w:rsidRDefault="0048296D" w:rsidP="00585E2B">
      <w:pPr>
        <w:ind w:left="720"/>
        <w:jc w:val="both"/>
        <w:rPr>
          <w:rFonts w:ascii="Arial" w:hAnsi="Arial" w:cs="Arial"/>
          <w:sz w:val="22"/>
          <w:szCs w:val="22"/>
        </w:rPr>
      </w:pPr>
      <w:r w:rsidRPr="00585E2B">
        <w:rPr>
          <w:rFonts w:ascii="Arial" w:eastAsia="Arial" w:hAnsi="Arial" w:cs="Arial"/>
          <w:sz w:val="22"/>
          <w:szCs w:val="22"/>
        </w:rPr>
        <w:t xml:space="preserve">2. A </w:t>
      </w:r>
      <w:proofErr w:type="spellStart"/>
      <w:r w:rsidRPr="00585E2B">
        <w:rPr>
          <w:rFonts w:ascii="Arial" w:eastAsia="Arial" w:hAnsi="Arial" w:cs="Arial"/>
          <w:sz w:val="22"/>
          <w:szCs w:val="22"/>
        </w:rPr>
        <w:t>mid term</w:t>
      </w:r>
      <w:proofErr w:type="spellEnd"/>
      <w:r w:rsidRPr="00585E2B">
        <w:rPr>
          <w:rFonts w:ascii="Arial" w:eastAsia="Arial" w:hAnsi="Arial" w:cs="Arial"/>
          <w:sz w:val="22"/>
          <w:szCs w:val="22"/>
        </w:rPr>
        <w:t xml:space="preserve"> market change which brings a new Lloyd’s Brussels carrier on risk;</w:t>
      </w:r>
    </w:p>
    <w:p w14:paraId="37706AE2" w14:textId="77777777" w:rsidR="00592C29" w:rsidRPr="00585E2B" w:rsidRDefault="0048296D" w:rsidP="00585E2B">
      <w:pPr>
        <w:ind w:left="720"/>
        <w:jc w:val="both"/>
        <w:rPr>
          <w:rFonts w:ascii="Arial" w:hAnsi="Arial" w:cs="Arial"/>
          <w:sz w:val="22"/>
          <w:szCs w:val="22"/>
        </w:rPr>
      </w:pPr>
      <w:r w:rsidRPr="00585E2B">
        <w:rPr>
          <w:rFonts w:ascii="Arial" w:eastAsia="Arial" w:hAnsi="Arial" w:cs="Arial"/>
          <w:sz w:val="22"/>
          <w:szCs w:val="22"/>
        </w:rPr>
        <w:t>3. A long term agreement which is subject to annual resigning; or</w:t>
      </w:r>
    </w:p>
    <w:p w14:paraId="6EC1269B" w14:textId="77777777" w:rsidR="00592C29" w:rsidRPr="00585E2B" w:rsidRDefault="0048296D" w:rsidP="00585E2B">
      <w:pPr>
        <w:ind w:left="720"/>
        <w:jc w:val="both"/>
        <w:rPr>
          <w:rFonts w:ascii="Arial" w:hAnsi="Arial" w:cs="Arial"/>
          <w:sz w:val="22"/>
          <w:szCs w:val="22"/>
        </w:rPr>
      </w:pPr>
      <w:r w:rsidRPr="00585E2B">
        <w:rPr>
          <w:rFonts w:ascii="Arial" w:eastAsia="Arial" w:hAnsi="Arial" w:cs="Arial"/>
          <w:sz w:val="22"/>
          <w:szCs w:val="22"/>
        </w:rPr>
        <w:t>4. A long term agreement which brings a new Lloyd’s Brussels carrier on risk</w:t>
      </w:r>
    </w:p>
    <w:p w14:paraId="1A6D7AC9" w14:textId="77777777" w:rsidR="00585E2B" w:rsidRDefault="00585E2B" w:rsidP="00585E2B">
      <w:pPr>
        <w:jc w:val="both"/>
        <w:rPr>
          <w:rFonts w:ascii="Arial" w:eastAsia="Arial" w:hAnsi="Arial" w:cs="Arial"/>
          <w:sz w:val="22"/>
          <w:szCs w:val="22"/>
        </w:rPr>
      </w:pPr>
    </w:p>
    <w:p w14:paraId="02F30598" w14:textId="18DE1237" w:rsidR="00592C29" w:rsidRPr="00585E2B" w:rsidRDefault="0048296D" w:rsidP="00585E2B">
      <w:pPr>
        <w:jc w:val="both"/>
        <w:rPr>
          <w:rFonts w:ascii="Arial" w:hAnsi="Arial" w:cs="Arial"/>
          <w:sz w:val="22"/>
          <w:szCs w:val="22"/>
        </w:rPr>
      </w:pPr>
      <w:r w:rsidRPr="00585E2B">
        <w:rPr>
          <w:rFonts w:ascii="Arial" w:eastAsia="Arial" w:hAnsi="Arial" w:cs="Arial"/>
          <w:sz w:val="22"/>
          <w:szCs w:val="22"/>
        </w:rPr>
        <w:t>All of these require the creation of an Endorsement MRC.</w:t>
      </w:r>
    </w:p>
    <w:p w14:paraId="6EC123B8" w14:textId="77777777" w:rsidR="00585E2B" w:rsidRDefault="00585E2B" w:rsidP="00585E2B">
      <w:pPr>
        <w:jc w:val="both"/>
        <w:rPr>
          <w:rFonts w:ascii="Arial" w:eastAsia="Arial" w:hAnsi="Arial" w:cs="Arial"/>
          <w:sz w:val="22"/>
          <w:szCs w:val="22"/>
        </w:rPr>
      </w:pPr>
    </w:p>
    <w:p w14:paraId="402A404E" w14:textId="750C2A56" w:rsidR="00592C29" w:rsidRPr="00585E2B" w:rsidRDefault="0048296D" w:rsidP="00585E2B">
      <w:pPr>
        <w:jc w:val="both"/>
        <w:rPr>
          <w:rFonts w:ascii="Arial" w:hAnsi="Arial" w:cs="Arial"/>
          <w:sz w:val="22"/>
          <w:szCs w:val="22"/>
        </w:rPr>
      </w:pPr>
      <w:r w:rsidRPr="00585E2B">
        <w:rPr>
          <w:rFonts w:ascii="Arial" w:eastAsia="Arial" w:hAnsi="Arial" w:cs="Arial"/>
          <w:sz w:val="22"/>
          <w:szCs w:val="22"/>
        </w:rPr>
        <w:t>Where the endorsement is not in respect of one of these scenarios, the existing market endorsement processes should be followed, and any supporting documentation should be in line with existing market practice.</w:t>
      </w:r>
    </w:p>
    <w:p w14:paraId="2FF1D0FF" w14:textId="4E51B209" w:rsidR="00592C29" w:rsidRDefault="00592C29" w:rsidP="00585E2B">
      <w:pPr>
        <w:jc w:val="both"/>
        <w:rPr>
          <w:rFonts w:ascii="Arial" w:hAnsi="Arial" w:cs="Arial"/>
          <w:sz w:val="22"/>
          <w:szCs w:val="22"/>
        </w:rPr>
      </w:pPr>
    </w:p>
    <w:p w14:paraId="2F27E62D" w14:textId="77777777" w:rsidR="00585E2B" w:rsidRPr="00585E2B" w:rsidRDefault="00585E2B" w:rsidP="00585E2B">
      <w:pPr>
        <w:jc w:val="both"/>
        <w:rPr>
          <w:rFonts w:ascii="Arial" w:hAnsi="Arial" w:cs="Arial"/>
          <w:sz w:val="22"/>
          <w:szCs w:val="22"/>
        </w:rPr>
      </w:pPr>
    </w:p>
    <w:p w14:paraId="6AEB9D40" w14:textId="02843B11" w:rsidR="00592C29" w:rsidRPr="00585E2B" w:rsidRDefault="0048296D" w:rsidP="00585E2B">
      <w:pPr>
        <w:jc w:val="both"/>
        <w:rPr>
          <w:rFonts w:ascii="Arial" w:eastAsia="Arial" w:hAnsi="Arial" w:cs="Arial"/>
          <w:b/>
          <w:sz w:val="22"/>
          <w:szCs w:val="22"/>
        </w:rPr>
      </w:pPr>
      <w:r w:rsidRPr="00585E2B">
        <w:rPr>
          <w:rFonts w:ascii="Arial" w:eastAsia="Arial" w:hAnsi="Arial" w:cs="Arial"/>
          <w:b/>
          <w:sz w:val="22"/>
          <w:szCs w:val="22"/>
        </w:rPr>
        <w:t>Endorsement MRCs</w:t>
      </w:r>
    </w:p>
    <w:p w14:paraId="25DA99F9" w14:textId="77777777" w:rsidR="00585E2B" w:rsidRPr="00585E2B" w:rsidRDefault="00585E2B" w:rsidP="00585E2B">
      <w:pPr>
        <w:jc w:val="both"/>
        <w:rPr>
          <w:rFonts w:ascii="Arial" w:hAnsi="Arial" w:cs="Arial"/>
          <w:sz w:val="22"/>
          <w:szCs w:val="22"/>
        </w:rPr>
      </w:pPr>
    </w:p>
    <w:p w14:paraId="6BFC9F8D" w14:textId="77777777" w:rsidR="00592C29" w:rsidRPr="00585E2B" w:rsidRDefault="0048296D" w:rsidP="00585E2B">
      <w:pPr>
        <w:jc w:val="both"/>
        <w:rPr>
          <w:rFonts w:ascii="Arial" w:hAnsi="Arial" w:cs="Arial"/>
          <w:sz w:val="22"/>
          <w:szCs w:val="22"/>
        </w:rPr>
      </w:pPr>
      <w:r w:rsidRPr="00585E2B">
        <w:rPr>
          <w:rFonts w:ascii="Arial" w:eastAsia="Arial" w:hAnsi="Arial" w:cs="Arial"/>
          <w:sz w:val="22"/>
          <w:szCs w:val="22"/>
        </w:rPr>
        <w:t>Processing constraints within Lloyd’s Brussels originally prohibited the automatic creation of</w:t>
      </w:r>
    </w:p>
    <w:p w14:paraId="5581D570" w14:textId="77777777" w:rsidR="00592C29" w:rsidRPr="00585E2B" w:rsidRDefault="0048296D" w:rsidP="00585E2B">
      <w:pPr>
        <w:jc w:val="both"/>
        <w:rPr>
          <w:rFonts w:ascii="Arial" w:hAnsi="Arial" w:cs="Arial"/>
          <w:sz w:val="22"/>
          <w:szCs w:val="22"/>
        </w:rPr>
      </w:pPr>
      <w:r w:rsidRPr="00585E2B">
        <w:rPr>
          <w:rFonts w:ascii="Arial" w:eastAsia="Arial" w:hAnsi="Arial" w:cs="Arial"/>
          <w:sz w:val="22"/>
          <w:szCs w:val="22"/>
        </w:rPr>
        <w:t>policy records by Lloyd’s Brussels where Lloyd’s Brussels carriers are brought on risk mid-term</w:t>
      </w:r>
    </w:p>
    <w:p w14:paraId="70E61535" w14:textId="77777777" w:rsidR="00592C29" w:rsidRPr="00585E2B" w:rsidRDefault="0048296D" w:rsidP="00585E2B">
      <w:pPr>
        <w:jc w:val="both"/>
        <w:rPr>
          <w:rFonts w:ascii="Arial" w:hAnsi="Arial" w:cs="Arial"/>
          <w:sz w:val="22"/>
          <w:szCs w:val="22"/>
        </w:rPr>
      </w:pPr>
      <w:r w:rsidRPr="00585E2B">
        <w:rPr>
          <w:rFonts w:ascii="Arial" w:eastAsia="Arial" w:hAnsi="Arial" w:cs="Arial"/>
          <w:sz w:val="22"/>
          <w:szCs w:val="22"/>
        </w:rPr>
        <w:t>or where Lloyd’s Brussels markets are binding a new section on an existing MRC.</w:t>
      </w:r>
    </w:p>
    <w:p w14:paraId="45C88532" w14:textId="77777777" w:rsidR="00592C29" w:rsidRPr="00585E2B" w:rsidRDefault="00592C29" w:rsidP="00585E2B">
      <w:pPr>
        <w:jc w:val="both"/>
        <w:rPr>
          <w:rFonts w:ascii="Arial" w:hAnsi="Arial" w:cs="Arial"/>
          <w:sz w:val="22"/>
          <w:szCs w:val="22"/>
        </w:rPr>
      </w:pPr>
    </w:p>
    <w:p w14:paraId="38AA9B38" w14:textId="77777777" w:rsidR="00592C29" w:rsidRPr="00585E2B" w:rsidRDefault="0048296D" w:rsidP="00585E2B">
      <w:pPr>
        <w:jc w:val="both"/>
        <w:rPr>
          <w:rFonts w:ascii="Arial" w:hAnsi="Arial" w:cs="Arial"/>
          <w:sz w:val="22"/>
          <w:szCs w:val="22"/>
        </w:rPr>
      </w:pPr>
      <w:r w:rsidRPr="00585E2B">
        <w:rPr>
          <w:rFonts w:ascii="Arial" w:eastAsia="Arial" w:hAnsi="Arial" w:cs="Arial"/>
          <w:sz w:val="22"/>
          <w:szCs w:val="22"/>
        </w:rPr>
        <w:t>The creation of a policy record by Lloyd’s Brussels is dependent on full MRC standard documents being submitted to SDC. As endorsements are stand-alone documents Lloyd’s Brussels automatic policy creation is not possible. Due to the potential volumes, manual policy creation is not feasible.</w:t>
      </w:r>
    </w:p>
    <w:p w14:paraId="041174D6" w14:textId="77777777" w:rsidR="00592C29" w:rsidRPr="00585E2B" w:rsidRDefault="00592C29" w:rsidP="00585E2B">
      <w:pPr>
        <w:jc w:val="both"/>
        <w:rPr>
          <w:rFonts w:ascii="Arial" w:hAnsi="Arial" w:cs="Arial"/>
          <w:sz w:val="22"/>
          <w:szCs w:val="22"/>
        </w:rPr>
      </w:pPr>
    </w:p>
    <w:p w14:paraId="2CBBDFC7" w14:textId="77777777" w:rsidR="00592C29" w:rsidRPr="00585E2B" w:rsidRDefault="0048296D" w:rsidP="00585E2B">
      <w:pPr>
        <w:jc w:val="both"/>
        <w:rPr>
          <w:rFonts w:ascii="Arial" w:hAnsi="Arial" w:cs="Arial"/>
          <w:sz w:val="22"/>
          <w:szCs w:val="22"/>
        </w:rPr>
      </w:pPr>
      <w:r w:rsidRPr="00585E2B">
        <w:rPr>
          <w:rFonts w:ascii="Arial" w:eastAsia="Arial" w:hAnsi="Arial" w:cs="Arial"/>
          <w:sz w:val="22"/>
          <w:szCs w:val="22"/>
        </w:rPr>
        <w:t>Options for bringing Lloyd’s Brussels on risk mid-term have previously been offered to the market, including inclusion of the automatic acquisition clause/section on all policies where EEA exposure may be acquired mid-term or, removing Lloyd’s syndicates from the risk and establishing a separate, independent policy for the EEA portion.</w:t>
      </w:r>
    </w:p>
    <w:p w14:paraId="3E84AB50" w14:textId="77777777" w:rsidR="00592C29" w:rsidRPr="00585E2B" w:rsidRDefault="00592C29" w:rsidP="00585E2B">
      <w:pPr>
        <w:jc w:val="both"/>
        <w:rPr>
          <w:rFonts w:ascii="Arial" w:hAnsi="Arial" w:cs="Arial"/>
          <w:sz w:val="22"/>
          <w:szCs w:val="22"/>
        </w:rPr>
      </w:pPr>
    </w:p>
    <w:p w14:paraId="02ACE3A0" w14:textId="6904B779" w:rsidR="00592C29" w:rsidRDefault="0048296D" w:rsidP="00585E2B">
      <w:pPr>
        <w:jc w:val="both"/>
        <w:rPr>
          <w:rFonts w:ascii="Arial" w:eastAsia="Arial" w:hAnsi="Arial" w:cs="Arial"/>
          <w:sz w:val="22"/>
          <w:szCs w:val="22"/>
        </w:rPr>
      </w:pPr>
      <w:r w:rsidRPr="00585E2B">
        <w:rPr>
          <w:rFonts w:ascii="Arial" w:eastAsia="Arial" w:hAnsi="Arial" w:cs="Arial"/>
          <w:sz w:val="22"/>
          <w:szCs w:val="22"/>
        </w:rPr>
        <w:t>A third option, to endorse a new MRC (called an Endorsement MRC) to the existing MRC has now been made available to the market, which can be applied in the following cases:</w:t>
      </w:r>
    </w:p>
    <w:p w14:paraId="74FF9C8F" w14:textId="77777777" w:rsidR="00585E2B" w:rsidRPr="00585E2B" w:rsidRDefault="00585E2B" w:rsidP="00585E2B">
      <w:pPr>
        <w:jc w:val="both"/>
        <w:rPr>
          <w:rFonts w:ascii="Arial" w:hAnsi="Arial" w:cs="Arial"/>
          <w:sz w:val="22"/>
          <w:szCs w:val="22"/>
        </w:rPr>
      </w:pPr>
    </w:p>
    <w:p w14:paraId="3DA51025" w14:textId="77777777" w:rsidR="00592C29" w:rsidRPr="00585E2B" w:rsidRDefault="0048296D" w:rsidP="00585E2B">
      <w:pPr>
        <w:ind w:left="720"/>
        <w:jc w:val="both"/>
        <w:rPr>
          <w:rFonts w:ascii="Arial" w:hAnsi="Arial" w:cs="Arial"/>
          <w:sz w:val="22"/>
          <w:szCs w:val="22"/>
        </w:rPr>
      </w:pPr>
      <w:r w:rsidRPr="00585E2B">
        <w:rPr>
          <w:rFonts w:ascii="Arial" w:eastAsia="Arial" w:hAnsi="Arial" w:cs="Arial"/>
          <w:sz w:val="22"/>
          <w:szCs w:val="22"/>
        </w:rPr>
        <w:t>1. New EEA section with Lloyd’s Brussels participating</w:t>
      </w:r>
    </w:p>
    <w:p w14:paraId="00693CEE" w14:textId="77777777" w:rsidR="00592C29" w:rsidRPr="00585E2B" w:rsidRDefault="0048296D" w:rsidP="00585E2B">
      <w:pPr>
        <w:ind w:left="720"/>
        <w:jc w:val="both"/>
        <w:rPr>
          <w:rFonts w:ascii="Arial" w:hAnsi="Arial" w:cs="Arial"/>
          <w:sz w:val="22"/>
          <w:szCs w:val="22"/>
        </w:rPr>
      </w:pPr>
      <w:r w:rsidRPr="00585E2B">
        <w:rPr>
          <w:rFonts w:ascii="Arial" w:eastAsia="Arial" w:hAnsi="Arial" w:cs="Arial"/>
          <w:sz w:val="22"/>
          <w:szCs w:val="22"/>
        </w:rPr>
        <w:t>2. Mid Term Market Change – bringing Lloyd’s Brussels on risk mid term</w:t>
      </w:r>
    </w:p>
    <w:p w14:paraId="605326A3" w14:textId="77777777" w:rsidR="00592C29" w:rsidRPr="00585E2B" w:rsidRDefault="0048296D" w:rsidP="00585E2B">
      <w:pPr>
        <w:ind w:left="720"/>
        <w:jc w:val="both"/>
        <w:rPr>
          <w:rFonts w:ascii="Arial" w:hAnsi="Arial" w:cs="Arial"/>
          <w:sz w:val="22"/>
          <w:szCs w:val="22"/>
        </w:rPr>
      </w:pPr>
      <w:r w:rsidRPr="00585E2B">
        <w:rPr>
          <w:rFonts w:ascii="Arial" w:eastAsia="Arial" w:hAnsi="Arial" w:cs="Arial"/>
          <w:sz w:val="22"/>
          <w:szCs w:val="22"/>
        </w:rPr>
        <w:t>3. Long Term Agreement – Removing Lloyd’s Syndicates and Adding Lloyd’s Brussels</w:t>
      </w:r>
    </w:p>
    <w:p w14:paraId="70FE338C" w14:textId="77777777" w:rsidR="00592C29" w:rsidRPr="00585E2B" w:rsidRDefault="00592C29" w:rsidP="00585E2B">
      <w:pPr>
        <w:jc w:val="both"/>
        <w:rPr>
          <w:rFonts w:ascii="Arial" w:hAnsi="Arial" w:cs="Arial"/>
          <w:sz w:val="22"/>
          <w:szCs w:val="22"/>
        </w:rPr>
      </w:pPr>
    </w:p>
    <w:p w14:paraId="1D5BE248" w14:textId="77777777" w:rsidR="00585E2B" w:rsidRDefault="00585E2B" w:rsidP="00585E2B">
      <w:pPr>
        <w:jc w:val="both"/>
        <w:rPr>
          <w:rFonts w:ascii="Arial" w:eastAsia="Arial" w:hAnsi="Arial" w:cs="Arial"/>
          <w:sz w:val="22"/>
          <w:szCs w:val="22"/>
        </w:rPr>
      </w:pPr>
    </w:p>
    <w:p w14:paraId="630C8582" w14:textId="03D855B0" w:rsidR="00592C29" w:rsidRPr="00585E2B" w:rsidRDefault="0048296D" w:rsidP="00585E2B">
      <w:pPr>
        <w:jc w:val="both"/>
        <w:rPr>
          <w:rFonts w:ascii="Arial" w:eastAsia="Arial" w:hAnsi="Arial" w:cs="Arial"/>
          <w:b/>
          <w:sz w:val="22"/>
          <w:szCs w:val="22"/>
        </w:rPr>
      </w:pPr>
      <w:r w:rsidRPr="00585E2B">
        <w:rPr>
          <w:rFonts w:ascii="Arial" w:eastAsia="Arial" w:hAnsi="Arial" w:cs="Arial"/>
          <w:b/>
          <w:sz w:val="22"/>
          <w:szCs w:val="22"/>
        </w:rPr>
        <w:t>High Level Operational Process</w:t>
      </w:r>
    </w:p>
    <w:p w14:paraId="6D8AE0A0" w14:textId="77777777" w:rsidR="00585E2B" w:rsidRPr="00585E2B" w:rsidRDefault="00585E2B" w:rsidP="00585E2B">
      <w:pPr>
        <w:jc w:val="both"/>
        <w:rPr>
          <w:rFonts w:ascii="Arial" w:hAnsi="Arial" w:cs="Arial"/>
          <w:sz w:val="22"/>
          <w:szCs w:val="22"/>
        </w:rPr>
      </w:pPr>
    </w:p>
    <w:p w14:paraId="726AAB9C" w14:textId="77777777" w:rsidR="00592C29" w:rsidRPr="00585E2B" w:rsidRDefault="0048296D" w:rsidP="00585E2B">
      <w:pPr>
        <w:jc w:val="both"/>
        <w:rPr>
          <w:rFonts w:ascii="Arial" w:hAnsi="Arial" w:cs="Arial"/>
          <w:sz w:val="22"/>
          <w:szCs w:val="22"/>
        </w:rPr>
      </w:pPr>
      <w:r w:rsidRPr="00585E2B">
        <w:rPr>
          <w:rFonts w:ascii="Arial" w:eastAsia="Trebuchet MS" w:hAnsi="Arial" w:cs="Arial"/>
          <w:sz w:val="22"/>
          <w:szCs w:val="22"/>
        </w:rPr>
        <w:t>Whilst the Endorsement Operational Guidelines contain detailed guidance and process flows for the processing of Lloyd’s Brussels Endorsement MRCs, the following “High Level Operational Process” is also included.</w:t>
      </w:r>
    </w:p>
    <w:p w14:paraId="01466248" w14:textId="77777777" w:rsidR="00592C29" w:rsidRPr="00585E2B" w:rsidRDefault="00592C29" w:rsidP="00984C20">
      <w:pPr>
        <w:rPr>
          <w:sz w:val="22"/>
          <w:szCs w:val="22"/>
        </w:rPr>
      </w:pPr>
    </w:p>
    <w:p w14:paraId="04351922" w14:textId="77777777" w:rsidR="00592C29" w:rsidRPr="00585E2B" w:rsidRDefault="0048296D" w:rsidP="00984C20">
      <w:pPr>
        <w:spacing w:line="276" w:lineRule="auto"/>
        <w:rPr>
          <w:sz w:val="22"/>
          <w:szCs w:val="22"/>
        </w:rPr>
      </w:pPr>
      <w:r w:rsidRPr="00585E2B">
        <w:rPr>
          <w:sz w:val="22"/>
          <w:szCs w:val="22"/>
        </w:rPr>
        <w:br w:type="page"/>
      </w:r>
    </w:p>
    <w:tbl>
      <w:tblPr>
        <w:tblW w:w="0" w:type="auto"/>
        <w:tblInd w:w="116"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668"/>
        <w:gridCol w:w="1617"/>
        <w:gridCol w:w="1127"/>
        <w:gridCol w:w="1259"/>
        <w:gridCol w:w="2342"/>
        <w:gridCol w:w="2562"/>
      </w:tblGrid>
      <w:tr w:rsidR="00585E2B" w:rsidRPr="00585E2B" w14:paraId="31D1FD13" w14:textId="77777777" w:rsidTr="00585E2B">
        <w:tc>
          <w:tcPr>
            <w:tcW w:w="673" w:type="dxa"/>
            <w:tcBorders>
              <w:bottom w:val="single" w:sz="6" w:space="0" w:color="000000"/>
              <w:right w:val="single" w:sz="6" w:space="0" w:color="000000"/>
            </w:tcBorders>
            <w:shd w:val="clear" w:color="auto" w:fill="D9D9D9" w:themeFill="background1" w:themeFillShade="D9"/>
            <w:tcMar>
              <w:top w:w="8" w:type="dxa"/>
              <w:left w:w="108" w:type="dxa"/>
              <w:bottom w:w="8" w:type="dxa"/>
              <w:right w:w="108" w:type="dxa"/>
            </w:tcMar>
            <w:hideMark/>
          </w:tcPr>
          <w:p w14:paraId="0411F0F1" w14:textId="77777777" w:rsidR="00592C29" w:rsidRPr="00585E2B" w:rsidRDefault="0048296D" w:rsidP="00984C20">
            <w:pPr>
              <w:rPr>
                <w:rFonts w:ascii="Arial" w:hAnsi="Arial" w:cs="Arial"/>
                <w:b/>
                <w:sz w:val="20"/>
                <w:szCs w:val="20"/>
              </w:rPr>
            </w:pPr>
            <w:r w:rsidRPr="00585E2B">
              <w:rPr>
                <w:rFonts w:ascii="Arial" w:eastAsia="Arial" w:hAnsi="Arial" w:cs="Arial"/>
                <w:b/>
                <w:sz w:val="20"/>
                <w:szCs w:val="20"/>
              </w:rPr>
              <w:lastRenderedPageBreak/>
              <w:t>Ref</w:t>
            </w:r>
          </w:p>
        </w:tc>
        <w:tc>
          <w:tcPr>
            <w:tcW w:w="1622" w:type="dxa"/>
            <w:tcBorders>
              <w:left w:val="single" w:sz="6" w:space="0" w:color="000000"/>
              <w:bottom w:val="single" w:sz="6" w:space="0" w:color="000000"/>
              <w:right w:val="single" w:sz="6" w:space="0" w:color="000000"/>
            </w:tcBorders>
            <w:shd w:val="clear" w:color="auto" w:fill="D9D9D9" w:themeFill="background1" w:themeFillShade="D9"/>
            <w:tcMar>
              <w:top w:w="8" w:type="dxa"/>
              <w:left w:w="108" w:type="dxa"/>
              <w:bottom w:w="8" w:type="dxa"/>
              <w:right w:w="108" w:type="dxa"/>
            </w:tcMar>
            <w:hideMark/>
          </w:tcPr>
          <w:p w14:paraId="3F550661" w14:textId="77777777" w:rsidR="00592C29" w:rsidRPr="00585E2B" w:rsidRDefault="0048296D" w:rsidP="00984C20">
            <w:pPr>
              <w:rPr>
                <w:rFonts w:ascii="Arial" w:hAnsi="Arial" w:cs="Arial"/>
                <w:b/>
                <w:sz w:val="20"/>
                <w:szCs w:val="20"/>
              </w:rPr>
            </w:pPr>
            <w:r w:rsidRPr="00585E2B">
              <w:rPr>
                <w:rFonts w:ascii="Arial" w:eastAsia="Arial" w:hAnsi="Arial" w:cs="Arial"/>
                <w:b/>
                <w:sz w:val="20"/>
                <w:szCs w:val="20"/>
              </w:rPr>
              <w:t>Endorsement Type</w:t>
            </w:r>
          </w:p>
        </w:tc>
        <w:tc>
          <w:tcPr>
            <w:tcW w:w="1133" w:type="dxa"/>
            <w:tcBorders>
              <w:left w:val="single" w:sz="6" w:space="0" w:color="000000"/>
              <w:bottom w:val="single" w:sz="6" w:space="0" w:color="000000"/>
              <w:right w:val="single" w:sz="6" w:space="0" w:color="000000"/>
            </w:tcBorders>
            <w:shd w:val="clear" w:color="auto" w:fill="D9D9D9" w:themeFill="background1" w:themeFillShade="D9"/>
            <w:tcMar>
              <w:top w:w="8" w:type="dxa"/>
              <w:left w:w="108" w:type="dxa"/>
              <w:bottom w:w="8" w:type="dxa"/>
              <w:right w:w="108" w:type="dxa"/>
            </w:tcMar>
            <w:hideMark/>
          </w:tcPr>
          <w:p w14:paraId="3BE293FA" w14:textId="77777777" w:rsidR="00592C29" w:rsidRPr="00585E2B" w:rsidRDefault="0048296D" w:rsidP="00984C20">
            <w:pPr>
              <w:rPr>
                <w:rFonts w:ascii="Arial" w:hAnsi="Arial" w:cs="Arial"/>
                <w:b/>
                <w:sz w:val="20"/>
                <w:szCs w:val="20"/>
              </w:rPr>
            </w:pPr>
            <w:r w:rsidRPr="00585E2B">
              <w:rPr>
                <w:rFonts w:ascii="Arial" w:eastAsia="Arial" w:hAnsi="Arial" w:cs="Arial"/>
                <w:b/>
                <w:sz w:val="20"/>
                <w:szCs w:val="20"/>
              </w:rPr>
              <w:t>Existing Carriers</w:t>
            </w:r>
          </w:p>
        </w:tc>
        <w:tc>
          <w:tcPr>
            <w:tcW w:w="1271" w:type="dxa"/>
            <w:tcBorders>
              <w:left w:val="single" w:sz="6" w:space="0" w:color="000000"/>
              <w:bottom w:val="single" w:sz="6" w:space="0" w:color="000000"/>
              <w:right w:val="single" w:sz="6" w:space="0" w:color="000000"/>
            </w:tcBorders>
            <w:shd w:val="clear" w:color="auto" w:fill="D9D9D9" w:themeFill="background1" w:themeFillShade="D9"/>
            <w:tcMar>
              <w:top w:w="8" w:type="dxa"/>
              <w:left w:w="108" w:type="dxa"/>
              <w:bottom w:w="8" w:type="dxa"/>
              <w:right w:w="108" w:type="dxa"/>
            </w:tcMar>
            <w:hideMark/>
          </w:tcPr>
          <w:p w14:paraId="7CEA8522" w14:textId="2AB65F15" w:rsidR="00592C29" w:rsidRDefault="0048296D" w:rsidP="00984C20">
            <w:pPr>
              <w:rPr>
                <w:rFonts w:ascii="Arial" w:eastAsia="Arial" w:hAnsi="Arial" w:cs="Arial"/>
                <w:b/>
                <w:sz w:val="20"/>
                <w:szCs w:val="20"/>
              </w:rPr>
            </w:pPr>
            <w:r w:rsidRPr="00585E2B">
              <w:rPr>
                <w:rFonts w:ascii="Arial" w:eastAsia="Arial" w:hAnsi="Arial" w:cs="Arial"/>
                <w:b/>
                <w:sz w:val="20"/>
                <w:szCs w:val="20"/>
              </w:rPr>
              <w:t>Carriers Coming on Risk</w:t>
            </w:r>
          </w:p>
          <w:p w14:paraId="316A841E" w14:textId="77777777" w:rsidR="00585E2B" w:rsidRDefault="00585E2B" w:rsidP="00984C20">
            <w:pPr>
              <w:rPr>
                <w:rFonts w:ascii="Arial" w:eastAsia="Arial" w:hAnsi="Arial" w:cs="Arial"/>
                <w:b/>
                <w:sz w:val="20"/>
                <w:szCs w:val="20"/>
              </w:rPr>
            </w:pPr>
          </w:p>
          <w:p w14:paraId="7E53B2EF" w14:textId="3236D733" w:rsidR="00585E2B" w:rsidRPr="00585E2B" w:rsidRDefault="00585E2B" w:rsidP="00984C20">
            <w:pPr>
              <w:rPr>
                <w:rFonts w:ascii="Arial" w:hAnsi="Arial" w:cs="Arial"/>
                <w:b/>
                <w:sz w:val="20"/>
                <w:szCs w:val="20"/>
              </w:rPr>
            </w:pPr>
          </w:p>
        </w:tc>
        <w:tc>
          <w:tcPr>
            <w:tcW w:w="2383" w:type="dxa"/>
            <w:tcBorders>
              <w:left w:val="single" w:sz="6" w:space="0" w:color="000000"/>
              <w:bottom w:val="single" w:sz="6" w:space="0" w:color="000000"/>
              <w:right w:val="single" w:sz="6" w:space="0" w:color="000000"/>
            </w:tcBorders>
            <w:shd w:val="clear" w:color="auto" w:fill="D9D9D9" w:themeFill="background1" w:themeFillShade="D9"/>
            <w:tcMar>
              <w:top w:w="8" w:type="dxa"/>
              <w:left w:w="108" w:type="dxa"/>
              <w:bottom w:w="8" w:type="dxa"/>
              <w:right w:w="108" w:type="dxa"/>
            </w:tcMar>
            <w:hideMark/>
          </w:tcPr>
          <w:p w14:paraId="6C048836" w14:textId="77777777" w:rsidR="00592C29" w:rsidRPr="00585E2B" w:rsidRDefault="0048296D" w:rsidP="00984C20">
            <w:pPr>
              <w:rPr>
                <w:rFonts w:ascii="Arial" w:hAnsi="Arial" w:cs="Arial"/>
                <w:b/>
                <w:sz w:val="20"/>
                <w:szCs w:val="20"/>
              </w:rPr>
            </w:pPr>
            <w:r w:rsidRPr="00585E2B">
              <w:rPr>
                <w:rFonts w:ascii="Arial" w:eastAsia="Arial" w:hAnsi="Arial" w:cs="Arial"/>
                <w:b/>
                <w:sz w:val="20"/>
                <w:szCs w:val="20"/>
              </w:rPr>
              <w:t>Broker Process</w:t>
            </w:r>
          </w:p>
        </w:tc>
        <w:tc>
          <w:tcPr>
            <w:tcW w:w="2609" w:type="dxa"/>
            <w:tcBorders>
              <w:left w:val="single" w:sz="6" w:space="0" w:color="000000"/>
              <w:bottom w:val="single" w:sz="6" w:space="0" w:color="000000"/>
            </w:tcBorders>
            <w:shd w:val="clear" w:color="auto" w:fill="D9D9D9" w:themeFill="background1" w:themeFillShade="D9"/>
            <w:tcMar>
              <w:top w:w="8" w:type="dxa"/>
              <w:left w:w="108" w:type="dxa"/>
              <w:bottom w:w="8" w:type="dxa"/>
              <w:right w:w="108" w:type="dxa"/>
            </w:tcMar>
            <w:hideMark/>
          </w:tcPr>
          <w:p w14:paraId="04EA7688" w14:textId="77777777" w:rsidR="00592C29" w:rsidRPr="00585E2B" w:rsidRDefault="0048296D" w:rsidP="00984C20">
            <w:pPr>
              <w:rPr>
                <w:rFonts w:ascii="Arial" w:hAnsi="Arial" w:cs="Arial"/>
                <w:b/>
                <w:sz w:val="20"/>
                <w:szCs w:val="20"/>
              </w:rPr>
            </w:pPr>
            <w:r w:rsidRPr="00585E2B">
              <w:rPr>
                <w:rFonts w:ascii="Arial" w:eastAsia="Arial" w:hAnsi="Arial" w:cs="Arial"/>
                <w:b/>
                <w:sz w:val="20"/>
                <w:szCs w:val="20"/>
              </w:rPr>
              <w:t xml:space="preserve">Managing Agent Process </w:t>
            </w:r>
          </w:p>
        </w:tc>
      </w:tr>
      <w:tr w:rsidR="00585E2B" w:rsidRPr="00585E2B" w14:paraId="491B7552" w14:textId="77777777">
        <w:tc>
          <w:tcPr>
            <w:tcW w:w="673" w:type="dxa"/>
            <w:vMerge w:val="restart"/>
            <w:tcBorders>
              <w:top w:val="single" w:sz="6" w:space="0" w:color="000000"/>
              <w:bottom w:val="single" w:sz="6" w:space="0" w:color="000000"/>
              <w:right w:val="single" w:sz="6" w:space="0" w:color="000000"/>
            </w:tcBorders>
            <w:tcMar>
              <w:top w:w="8" w:type="dxa"/>
              <w:left w:w="108" w:type="dxa"/>
              <w:bottom w:w="8" w:type="dxa"/>
              <w:right w:w="108" w:type="dxa"/>
            </w:tcMar>
            <w:hideMark/>
          </w:tcPr>
          <w:p w14:paraId="5FE6882F" w14:textId="77777777" w:rsidR="00592C29" w:rsidRPr="00585E2B" w:rsidRDefault="0048296D" w:rsidP="00984C20">
            <w:pPr>
              <w:rPr>
                <w:rFonts w:ascii="Arial" w:hAnsi="Arial" w:cs="Arial"/>
                <w:sz w:val="20"/>
                <w:szCs w:val="20"/>
              </w:rPr>
            </w:pPr>
            <w:r w:rsidRPr="00585E2B">
              <w:rPr>
                <w:rFonts w:ascii="Arial" w:eastAsia="Arial" w:hAnsi="Arial" w:cs="Arial"/>
                <w:sz w:val="20"/>
                <w:szCs w:val="20"/>
              </w:rPr>
              <w:t>1.</w:t>
            </w:r>
          </w:p>
        </w:tc>
        <w:tc>
          <w:tcPr>
            <w:tcW w:w="1622" w:type="dxa"/>
            <w:vMerge w:val="restart"/>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2A035B73" w14:textId="77777777" w:rsidR="00592C29" w:rsidRPr="00585E2B" w:rsidRDefault="0048296D" w:rsidP="00984C20">
            <w:pPr>
              <w:rPr>
                <w:rFonts w:ascii="Arial" w:hAnsi="Arial" w:cs="Arial"/>
                <w:sz w:val="20"/>
                <w:szCs w:val="20"/>
              </w:rPr>
            </w:pPr>
            <w:r w:rsidRPr="00585E2B">
              <w:rPr>
                <w:rFonts w:ascii="Arial" w:eastAsia="Arial" w:hAnsi="Arial" w:cs="Arial"/>
                <w:sz w:val="20"/>
                <w:szCs w:val="20"/>
              </w:rPr>
              <w:t>New Section Required</w:t>
            </w:r>
          </w:p>
        </w:tc>
        <w:tc>
          <w:tcPr>
            <w:tcW w:w="113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5DD82597" w14:textId="77777777" w:rsidR="00592C29" w:rsidRPr="00585E2B" w:rsidRDefault="0048296D" w:rsidP="00984C20">
            <w:pPr>
              <w:rPr>
                <w:rFonts w:ascii="Arial" w:hAnsi="Arial" w:cs="Arial"/>
                <w:sz w:val="20"/>
                <w:szCs w:val="20"/>
              </w:rPr>
            </w:pPr>
            <w:r w:rsidRPr="00585E2B">
              <w:rPr>
                <w:rFonts w:ascii="Arial" w:eastAsia="Arial" w:hAnsi="Arial" w:cs="Arial"/>
                <w:sz w:val="20"/>
                <w:szCs w:val="20"/>
              </w:rPr>
              <w:t>Any</w:t>
            </w:r>
          </w:p>
        </w:tc>
        <w:tc>
          <w:tcPr>
            <w:tcW w:w="127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4826F164" w14:textId="77777777" w:rsidR="00592C29" w:rsidRPr="00585E2B" w:rsidRDefault="0048296D" w:rsidP="00984C20">
            <w:pPr>
              <w:rPr>
                <w:rFonts w:ascii="Arial" w:hAnsi="Arial" w:cs="Arial"/>
                <w:sz w:val="20"/>
                <w:szCs w:val="20"/>
              </w:rPr>
            </w:pPr>
            <w:r w:rsidRPr="00585E2B">
              <w:rPr>
                <w:rFonts w:ascii="Arial" w:eastAsia="Arial" w:hAnsi="Arial" w:cs="Arial"/>
                <w:sz w:val="20"/>
                <w:szCs w:val="20"/>
              </w:rPr>
              <w:t>Not Lloyd’s Brussels</w:t>
            </w:r>
          </w:p>
        </w:tc>
        <w:tc>
          <w:tcPr>
            <w:tcW w:w="4992" w:type="dxa"/>
            <w:gridSpan w:val="2"/>
            <w:tcBorders>
              <w:top w:val="single" w:sz="6" w:space="0" w:color="000000"/>
              <w:left w:val="single" w:sz="6" w:space="0" w:color="000000"/>
              <w:bottom w:val="single" w:sz="6" w:space="0" w:color="000000"/>
            </w:tcBorders>
            <w:tcMar>
              <w:top w:w="8" w:type="dxa"/>
              <w:left w:w="108" w:type="dxa"/>
              <w:bottom w:w="8" w:type="dxa"/>
              <w:right w:w="108" w:type="dxa"/>
            </w:tcMar>
            <w:hideMark/>
          </w:tcPr>
          <w:p w14:paraId="19075383" w14:textId="77777777" w:rsidR="00592C29" w:rsidRPr="00585E2B" w:rsidRDefault="0048296D" w:rsidP="00984C20">
            <w:pPr>
              <w:rPr>
                <w:rFonts w:ascii="Arial" w:hAnsi="Arial" w:cs="Arial"/>
                <w:sz w:val="20"/>
                <w:szCs w:val="20"/>
              </w:rPr>
            </w:pPr>
            <w:r w:rsidRPr="00585E2B">
              <w:rPr>
                <w:rFonts w:ascii="Arial" w:eastAsia="Arial" w:hAnsi="Arial" w:cs="Arial"/>
                <w:sz w:val="20"/>
                <w:szCs w:val="20"/>
              </w:rPr>
              <w:t xml:space="preserve">No impact – standard Endorsement </w:t>
            </w:r>
          </w:p>
        </w:tc>
      </w:tr>
      <w:tr w:rsidR="00585E2B" w:rsidRPr="00585E2B" w14:paraId="4D75B59F" w14:textId="77777777">
        <w:tc>
          <w:tcPr>
            <w:tcW w:w="0" w:type="auto"/>
            <w:vMerge/>
            <w:tcBorders>
              <w:top w:val="single" w:sz="6" w:space="0" w:color="000000"/>
              <w:bottom w:val="single" w:sz="6" w:space="0" w:color="000000"/>
              <w:right w:val="single" w:sz="6" w:space="0" w:color="000000"/>
            </w:tcBorders>
            <w:vAlign w:val="center"/>
            <w:hideMark/>
          </w:tcPr>
          <w:p w14:paraId="3D70B57D" w14:textId="77777777" w:rsidR="00592C29" w:rsidRPr="00585E2B" w:rsidRDefault="00592C29" w:rsidP="00984C20">
            <w:pPr>
              <w:rPr>
                <w:rFonts w:ascii="Arial" w:eastAsia="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7EF4910" w14:textId="77777777" w:rsidR="00592C29" w:rsidRPr="00585E2B" w:rsidRDefault="00592C29" w:rsidP="00984C20">
            <w:pPr>
              <w:rPr>
                <w:rFonts w:ascii="Arial" w:eastAsia="Arial" w:hAnsi="Arial" w:cs="Arial"/>
                <w:sz w:val="20"/>
                <w:szCs w:val="20"/>
              </w:rPr>
            </w:pPr>
          </w:p>
        </w:tc>
        <w:tc>
          <w:tcPr>
            <w:tcW w:w="113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21D2BDAF" w14:textId="77777777" w:rsidR="00592C29" w:rsidRPr="00585E2B" w:rsidRDefault="0048296D" w:rsidP="00984C20">
            <w:pPr>
              <w:rPr>
                <w:rFonts w:ascii="Arial" w:hAnsi="Arial" w:cs="Arial"/>
                <w:sz w:val="20"/>
                <w:szCs w:val="20"/>
              </w:rPr>
            </w:pPr>
            <w:r w:rsidRPr="00585E2B">
              <w:rPr>
                <w:rFonts w:ascii="Arial" w:eastAsia="Arial" w:hAnsi="Arial" w:cs="Arial"/>
                <w:sz w:val="20"/>
                <w:szCs w:val="20"/>
              </w:rPr>
              <w:t>Any</w:t>
            </w:r>
          </w:p>
        </w:tc>
        <w:tc>
          <w:tcPr>
            <w:tcW w:w="127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2CC3B85E" w14:textId="77777777" w:rsidR="00592C29" w:rsidRPr="00585E2B" w:rsidRDefault="0048296D" w:rsidP="00984C20">
            <w:pPr>
              <w:rPr>
                <w:rFonts w:ascii="Arial" w:hAnsi="Arial" w:cs="Arial"/>
                <w:sz w:val="20"/>
                <w:szCs w:val="20"/>
              </w:rPr>
            </w:pPr>
            <w:r w:rsidRPr="00585E2B">
              <w:rPr>
                <w:rFonts w:ascii="Arial" w:eastAsia="Arial" w:hAnsi="Arial" w:cs="Arial"/>
                <w:sz w:val="20"/>
                <w:szCs w:val="20"/>
              </w:rPr>
              <w:t>Includes Lloyd’s Brussels or is only Lloyd’s Brussels</w:t>
            </w:r>
          </w:p>
        </w:tc>
        <w:tc>
          <w:tcPr>
            <w:tcW w:w="238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6B84C729" w14:textId="77777777" w:rsidR="00592C29" w:rsidRPr="00585E2B" w:rsidRDefault="0048296D" w:rsidP="00984C20">
            <w:pPr>
              <w:rPr>
                <w:rFonts w:ascii="Arial" w:hAnsi="Arial" w:cs="Arial"/>
                <w:sz w:val="20"/>
                <w:szCs w:val="20"/>
              </w:rPr>
            </w:pPr>
            <w:r w:rsidRPr="00585E2B">
              <w:rPr>
                <w:rFonts w:ascii="Arial" w:eastAsia="Arial" w:hAnsi="Arial" w:cs="Arial"/>
                <w:sz w:val="20"/>
                <w:szCs w:val="20"/>
              </w:rPr>
              <w:t>1. Produce standard endorsement document to establish relationship of Endorsement MRC to existing MRC.</w:t>
            </w:r>
          </w:p>
          <w:p w14:paraId="5FD96801" w14:textId="77777777" w:rsidR="00592C29" w:rsidRPr="00585E2B" w:rsidRDefault="0048296D" w:rsidP="00984C20">
            <w:pPr>
              <w:rPr>
                <w:rFonts w:ascii="Arial" w:hAnsi="Arial" w:cs="Arial"/>
                <w:sz w:val="20"/>
                <w:szCs w:val="20"/>
              </w:rPr>
            </w:pPr>
            <w:r w:rsidRPr="00585E2B">
              <w:rPr>
                <w:rFonts w:ascii="Arial" w:eastAsia="Arial" w:hAnsi="Arial" w:cs="Arial"/>
                <w:sz w:val="20"/>
                <w:szCs w:val="20"/>
              </w:rPr>
              <w:t>2. Produce Endorsement MRC for signing by all carriers on new section.</w:t>
            </w:r>
          </w:p>
          <w:p w14:paraId="3277CECC" w14:textId="77777777" w:rsidR="00592C29" w:rsidRPr="00585E2B" w:rsidRDefault="0048296D" w:rsidP="00984C20">
            <w:pPr>
              <w:rPr>
                <w:rFonts w:ascii="Arial" w:hAnsi="Arial" w:cs="Arial"/>
                <w:sz w:val="20"/>
                <w:szCs w:val="20"/>
              </w:rPr>
            </w:pPr>
            <w:r w:rsidRPr="00585E2B">
              <w:rPr>
                <w:rFonts w:ascii="Arial" w:eastAsia="Arial" w:hAnsi="Arial" w:cs="Arial"/>
                <w:sz w:val="20"/>
                <w:szCs w:val="20"/>
              </w:rPr>
              <w:t>3. Submit both to DXC for signing using existing submission channels and processes.</w:t>
            </w:r>
          </w:p>
        </w:tc>
        <w:tc>
          <w:tcPr>
            <w:tcW w:w="2609" w:type="dxa"/>
            <w:tcBorders>
              <w:top w:val="single" w:sz="6" w:space="0" w:color="000000"/>
              <w:left w:val="single" w:sz="6" w:space="0" w:color="000000"/>
              <w:bottom w:val="single" w:sz="6" w:space="0" w:color="000000"/>
            </w:tcBorders>
            <w:tcMar>
              <w:top w:w="8" w:type="dxa"/>
              <w:left w:w="108" w:type="dxa"/>
              <w:bottom w:w="8" w:type="dxa"/>
              <w:right w:w="108" w:type="dxa"/>
            </w:tcMar>
            <w:hideMark/>
          </w:tcPr>
          <w:p w14:paraId="3945392F" w14:textId="77777777" w:rsidR="00592C29" w:rsidRPr="00585E2B" w:rsidRDefault="0048296D" w:rsidP="00984C20">
            <w:pPr>
              <w:rPr>
                <w:rFonts w:ascii="Arial" w:hAnsi="Arial" w:cs="Arial"/>
                <w:sz w:val="20"/>
                <w:szCs w:val="20"/>
              </w:rPr>
            </w:pPr>
            <w:r w:rsidRPr="00585E2B">
              <w:rPr>
                <w:rFonts w:ascii="Arial" w:eastAsia="Calibri" w:hAnsi="Arial" w:cs="Arial"/>
                <w:sz w:val="20"/>
                <w:szCs w:val="20"/>
              </w:rPr>
              <w:t>1. Carriers to agree standard endorsement in accordance with slip</w:t>
            </w:r>
            <w:r w:rsidRPr="00585E2B">
              <w:rPr>
                <w:rFonts w:ascii="Arial" w:eastAsia="Arial" w:hAnsi="Arial" w:cs="Arial"/>
                <w:sz w:val="20"/>
                <w:szCs w:val="20"/>
              </w:rPr>
              <w:t xml:space="preserve"> </w:t>
            </w:r>
            <w:r w:rsidRPr="00585E2B">
              <w:rPr>
                <w:rFonts w:ascii="Arial" w:eastAsia="Calibri" w:hAnsi="Arial" w:cs="Arial"/>
                <w:sz w:val="20"/>
                <w:szCs w:val="20"/>
              </w:rPr>
              <w:t xml:space="preserve">provisions (GUA </w:t>
            </w:r>
            <w:proofErr w:type="spellStart"/>
            <w:r w:rsidRPr="00585E2B">
              <w:rPr>
                <w:rFonts w:ascii="Arial" w:eastAsia="Calibri" w:hAnsi="Arial" w:cs="Arial"/>
                <w:sz w:val="20"/>
                <w:szCs w:val="20"/>
              </w:rPr>
              <w:t>etc</w:t>
            </w:r>
            <w:proofErr w:type="spellEnd"/>
            <w:r w:rsidRPr="00585E2B">
              <w:rPr>
                <w:rFonts w:ascii="Arial" w:eastAsia="Calibri" w:hAnsi="Arial" w:cs="Arial"/>
                <w:sz w:val="20"/>
                <w:szCs w:val="20"/>
              </w:rPr>
              <w:t>).</w:t>
            </w:r>
          </w:p>
          <w:p w14:paraId="2FAF8815" w14:textId="77777777" w:rsidR="00592C29" w:rsidRPr="00585E2B" w:rsidRDefault="0048296D" w:rsidP="00984C20">
            <w:pPr>
              <w:rPr>
                <w:rFonts w:ascii="Arial" w:hAnsi="Arial" w:cs="Arial"/>
                <w:sz w:val="20"/>
                <w:szCs w:val="20"/>
              </w:rPr>
            </w:pPr>
            <w:r w:rsidRPr="00585E2B">
              <w:rPr>
                <w:rFonts w:ascii="Arial" w:eastAsia="Calibri" w:hAnsi="Arial" w:cs="Arial"/>
                <w:sz w:val="20"/>
                <w:szCs w:val="20"/>
              </w:rPr>
              <w:t>2. All carriers on new section - Add Lloyd’s Brussels stamps to</w:t>
            </w:r>
            <w:r w:rsidRPr="00585E2B">
              <w:rPr>
                <w:rFonts w:ascii="Arial" w:eastAsia="Arial" w:hAnsi="Arial" w:cs="Arial"/>
                <w:sz w:val="20"/>
                <w:szCs w:val="20"/>
              </w:rPr>
              <w:t xml:space="preserve"> </w:t>
            </w:r>
            <w:r w:rsidRPr="00585E2B">
              <w:rPr>
                <w:rFonts w:ascii="Arial" w:eastAsia="Calibri,Bold" w:hAnsi="Arial" w:cs="Arial"/>
                <w:b/>
                <w:bCs/>
                <w:sz w:val="20"/>
                <w:szCs w:val="20"/>
              </w:rPr>
              <w:t>Endorsement MRC</w:t>
            </w:r>
          </w:p>
          <w:p w14:paraId="61EB7D03" w14:textId="77777777" w:rsidR="00592C29" w:rsidRDefault="0048296D" w:rsidP="00984C20">
            <w:pPr>
              <w:rPr>
                <w:rFonts w:ascii="Arial" w:eastAsia="Calibri" w:hAnsi="Arial" w:cs="Arial"/>
                <w:sz w:val="20"/>
                <w:szCs w:val="20"/>
              </w:rPr>
            </w:pPr>
            <w:r w:rsidRPr="00585E2B">
              <w:rPr>
                <w:rFonts w:ascii="Arial" w:eastAsia="Calibri" w:hAnsi="Arial" w:cs="Arial"/>
                <w:sz w:val="20"/>
                <w:szCs w:val="20"/>
              </w:rPr>
              <w:t xml:space="preserve">3. All Lloyd’s Brussels carriers - Submit </w:t>
            </w:r>
            <w:r w:rsidRPr="00585E2B">
              <w:rPr>
                <w:rFonts w:ascii="Arial" w:eastAsia="Calibri,Bold" w:hAnsi="Arial" w:cs="Arial"/>
                <w:b/>
                <w:bCs/>
                <w:sz w:val="20"/>
                <w:szCs w:val="20"/>
              </w:rPr>
              <w:t xml:space="preserve">Endorsement MRC </w:t>
            </w:r>
            <w:r w:rsidRPr="00585E2B">
              <w:rPr>
                <w:rFonts w:ascii="Arial" w:eastAsia="Calibri" w:hAnsi="Arial" w:cs="Arial"/>
                <w:sz w:val="20"/>
                <w:szCs w:val="20"/>
              </w:rPr>
              <w:t>to</w:t>
            </w:r>
            <w:r w:rsidRPr="00585E2B">
              <w:rPr>
                <w:rFonts w:ascii="Arial" w:eastAsia="Arial" w:hAnsi="Arial" w:cs="Arial"/>
                <w:sz w:val="20"/>
                <w:szCs w:val="20"/>
              </w:rPr>
              <w:t xml:space="preserve"> </w:t>
            </w:r>
            <w:r w:rsidRPr="00585E2B">
              <w:rPr>
                <w:rFonts w:ascii="Arial" w:eastAsia="Calibri" w:hAnsi="Arial" w:cs="Arial"/>
                <w:sz w:val="20"/>
                <w:szCs w:val="20"/>
              </w:rPr>
              <w:t>Lloyd’s Brussels using existing submission channels.</w:t>
            </w:r>
          </w:p>
          <w:p w14:paraId="7C045675" w14:textId="33265DDC" w:rsidR="00585E2B" w:rsidRPr="00585E2B" w:rsidRDefault="00585E2B" w:rsidP="00984C20">
            <w:pPr>
              <w:rPr>
                <w:rFonts w:ascii="Arial" w:hAnsi="Arial" w:cs="Arial"/>
                <w:sz w:val="20"/>
                <w:szCs w:val="20"/>
              </w:rPr>
            </w:pPr>
          </w:p>
        </w:tc>
      </w:tr>
      <w:tr w:rsidR="00585E2B" w:rsidRPr="00585E2B" w14:paraId="058A12F2" w14:textId="77777777">
        <w:tc>
          <w:tcPr>
            <w:tcW w:w="673" w:type="dxa"/>
            <w:vMerge w:val="restart"/>
            <w:tcBorders>
              <w:top w:val="single" w:sz="6" w:space="0" w:color="000000"/>
              <w:bottom w:val="single" w:sz="6" w:space="0" w:color="000000"/>
              <w:right w:val="single" w:sz="6" w:space="0" w:color="000000"/>
            </w:tcBorders>
            <w:tcMar>
              <w:top w:w="8" w:type="dxa"/>
              <w:left w:w="108" w:type="dxa"/>
              <w:bottom w:w="8" w:type="dxa"/>
              <w:right w:w="108" w:type="dxa"/>
            </w:tcMar>
            <w:hideMark/>
          </w:tcPr>
          <w:p w14:paraId="37C57CFD" w14:textId="77777777" w:rsidR="00592C29" w:rsidRPr="00585E2B" w:rsidRDefault="0048296D" w:rsidP="00984C20">
            <w:pPr>
              <w:rPr>
                <w:rFonts w:ascii="Arial" w:hAnsi="Arial" w:cs="Arial"/>
                <w:sz w:val="20"/>
                <w:szCs w:val="20"/>
              </w:rPr>
            </w:pPr>
            <w:r w:rsidRPr="00585E2B">
              <w:rPr>
                <w:rFonts w:ascii="Arial" w:eastAsia="Arial" w:hAnsi="Arial" w:cs="Arial"/>
                <w:sz w:val="20"/>
                <w:szCs w:val="20"/>
              </w:rPr>
              <w:t>2.</w:t>
            </w:r>
          </w:p>
        </w:tc>
        <w:tc>
          <w:tcPr>
            <w:tcW w:w="1622" w:type="dxa"/>
            <w:vMerge w:val="restart"/>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2E58C2CA" w14:textId="77777777" w:rsidR="00592C29" w:rsidRPr="00585E2B" w:rsidRDefault="0048296D" w:rsidP="00984C20">
            <w:pPr>
              <w:rPr>
                <w:rFonts w:ascii="Arial" w:hAnsi="Arial" w:cs="Arial"/>
                <w:sz w:val="20"/>
                <w:szCs w:val="20"/>
              </w:rPr>
            </w:pPr>
            <w:r w:rsidRPr="00585E2B">
              <w:rPr>
                <w:rFonts w:ascii="Arial" w:eastAsia="Arial" w:hAnsi="Arial" w:cs="Arial"/>
                <w:sz w:val="20"/>
                <w:szCs w:val="20"/>
              </w:rPr>
              <w:t xml:space="preserve">Mid-term market change </w:t>
            </w:r>
          </w:p>
          <w:p w14:paraId="1E3580CC" w14:textId="77777777" w:rsidR="00592C29" w:rsidRPr="00585E2B" w:rsidRDefault="0048296D" w:rsidP="00984C20">
            <w:pPr>
              <w:rPr>
                <w:rFonts w:ascii="Arial" w:hAnsi="Arial" w:cs="Arial"/>
                <w:sz w:val="20"/>
                <w:szCs w:val="20"/>
              </w:rPr>
            </w:pPr>
            <w:r w:rsidRPr="00585E2B">
              <w:rPr>
                <w:rFonts w:ascii="Arial" w:eastAsia="Arial" w:hAnsi="Arial" w:cs="Arial"/>
                <w:sz w:val="20"/>
                <w:szCs w:val="20"/>
              </w:rPr>
              <w:t>(not LTA related)</w:t>
            </w:r>
          </w:p>
        </w:tc>
        <w:tc>
          <w:tcPr>
            <w:tcW w:w="113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059ADB8B" w14:textId="77777777" w:rsidR="00592C29" w:rsidRPr="00585E2B" w:rsidRDefault="0048296D" w:rsidP="00984C20">
            <w:pPr>
              <w:rPr>
                <w:rFonts w:ascii="Arial" w:hAnsi="Arial" w:cs="Arial"/>
                <w:sz w:val="20"/>
                <w:szCs w:val="20"/>
              </w:rPr>
            </w:pPr>
            <w:r w:rsidRPr="00585E2B">
              <w:rPr>
                <w:rFonts w:ascii="Arial" w:eastAsia="Arial" w:hAnsi="Arial" w:cs="Arial"/>
                <w:sz w:val="20"/>
                <w:szCs w:val="20"/>
              </w:rPr>
              <w:t>Any</w:t>
            </w:r>
          </w:p>
        </w:tc>
        <w:tc>
          <w:tcPr>
            <w:tcW w:w="127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20E51746" w14:textId="77777777" w:rsidR="00592C29" w:rsidRPr="00585E2B" w:rsidRDefault="0048296D" w:rsidP="00984C20">
            <w:pPr>
              <w:rPr>
                <w:rFonts w:ascii="Arial" w:hAnsi="Arial" w:cs="Arial"/>
                <w:sz w:val="20"/>
                <w:szCs w:val="20"/>
              </w:rPr>
            </w:pPr>
            <w:r w:rsidRPr="00585E2B">
              <w:rPr>
                <w:rFonts w:ascii="Arial" w:eastAsia="Arial" w:hAnsi="Arial" w:cs="Arial"/>
                <w:sz w:val="20"/>
                <w:szCs w:val="20"/>
              </w:rPr>
              <w:t>Not Lloyd’s Brussels</w:t>
            </w:r>
          </w:p>
        </w:tc>
        <w:tc>
          <w:tcPr>
            <w:tcW w:w="4992" w:type="dxa"/>
            <w:gridSpan w:val="2"/>
            <w:tcBorders>
              <w:top w:val="single" w:sz="6" w:space="0" w:color="000000"/>
              <w:left w:val="single" w:sz="6" w:space="0" w:color="000000"/>
              <w:bottom w:val="single" w:sz="6" w:space="0" w:color="000000"/>
            </w:tcBorders>
            <w:tcMar>
              <w:top w:w="8" w:type="dxa"/>
              <w:left w:w="108" w:type="dxa"/>
              <w:bottom w:w="8" w:type="dxa"/>
              <w:right w:w="108" w:type="dxa"/>
            </w:tcMar>
            <w:hideMark/>
          </w:tcPr>
          <w:p w14:paraId="0FBA9F9D" w14:textId="77777777" w:rsidR="00592C29" w:rsidRPr="00585E2B" w:rsidRDefault="0048296D" w:rsidP="00984C20">
            <w:pPr>
              <w:rPr>
                <w:rFonts w:ascii="Arial" w:hAnsi="Arial" w:cs="Arial"/>
                <w:sz w:val="20"/>
                <w:szCs w:val="20"/>
              </w:rPr>
            </w:pPr>
            <w:r w:rsidRPr="00585E2B">
              <w:rPr>
                <w:rFonts w:ascii="Arial" w:eastAsia="Arial" w:hAnsi="Arial" w:cs="Arial"/>
                <w:sz w:val="20"/>
                <w:szCs w:val="20"/>
              </w:rPr>
              <w:t xml:space="preserve">No impact – standard Endorsement </w:t>
            </w:r>
          </w:p>
        </w:tc>
      </w:tr>
      <w:tr w:rsidR="00585E2B" w:rsidRPr="00585E2B" w14:paraId="3A952B2B" w14:textId="77777777">
        <w:tc>
          <w:tcPr>
            <w:tcW w:w="0" w:type="auto"/>
            <w:vMerge/>
            <w:tcBorders>
              <w:top w:val="single" w:sz="6" w:space="0" w:color="000000"/>
              <w:bottom w:val="single" w:sz="6" w:space="0" w:color="000000"/>
              <w:right w:val="single" w:sz="6" w:space="0" w:color="000000"/>
            </w:tcBorders>
            <w:vAlign w:val="center"/>
            <w:hideMark/>
          </w:tcPr>
          <w:p w14:paraId="1D057747" w14:textId="77777777" w:rsidR="00592C29" w:rsidRPr="00585E2B" w:rsidRDefault="00592C29" w:rsidP="00984C20">
            <w:pPr>
              <w:rPr>
                <w:rFonts w:ascii="Arial" w:eastAsia="Arial" w:hAnsi="Arial" w:cs="Arial"/>
                <w:sz w:val="20"/>
                <w:szCs w:val="20"/>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5BD9C75" w14:textId="77777777" w:rsidR="00592C29" w:rsidRPr="00585E2B" w:rsidRDefault="00592C29" w:rsidP="00984C20">
            <w:pPr>
              <w:rPr>
                <w:rFonts w:ascii="Arial" w:eastAsia="Arial" w:hAnsi="Arial" w:cs="Arial"/>
                <w:sz w:val="20"/>
                <w:szCs w:val="20"/>
              </w:rPr>
            </w:pPr>
          </w:p>
        </w:tc>
        <w:tc>
          <w:tcPr>
            <w:tcW w:w="113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06282127" w14:textId="77777777" w:rsidR="00592C29" w:rsidRPr="00585E2B" w:rsidRDefault="0048296D" w:rsidP="00984C20">
            <w:pPr>
              <w:rPr>
                <w:rFonts w:ascii="Arial" w:hAnsi="Arial" w:cs="Arial"/>
                <w:sz w:val="20"/>
                <w:szCs w:val="20"/>
              </w:rPr>
            </w:pPr>
            <w:r w:rsidRPr="00585E2B">
              <w:rPr>
                <w:rFonts w:ascii="Arial" w:eastAsia="Arial" w:hAnsi="Arial" w:cs="Arial"/>
                <w:sz w:val="20"/>
                <w:szCs w:val="20"/>
              </w:rPr>
              <w:t>Any</w:t>
            </w:r>
          </w:p>
        </w:tc>
        <w:tc>
          <w:tcPr>
            <w:tcW w:w="127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4C8C9754" w14:textId="77777777" w:rsidR="00592C29" w:rsidRPr="00585E2B" w:rsidRDefault="0048296D" w:rsidP="00984C20">
            <w:pPr>
              <w:rPr>
                <w:rFonts w:ascii="Arial" w:hAnsi="Arial" w:cs="Arial"/>
                <w:sz w:val="20"/>
                <w:szCs w:val="20"/>
              </w:rPr>
            </w:pPr>
            <w:r w:rsidRPr="00585E2B">
              <w:rPr>
                <w:rFonts w:ascii="Arial" w:eastAsia="Arial" w:hAnsi="Arial" w:cs="Arial"/>
                <w:sz w:val="20"/>
                <w:szCs w:val="20"/>
              </w:rPr>
              <w:t>Includes Lloyd’s Brussels or is only Lloyd’s Brussels</w:t>
            </w:r>
          </w:p>
        </w:tc>
        <w:tc>
          <w:tcPr>
            <w:tcW w:w="238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48965A44" w14:textId="77777777" w:rsidR="00592C29" w:rsidRPr="00585E2B" w:rsidRDefault="0048296D" w:rsidP="00984C20">
            <w:pPr>
              <w:rPr>
                <w:rFonts w:ascii="Arial" w:hAnsi="Arial" w:cs="Arial"/>
                <w:sz w:val="20"/>
                <w:szCs w:val="20"/>
              </w:rPr>
            </w:pPr>
            <w:r w:rsidRPr="00585E2B">
              <w:rPr>
                <w:rFonts w:ascii="Arial" w:eastAsia="Arial" w:hAnsi="Arial" w:cs="Arial"/>
                <w:sz w:val="20"/>
                <w:szCs w:val="20"/>
              </w:rPr>
              <w:t>1. Produce standard endorsement document to establish relationship of Endorsement MRC to existing MRC.</w:t>
            </w:r>
          </w:p>
          <w:p w14:paraId="4B11B9FF" w14:textId="77777777" w:rsidR="00592C29" w:rsidRPr="00585E2B" w:rsidRDefault="0048296D" w:rsidP="00984C20">
            <w:pPr>
              <w:rPr>
                <w:rFonts w:ascii="Arial" w:hAnsi="Arial" w:cs="Arial"/>
                <w:sz w:val="20"/>
                <w:szCs w:val="20"/>
              </w:rPr>
            </w:pPr>
            <w:r w:rsidRPr="00585E2B">
              <w:rPr>
                <w:rFonts w:ascii="Arial" w:eastAsia="Arial" w:hAnsi="Arial" w:cs="Arial"/>
                <w:sz w:val="20"/>
                <w:szCs w:val="20"/>
              </w:rPr>
              <w:t>2. Produce Endorsement MRC for signing by all carriers on new section.</w:t>
            </w:r>
          </w:p>
          <w:p w14:paraId="02193692" w14:textId="77777777" w:rsidR="00592C29" w:rsidRPr="00585E2B" w:rsidRDefault="0048296D" w:rsidP="00984C20">
            <w:pPr>
              <w:rPr>
                <w:rFonts w:ascii="Arial" w:hAnsi="Arial" w:cs="Arial"/>
                <w:sz w:val="20"/>
                <w:szCs w:val="20"/>
              </w:rPr>
            </w:pPr>
            <w:r w:rsidRPr="00585E2B">
              <w:rPr>
                <w:rFonts w:ascii="Arial" w:eastAsia="Arial" w:hAnsi="Arial" w:cs="Arial"/>
                <w:sz w:val="20"/>
                <w:szCs w:val="20"/>
              </w:rPr>
              <w:t>3. Submit both to DXC for signing using existing submission channels and processes.</w:t>
            </w:r>
          </w:p>
        </w:tc>
        <w:tc>
          <w:tcPr>
            <w:tcW w:w="2609" w:type="dxa"/>
            <w:tcBorders>
              <w:top w:val="single" w:sz="6" w:space="0" w:color="000000"/>
              <w:left w:val="single" w:sz="6" w:space="0" w:color="000000"/>
              <w:bottom w:val="single" w:sz="6" w:space="0" w:color="000000"/>
            </w:tcBorders>
            <w:tcMar>
              <w:top w:w="8" w:type="dxa"/>
              <w:left w:w="108" w:type="dxa"/>
              <w:bottom w:w="8" w:type="dxa"/>
              <w:right w:w="108" w:type="dxa"/>
            </w:tcMar>
            <w:hideMark/>
          </w:tcPr>
          <w:p w14:paraId="1C4F24BB" w14:textId="77777777" w:rsidR="00592C29" w:rsidRPr="00585E2B" w:rsidRDefault="0048296D" w:rsidP="00984C20">
            <w:pPr>
              <w:rPr>
                <w:rFonts w:ascii="Arial" w:hAnsi="Arial" w:cs="Arial"/>
                <w:sz w:val="20"/>
                <w:szCs w:val="20"/>
              </w:rPr>
            </w:pPr>
            <w:r w:rsidRPr="00585E2B">
              <w:rPr>
                <w:rFonts w:ascii="Arial" w:eastAsia="Arial" w:hAnsi="Arial" w:cs="Arial"/>
                <w:sz w:val="20"/>
                <w:szCs w:val="20"/>
              </w:rPr>
              <w:t xml:space="preserve">1. Carriers to agree standard endorsement in accordance with slip provisions (GUA </w:t>
            </w:r>
            <w:proofErr w:type="spellStart"/>
            <w:r w:rsidRPr="00585E2B">
              <w:rPr>
                <w:rFonts w:ascii="Arial" w:eastAsia="Arial" w:hAnsi="Arial" w:cs="Arial"/>
                <w:sz w:val="20"/>
                <w:szCs w:val="20"/>
              </w:rPr>
              <w:t>etc</w:t>
            </w:r>
            <w:proofErr w:type="spellEnd"/>
            <w:r w:rsidRPr="00585E2B">
              <w:rPr>
                <w:rFonts w:ascii="Arial" w:eastAsia="Arial" w:hAnsi="Arial" w:cs="Arial"/>
                <w:sz w:val="20"/>
                <w:szCs w:val="20"/>
              </w:rPr>
              <w:t>).</w:t>
            </w:r>
          </w:p>
          <w:p w14:paraId="2340DB6D" w14:textId="77777777" w:rsidR="00592C29" w:rsidRPr="00585E2B" w:rsidRDefault="0048296D" w:rsidP="00984C20">
            <w:pPr>
              <w:rPr>
                <w:rFonts w:ascii="Arial" w:hAnsi="Arial" w:cs="Arial"/>
                <w:sz w:val="20"/>
                <w:szCs w:val="20"/>
              </w:rPr>
            </w:pPr>
            <w:r w:rsidRPr="00585E2B">
              <w:rPr>
                <w:rFonts w:ascii="Arial" w:eastAsia="Arial" w:hAnsi="Arial" w:cs="Arial"/>
                <w:sz w:val="20"/>
                <w:szCs w:val="20"/>
              </w:rPr>
              <w:t>2. All Lloyd’s Brussels carriers coming on risk - Add Lloyd’s Brussels stamps to Endorsement MRC</w:t>
            </w:r>
          </w:p>
          <w:p w14:paraId="6C5DD062" w14:textId="77777777" w:rsidR="00592C29" w:rsidRDefault="0048296D" w:rsidP="00984C20">
            <w:pPr>
              <w:rPr>
                <w:rFonts w:ascii="Arial" w:eastAsia="Arial" w:hAnsi="Arial" w:cs="Arial"/>
                <w:sz w:val="20"/>
                <w:szCs w:val="20"/>
              </w:rPr>
            </w:pPr>
            <w:r w:rsidRPr="00585E2B">
              <w:rPr>
                <w:rFonts w:ascii="Arial" w:eastAsia="Arial" w:hAnsi="Arial" w:cs="Arial"/>
                <w:sz w:val="20"/>
                <w:szCs w:val="20"/>
              </w:rPr>
              <w:t>3. All Lloyd’s Brussels carriers - Submit Endorsement MRC to Lloyd’s Brussels using existing submission channels.</w:t>
            </w:r>
          </w:p>
          <w:p w14:paraId="0A2EA5A4" w14:textId="2227CFDB" w:rsidR="00585E2B" w:rsidRPr="00585E2B" w:rsidRDefault="00585E2B" w:rsidP="00984C20">
            <w:pPr>
              <w:rPr>
                <w:rFonts w:ascii="Arial" w:hAnsi="Arial" w:cs="Arial"/>
                <w:sz w:val="20"/>
                <w:szCs w:val="20"/>
              </w:rPr>
            </w:pPr>
          </w:p>
        </w:tc>
      </w:tr>
      <w:tr w:rsidR="00585E2B" w:rsidRPr="00585E2B" w14:paraId="38FF0328" w14:textId="77777777">
        <w:tc>
          <w:tcPr>
            <w:tcW w:w="673" w:type="dxa"/>
            <w:vMerge w:val="restart"/>
            <w:tcBorders>
              <w:top w:val="single" w:sz="6" w:space="0" w:color="000000"/>
              <w:bottom w:val="single" w:sz="6" w:space="0" w:color="000000"/>
              <w:right w:val="single" w:sz="6" w:space="0" w:color="000000"/>
            </w:tcBorders>
            <w:tcMar>
              <w:top w:w="8" w:type="dxa"/>
              <w:left w:w="108" w:type="dxa"/>
              <w:bottom w:w="8" w:type="dxa"/>
              <w:right w:w="108" w:type="dxa"/>
            </w:tcMar>
            <w:hideMark/>
          </w:tcPr>
          <w:p w14:paraId="07A5D901" w14:textId="77777777" w:rsidR="00592C29" w:rsidRPr="00585E2B" w:rsidRDefault="0048296D" w:rsidP="00984C20">
            <w:pPr>
              <w:rPr>
                <w:rFonts w:ascii="Arial" w:hAnsi="Arial" w:cs="Arial"/>
                <w:sz w:val="20"/>
                <w:szCs w:val="20"/>
              </w:rPr>
            </w:pPr>
            <w:r w:rsidRPr="00585E2B">
              <w:rPr>
                <w:rFonts w:ascii="Arial" w:eastAsia="Arial" w:hAnsi="Arial" w:cs="Arial"/>
                <w:sz w:val="20"/>
                <w:szCs w:val="20"/>
              </w:rPr>
              <w:t>3.</w:t>
            </w:r>
          </w:p>
        </w:tc>
        <w:tc>
          <w:tcPr>
            <w:tcW w:w="1622"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0082C0AD" w14:textId="77777777" w:rsidR="00592C29" w:rsidRPr="00585E2B" w:rsidRDefault="0048296D" w:rsidP="00984C20">
            <w:pPr>
              <w:rPr>
                <w:rFonts w:ascii="Arial" w:hAnsi="Arial" w:cs="Arial"/>
                <w:sz w:val="20"/>
                <w:szCs w:val="20"/>
              </w:rPr>
            </w:pPr>
            <w:r w:rsidRPr="00585E2B">
              <w:rPr>
                <w:rFonts w:ascii="Arial" w:eastAsia="Arial" w:hAnsi="Arial" w:cs="Arial"/>
                <w:sz w:val="20"/>
                <w:szCs w:val="20"/>
              </w:rPr>
              <w:t>Long term Agreement – premium remaining in original year of account</w:t>
            </w:r>
          </w:p>
        </w:tc>
        <w:tc>
          <w:tcPr>
            <w:tcW w:w="113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33266100" w14:textId="77777777" w:rsidR="00592C29" w:rsidRPr="00585E2B" w:rsidRDefault="0048296D" w:rsidP="00984C20">
            <w:pPr>
              <w:rPr>
                <w:rFonts w:ascii="Arial" w:hAnsi="Arial" w:cs="Arial"/>
                <w:sz w:val="20"/>
                <w:szCs w:val="20"/>
              </w:rPr>
            </w:pPr>
            <w:r w:rsidRPr="00585E2B">
              <w:rPr>
                <w:rFonts w:ascii="Arial" w:eastAsia="Arial" w:hAnsi="Arial" w:cs="Arial"/>
                <w:sz w:val="20"/>
                <w:szCs w:val="20"/>
              </w:rPr>
              <w:t>Any</w:t>
            </w:r>
          </w:p>
        </w:tc>
        <w:tc>
          <w:tcPr>
            <w:tcW w:w="1271"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hideMark/>
          </w:tcPr>
          <w:p w14:paraId="626400A9" w14:textId="77777777" w:rsidR="00592C29" w:rsidRPr="00585E2B" w:rsidRDefault="0048296D" w:rsidP="00984C20">
            <w:pPr>
              <w:rPr>
                <w:rFonts w:ascii="Arial" w:hAnsi="Arial" w:cs="Arial"/>
                <w:sz w:val="20"/>
                <w:szCs w:val="20"/>
              </w:rPr>
            </w:pPr>
            <w:r w:rsidRPr="00585E2B">
              <w:rPr>
                <w:rFonts w:ascii="Arial" w:eastAsia="Arial" w:hAnsi="Arial" w:cs="Arial"/>
                <w:sz w:val="20"/>
                <w:szCs w:val="20"/>
              </w:rPr>
              <w:t>Any</w:t>
            </w:r>
          </w:p>
        </w:tc>
        <w:tc>
          <w:tcPr>
            <w:tcW w:w="4992" w:type="dxa"/>
            <w:gridSpan w:val="2"/>
            <w:tcBorders>
              <w:top w:val="single" w:sz="6" w:space="0" w:color="000000"/>
              <w:left w:val="single" w:sz="6" w:space="0" w:color="000000"/>
              <w:bottom w:val="single" w:sz="6" w:space="0" w:color="000000"/>
            </w:tcBorders>
            <w:tcMar>
              <w:top w:w="8" w:type="dxa"/>
              <w:left w:w="108" w:type="dxa"/>
              <w:bottom w:w="8" w:type="dxa"/>
              <w:right w:w="108" w:type="dxa"/>
            </w:tcMar>
            <w:hideMark/>
          </w:tcPr>
          <w:p w14:paraId="317A398F" w14:textId="77777777" w:rsidR="00592C29" w:rsidRPr="00585E2B" w:rsidRDefault="0048296D" w:rsidP="00984C20">
            <w:pPr>
              <w:rPr>
                <w:rFonts w:ascii="Arial" w:hAnsi="Arial" w:cs="Arial"/>
                <w:sz w:val="20"/>
                <w:szCs w:val="20"/>
              </w:rPr>
            </w:pPr>
            <w:r w:rsidRPr="00585E2B">
              <w:rPr>
                <w:rFonts w:ascii="Arial" w:eastAsia="Arial" w:hAnsi="Arial" w:cs="Arial"/>
                <w:sz w:val="20"/>
                <w:szCs w:val="20"/>
              </w:rPr>
              <w:t>N/A</w:t>
            </w:r>
          </w:p>
        </w:tc>
      </w:tr>
      <w:tr w:rsidR="00585E2B" w:rsidRPr="00585E2B" w14:paraId="16ACE14A" w14:textId="77777777">
        <w:tc>
          <w:tcPr>
            <w:tcW w:w="0" w:type="auto"/>
            <w:vMerge/>
            <w:tcBorders>
              <w:top w:val="single" w:sz="6" w:space="0" w:color="000000"/>
              <w:bottom w:val="single" w:sz="6" w:space="0" w:color="000000"/>
              <w:right w:val="single" w:sz="6" w:space="0" w:color="000000"/>
            </w:tcBorders>
            <w:vAlign w:val="center"/>
            <w:hideMark/>
          </w:tcPr>
          <w:p w14:paraId="2A28F810" w14:textId="77777777" w:rsidR="00592C29" w:rsidRPr="00585E2B" w:rsidRDefault="00592C29" w:rsidP="00984C20">
            <w:pPr>
              <w:rPr>
                <w:rFonts w:ascii="Arial" w:eastAsia="Arial" w:hAnsi="Arial" w:cs="Arial"/>
                <w:sz w:val="20"/>
                <w:szCs w:val="20"/>
              </w:rPr>
            </w:pPr>
          </w:p>
        </w:tc>
        <w:tc>
          <w:tcPr>
            <w:tcW w:w="1622" w:type="dxa"/>
            <w:tcBorders>
              <w:top w:val="single" w:sz="6" w:space="0" w:color="000000"/>
              <w:left w:val="single" w:sz="6" w:space="0" w:color="000000"/>
              <w:right w:val="single" w:sz="6" w:space="0" w:color="000000"/>
            </w:tcBorders>
            <w:tcMar>
              <w:top w:w="8" w:type="dxa"/>
              <w:left w:w="108" w:type="dxa"/>
              <w:bottom w:w="8" w:type="dxa"/>
              <w:right w:w="108" w:type="dxa"/>
            </w:tcMar>
            <w:hideMark/>
          </w:tcPr>
          <w:p w14:paraId="2F999CF0" w14:textId="77777777" w:rsidR="00592C29" w:rsidRDefault="0048296D" w:rsidP="00984C20">
            <w:pPr>
              <w:rPr>
                <w:rFonts w:ascii="Arial" w:eastAsia="Arial" w:hAnsi="Arial" w:cs="Arial"/>
                <w:sz w:val="20"/>
                <w:szCs w:val="20"/>
              </w:rPr>
            </w:pPr>
            <w:r w:rsidRPr="00585E2B">
              <w:rPr>
                <w:rFonts w:ascii="Arial" w:eastAsia="Arial" w:hAnsi="Arial" w:cs="Arial"/>
                <w:sz w:val="20"/>
                <w:szCs w:val="20"/>
              </w:rPr>
              <w:t>Long term Agreement – premium transfer to new year of account or annual resigning</w:t>
            </w:r>
          </w:p>
          <w:p w14:paraId="00C15230" w14:textId="74A66C67" w:rsidR="00585E2B" w:rsidRPr="00585E2B" w:rsidRDefault="00585E2B" w:rsidP="00984C20">
            <w:pPr>
              <w:rPr>
                <w:rFonts w:ascii="Arial" w:hAnsi="Arial" w:cs="Arial"/>
                <w:sz w:val="20"/>
                <w:szCs w:val="20"/>
              </w:rPr>
            </w:pPr>
          </w:p>
        </w:tc>
        <w:tc>
          <w:tcPr>
            <w:tcW w:w="1133" w:type="dxa"/>
            <w:tcBorders>
              <w:top w:val="single" w:sz="6" w:space="0" w:color="000000"/>
              <w:left w:val="single" w:sz="6" w:space="0" w:color="000000"/>
              <w:right w:val="single" w:sz="6" w:space="0" w:color="000000"/>
            </w:tcBorders>
            <w:tcMar>
              <w:top w:w="8" w:type="dxa"/>
              <w:left w:w="108" w:type="dxa"/>
              <w:bottom w:w="8" w:type="dxa"/>
              <w:right w:w="108" w:type="dxa"/>
            </w:tcMar>
            <w:hideMark/>
          </w:tcPr>
          <w:p w14:paraId="137A9CC9" w14:textId="77777777" w:rsidR="00592C29" w:rsidRPr="00585E2B" w:rsidRDefault="0048296D" w:rsidP="00984C20">
            <w:pPr>
              <w:rPr>
                <w:rFonts w:ascii="Arial" w:hAnsi="Arial" w:cs="Arial"/>
                <w:sz w:val="20"/>
                <w:szCs w:val="20"/>
              </w:rPr>
            </w:pPr>
            <w:r w:rsidRPr="00585E2B">
              <w:rPr>
                <w:rFonts w:ascii="Arial" w:eastAsia="Arial" w:hAnsi="Arial" w:cs="Arial"/>
                <w:sz w:val="20"/>
                <w:szCs w:val="20"/>
              </w:rPr>
              <w:t>Not Lloyd’s Brussels</w:t>
            </w:r>
          </w:p>
        </w:tc>
        <w:tc>
          <w:tcPr>
            <w:tcW w:w="1271" w:type="dxa"/>
            <w:tcBorders>
              <w:top w:val="single" w:sz="6" w:space="0" w:color="000000"/>
              <w:left w:val="single" w:sz="6" w:space="0" w:color="000000"/>
              <w:right w:val="single" w:sz="6" w:space="0" w:color="000000"/>
            </w:tcBorders>
            <w:tcMar>
              <w:top w:w="8" w:type="dxa"/>
              <w:left w:w="108" w:type="dxa"/>
              <w:bottom w:w="8" w:type="dxa"/>
              <w:right w:w="108" w:type="dxa"/>
            </w:tcMar>
            <w:hideMark/>
          </w:tcPr>
          <w:p w14:paraId="61DD77FA" w14:textId="77777777" w:rsidR="00592C29" w:rsidRPr="00585E2B" w:rsidRDefault="0048296D" w:rsidP="00984C20">
            <w:pPr>
              <w:rPr>
                <w:rFonts w:ascii="Arial" w:hAnsi="Arial" w:cs="Arial"/>
                <w:sz w:val="20"/>
                <w:szCs w:val="20"/>
              </w:rPr>
            </w:pPr>
            <w:r w:rsidRPr="00585E2B">
              <w:rPr>
                <w:rFonts w:ascii="Arial" w:eastAsia="Arial" w:hAnsi="Arial" w:cs="Arial"/>
                <w:sz w:val="20"/>
                <w:szCs w:val="20"/>
              </w:rPr>
              <w:t>Not Lloyd’s Brussels</w:t>
            </w:r>
          </w:p>
        </w:tc>
        <w:tc>
          <w:tcPr>
            <w:tcW w:w="4992" w:type="dxa"/>
            <w:gridSpan w:val="2"/>
            <w:tcBorders>
              <w:top w:val="single" w:sz="6" w:space="0" w:color="000000"/>
              <w:left w:val="single" w:sz="6" w:space="0" w:color="000000"/>
            </w:tcBorders>
            <w:tcMar>
              <w:top w:w="8" w:type="dxa"/>
              <w:left w:w="108" w:type="dxa"/>
              <w:bottom w:w="8" w:type="dxa"/>
              <w:right w:w="108" w:type="dxa"/>
            </w:tcMar>
            <w:hideMark/>
          </w:tcPr>
          <w:p w14:paraId="08509691" w14:textId="77777777" w:rsidR="00592C29" w:rsidRPr="00585E2B" w:rsidRDefault="0048296D" w:rsidP="00984C20">
            <w:pPr>
              <w:rPr>
                <w:rFonts w:ascii="Arial" w:hAnsi="Arial" w:cs="Arial"/>
                <w:sz w:val="20"/>
                <w:szCs w:val="20"/>
              </w:rPr>
            </w:pPr>
            <w:r w:rsidRPr="00585E2B">
              <w:rPr>
                <w:rFonts w:ascii="Arial" w:eastAsia="Arial" w:hAnsi="Arial" w:cs="Arial"/>
                <w:sz w:val="20"/>
                <w:szCs w:val="20"/>
              </w:rPr>
              <w:t>No impact – adopt existing process - standard Endorsement</w:t>
            </w:r>
          </w:p>
        </w:tc>
      </w:tr>
    </w:tbl>
    <w:p w14:paraId="014B9899" w14:textId="77777777" w:rsidR="00592C29" w:rsidRPr="00585E2B" w:rsidRDefault="0048296D" w:rsidP="00984C20">
      <w:pPr>
        <w:spacing w:line="276" w:lineRule="auto"/>
        <w:rPr>
          <w:sz w:val="22"/>
          <w:szCs w:val="22"/>
        </w:rPr>
      </w:pPr>
      <w:r w:rsidRPr="00585E2B">
        <w:rPr>
          <w:sz w:val="22"/>
          <w:szCs w:val="22"/>
        </w:rPr>
        <w:br w:type="page"/>
      </w:r>
    </w:p>
    <w:tbl>
      <w:tblPr>
        <w:tblW w:w="0" w:type="auto"/>
        <w:tblInd w:w="116"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672"/>
        <w:gridCol w:w="1617"/>
        <w:gridCol w:w="1112"/>
        <w:gridCol w:w="1260"/>
        <w:gridCol w:w="2347"/>
        <w:gridCol w:w="2567"/>
      </w:tblGrid>
      <w:tr w:rsidR="00585E2B" w:rsidRPr="00585E2B" w14:paraId="6A2851F3" w14:textId="77777777" w:rsidTr="00585E2B">
        <w:tc>
          <w:tcPr>
            <w:tcW w:w="672" w:type="dxa"/>
            <w:tcBorders>
              <w:bottom w:val="single" w:sz="6" w:space="0" w:color="000000"/>
              <w:right w:val="single" w:sz="6" w:space="0" w:color="000000"/>
            </w:tcBorders>
            <w:shd w:val="clear" w:color="auto" w:fill="D9D9D9" w:themeFill="background1" w:themeFillShade="D9"/>
            <w:tcMar>
              <w:top w:w="8" w:type="dxa"/>
              <w:left w:w="108" w:type="dxa"/>
              <w:bottom w:w="8" w:type="dxa"/>
              <w:right w:w="108" w:type="dxa"/>
            </w:tcMar>
          </w:tcPr>
          <w:p w14:paraId="7DEBFCC3" w14:textId="0F7F514E" w:rsidR="00585E2B" w:rsidRPr="00585E2B" w:rsidRDefault="00585E2B" w:rsidP="00585E2B">
            <w:pPr>
              <w:rPr>
                <w:rFonts w:ascii="Arial" w:hAnsi="Arial" w:cs="Arial"/>
                <w:sz w:val="20"/>
                <w:szCs w:val="20"/>
              </w:rPr>
            </w:pPr>
            <w:r w:rsidRPr="00585E2B">
              <w:rPr>
                <w:rFonts w:ascii="Arial" w:eastAsia="Arial" w:hAnsi="Arial" w:cs="Arial"/>
                <w:b/>
                <w:sz w:val="20"/>
                <w:szCs w:val="20"/>
              </w:rPr>
              <w:lastRenderedPageBreak/>
              <w:t>Ref</w:t>
            </w:r>
          </w:p>
        </w:tc>
        <w:tc>
          <w:tcPr>
            <w:tcW w:w="1617" w:type="dxa"/>
            <w:tcBorders>
              <w:left w:val="single" w:sz="6" w:space="0" w:color="000000"/>
              <w:bottom w:val="single" w:sz="6" w:space="0" w:color="000000"/>
              <w:right w:val="single" w:sz="6" w:space="0" w:color="000000"/>
            </w:tcBorders>
            <w:shd w:val="clear" w:color="auto" w:fill="D9D9D9" w:themeFill="background1" w:themeFillShade="D9"/>
            <w:tcMar>
              <w:top w:w="8" w:type="dxa"/>
              <w:left w:w="108" w:type="dxa"/>
              <w:bottom w:w="8" w:type="dxa"/>
              <w:right w:w="108" w:type="dxa"/>
            </w:tcMar>
          </w:tcPr>
          <w:p w14:paraId="614CB4B5" w14:textId="225EE02D" w:rsidR="00585E2B" w:rsidRPr="00585E2B" w:rsidRDefault="00585E2B" w:rsidP="00585E2B">
            <w:pPr>
              <w:rPr>
                <w:rFonts w:ascii="Arial" w:eastAsia="Arial" w:hAnsi="Arial" w:cs="Arial"/>
                <w:sz w:val="20"/>
                <w:szCs w:val="20"/>
              </w:rPr>
            </w:pPr>
            <w:r w:rsidRPr="00585E2B">
              <w:rPr>
                <w:rFonts w:ascii="Arial" w:eastAsia="Arial" w:hAnsi="Arial" w:cs="Arial"/>
                <w:b/>
                <w:sz w:val="20"/>
                <w:szCs w:val="20"/>
              </w:rPr>
              <w:t>Endorsement Type</w:t>
            </w:r>
          </w:p>
        </w:tc>
        <w:tc>
          <w:tcPr>
            <w:tcW w:w="1112" w:type="dxa"/>
            <w:tcBorders>
              <w:left w:val="single" w:sz="6" w:space="0" w:color="000000"/>
              <w:bottom w:val="single" w:sz="6" w:space="0" w:color="000000"/>
              <w:right w:val="single" w:sz="6" w:space="0" w:color="000000"/>
            </w:tcBorders>
            <w:shd w:val="clear" w:color="auto" w:fill="D9D9D9" w:themeFill="background1" w:themeFillShade="D9"/>
            <w:tcMar>
              <w:top w:w="8" w:type="dxa"/>
              <w:left w:w="108" w:type="dxa"/>
              <w:bottom w:w="8" w:type="dxa"/>
              <w:right w:w="108" w:type="dxa"/>
            </w:tcMar>
          </w:tcPr>
          <w:p w14:paraId="56BD64EF" w14:textId="2CCAD2B9" w:rsidR="00585E2B" w:rsidRPr="00585E2B" w:rsidRDefault="00585E2B" w:rsidP="00585E2B">
            <w:pPr>
              <w:rPr>
                <w:rFonts w:ascii="Arial" w:eastAsia="Arial" w:hAnsi="Arial" w:cs="Arial"/>
                <w:sz w:val="20"/>
                <w:szCs w:val="20"/>
              </w:rPr>
            </w:pPr>
            <w:r w:rsidRPr="00585E2B">
              <w:rPr>
                <w:rFonts w:ascii="Arial" w:eastAsia="Arial" w:hAnsi="Arial" w:cs="Arial"/>
                <w:b/>
                <w:sz w:val="20"/>
                <w:szCs w:val="20"/>
              </w:rPr>
              <w:t>Existing Carriers</w:t>
            </w:r>
          </w:p>
        </w:tc>
        <w:tc>
          <w:tcPr>
            <w:tcW w:w="1260" w:type="dxa"/>
            <w:tcBorders>
              <w:left w:val="single" w:sz="6" w:space="0" w:color="000000"/>
              <w:bottom w:val="single" w:sz="6" w:space="0" w:color="000000"/>
              <w:right w:val="single" w:sz="6" w:space="0" w:color="000000"/>
            </w:tcBorders>
            <w:shd w:val="clear" w:color="auto" w:fill="D9D9D9" w:themeFill="background1" w:themeFillShade="D9"/>
            <w:tcMar>
              <w:top w:w="8" w:type="dxa"/>
              <w:left w:w="108" w:type="dxa"/>
              <w:bottom w:w="8" w:type="dxa"/>
              <w:right w:w="108" w:type="dxa"/>
            </w:tcMar>
          </w:tcPr>
          <w:p w14:paraId="7C02DBC5" w14:textId="77777777" w:rsidR="00585E2B" w:rsidRDefault="00585E2B" w:rsidP="00585E2B">
            <w:pPr>
              <w:rPr>
                <w:rFonts w:ascii="Arial" w:eastAsia="Arial" w:hAnsi="Arial" w:cs="Arial"/>
                <w:b/>
                <w:sz w:val="20"/>
                <w:szCs w:val="20"/>
              </w:rPr>
            </w:pPr>
            <w:r w:rsidRPr="00585E2B">
              <w:rPr>
                <w:rFonts w:ascii="Arial" w:eastAsia="Arial" w:hAnsi="Arial" w:cs="Arial"/>
                <w:b/>
                <w:sz w:val="20"/>
                <w:szCs w:val="20"/>
              </w:rPr>
              <w:t>Carriers Coming on Risk</w:t>
            </w:r>
          </w:p>
          <w:p w14:paraId="3AD61538" w14:textId="77777777" w:rsidR="00585E2B" w:rsidRPr="00585E2B" w:rsidRDefault="00585E2B" w:rsidP="00585E2B">
            <w:pPr>
              <w:rPr>
                <w:rFonts w:ascii="Arial" w:eastAsia="Arial" w:hAnsi="Arial" w:cs="Arial"/>
                <w:sz w:val="20"/>
                <w:szCs w:val="20"/>
              </w:rPr>
            </w:pPr>
          </w:p>
        </w:tc>
        <w:tc>
          <w:tcPr>
            <w:tcW w:w="2347" w:type="dxa"/>
            <w:tcBorders>
              <w:left w:val="single" w:sz="6" w:space="0" w:color="000000"/>
              <w:bottom w:val="single" w:sz="6" w:space="0" w:color="000000"/>
              <w:right w:val="single" w:sz="6" w:space="0" w:color="000000"/>
            </w:tcBorders>
            <w:shd w:val="clear" w:color="auto" w:fill="D9D9D9" w:themeFill="background1" w:themeFillShade="D9"/>
            <w:tcMar>
              <w:top w:w="8" w:type="dxa"/>
              <w:left w:w="108" w:type="dxa"/>
              <w:bottom w:w="8" w:type="dxa"/>
              <w:right w:w="108" w:type="dxa"/>
            </w:tcMar>
          </w:tcPr>
          <w:p w14:paraId="41F8CA81" w14:textId="268CEF3B" w:rsidR="00585E2B" w:rsidRPr="00585E2B" w:rsidRDefault="00585E2B" w:rsidP="00585E2B">
            <w:pPr>
              <w:rPr>
                <w:rFonts w:ascii="Arial" w:eastAsia="Arial" w:hAnsi="Arial" w:cs="Arial"/>
                <w:sz w:val="20"/>
                <w:szCs w:val="20"/>
              </w:rPr>
            </w:pPr>
            <w:r w:rsidRPr="00585E2B">
              <w:rPr>
                <w:rFonts w:ascii="Arial" w:eastAsia="Arial" w:hAnsi="Arial" w:cs="Arial"/>
                <w:b/>
                <w:sz w:val="20"/>
                <w:szCs w:val="20"/>
              </w:rPr>
              <w:t>Broker Process</w:t>
            </w:r>
          </w:p>
        </w:tc>
        <w:tc>
          <w:tcPr>
            <w:tcW w:w="2567" w:type="dxa"/>
            <w:tcBorders>
              <w:left w:val="single" w:sz="6" w:space="0" w:color="000000"/>
              <w:bottom w:val="single" w:sz="6" w:space="0" w:color="000000"/>
            </w:tcBorders>
            <w:shd w:val="clear" w:color="auto" w:fill="D9D9D9" w:themeFill="background1" w:themeFillShade="D9"/>
            <w:tcMar>
              <w:top w:w="8" w:type="dxa"/>
              <w:left w:w="108" w:type="dxa"/>
              <w:bottom w:w="8" w:type="dxa"/>
              <w:right w:w="108" w:type="dxa"/>
            </w:tcMar>
          </w:tcPr>
          <w:p w14:paraId="007D8372" w14:textId="07C27943" w:rsidR="00585E2B" w:rsidRPr="00585E2B" w:rsidRDefault="00585E2B" w:rsidP="00585E2B">
            <w:pPr>
              <w:rPr>
                <w:rFonts w:ascii="Arial" w:eastAsia="Arial" w:hAnsi="Arial" w:cs="Arial"/>
                <w:sz w:val="20"/>
                <w:szCs w:val="20"/>
              </w:rPr>
            </w:pPr>
            <w:r w:rsidRPr="00585E2B">
              <w:rPr>
                <w:rFonts w:ascii="Arial" w:eastAsia="Arial" w:hAnsi="Arial" w:cs="Arial"/>
                <w:b/>
                <w:sz w:val="20"/>
                <w:szCs w:val="20"/>
              </w:rPr>
              <w:t xml:space="preserve">Managing Agent Process </w:t>
            </w:r>
          </w:p>
        </w:tc>
      </w:tr>
      <w:tr w:rsidR="00585E2B" w:rsidRPr="00585E2B" w14:paraId="0738E44F" w14:textId="77777777" w:rsidTr="00585E2B">
        <w:tc>
          <w:tcPr>
            <w:tcW w:w="672" w:type="dxa"/>
            <w:tcBorders>
              <w:bottom w:val="single" w:sz="6" w:space="0" w:color="000000"/>
              <w:right w:val="single" w:sz="6" w:space="0" w:color="000000"/>
            </w:tcBorders>
            <w:tcMar>
              <w:top w:w="8" w:type="dxa"/>
              <w:left w:w="108" w:type="dxa"/>
              <w:bottom w:w="8" w:type="dxa"/>
              <w:right w:w="108" w:type="dxa"/>
            </w:tcMar>
          </w:tcPr>
          <w:p w14:paraId="4C29C859" w14:textId="26B4E6D0" w:rsidR="00592C29" w:rsidRPr="00585E2B" w:rsidRDefault="00585E2B" w:rsidP="00984C20">
            <w:pPr>
              <w:rPr>
                <w:rFonts w:ascii="Arial" w:hAnsi="Arial" w:cs="Arial"/>
                <w:sz w:val="20"/>
                <w:szCs w:val="20"/>
              </w:rPr>
            </w:pPr>
            <w:r w:rsidRPr="00585E2B">
              <w:rPr>
                <w:rFonts w:ascii="Arial" w:hAnsi="Arial" w:cs="Arial"/>
                <w:sz w:val="20"/>
                <w:szCs w:val="20"/>
              </w:rPr>
              <w:t xml:space="preserve">3./ </w:t>
            </w:r>
            <w:proofErr w:type="spellStart"/>
            <w:r w:rsidRPr="00585E2B">
              <w:rPr>
                <w:rFonts w:ascii="Arial" w:hAnsi="Arial" w:cs="Arial"/>
                <w:sz w:val="20"/>
                <w:szCs w:val="20"/>
              </w:rPr>
              <w:t>Cont</w:t>
            </w:r>
            <w:proofErr w:type="spellEnd"/>
          </w:p>
        </w:tc>
        <w:tc>
          <w:tcPr>
            <w:tcW w:w="1617" w:type="dxa"/>
            <w:tcBorders>
              <w:left w:val="single" w:sz="6" w:space="0" w:color="000000"/>
              <w:bottom w:val="single" w:sz="6" w:space="0" w:color="000000"/>
              <w:right w:val="single" w:sz="6" w:space="0" w:color="000000"/>
            </w:tcBorders>
            <w:tcMar>
              <w:top w:w="8" w:type="dxa"/>
              <w:left w:w="108" w:type="dxa"/>
              <w:bottom w:w="8" w:type="dxa"/>
              <w:right w:w="108" w:type="dxa"/>
            </w:tcMar>
            <w:hideMark/>
          </w:tcPr>
          <w:p w14:paraId="79F7E2F5" w14:textId="77777777" w:rsidR="00592C29" w:rsidRPr="00585E2B" w:rsidRDefault="0048296D" w:rsidP="00984C20">
            <w:pPr>
              <w:rPr>
                <w:rFonts w:ascii="Arial" w:hAnsi="Arial" w:cs="Arial"/>
                <w:sz w:val="20"/>
                <w:szCs w:val="20"/>
              </w:rPr>
            </w:pPr>
            <w:r w:rsidRPr="00585E2B">
              <w:rPr>
                <w:rFonts w:ascii="Arial" w:eastAsia="Arial" w:hAnsi="Arial" w:cs="Arial"/>
                <w:sz w:val="20"/>
                <w:szCs w:val="20"/>
              </w:rPr>
              <w:t>Long term Agreement – premium transfer to new year of account or annual resigning</w:t>
            </w:r>
          </w:p>
        </w:tc>
        <w:tc>
          <w:tcPr>
            <w:tcW w:w="1112" w:type="dxa"/>
            <w:tcBorders>
              <w:left w:val="single" w:sz="6" w:space="0" w:color="000000"/>
              <w:bottom w:val="single" w:sz="6" w:space="0" w:color="000000"/>
              <w:right w:val="single" w:sz="6" w:space="0" w:color="000000"/>
            </w:tcBorders>
            <w:tcMar>
              <w:top w:w="8" w:type="dxa"/>
              <w:left w:w="108" w:type="dxa"/>
              <w:bottom w:w="8" w:type="dxa"/>
              <w:right w:w="108" w:type="dxa"/>
            </w:tcMar>
            <w:hideMark/>
          </w:tcPr>
          <w:p w14:paraId="35CADA80" w14:textId="77777777" w:rsidR="00592C29" w:rsidRPr="00585E2B" w:rsidRDefault="0048296D" w:rsidP="00984C20">
            <w:pPr>
              <w:rPr>
                <w:sz w:val="20"/>
                <w:szCs w:val="20"/>
              </w:rPr>
            </w:pPr>
            <w:r w:rsidRPr="00585E2B">
              <w:rPr>
                <w:rFonts w:ascii="Arial" w:eastAsia="Arial" w:hAnsi="Arial" w:cs="Arial"/>
                <w:sz w:val="20"/>
                <w:szCs w:val="20"/>
              </w:rPr>
              <w:t>Any</w:t>
            </w:r>
          </w:p>
        </w:tc>
        <w:tc>
          <w:tcPr>
            <w:tcW w:w="1260" w:type="dxa"/>
            <w:tcBorders>
              <w:left w:val="single" w:sz="6" w:space="0" w:color="000000"/>
              <w:bottom w:val="single" w:sz="6" w:space="0" w:color="000000"/>
              <w:right w:val="single" w:sz="6" w:space="0" w:color="000000"/>
            </w:tcBorders>
            <w:tcMar>
              <w:top w:w="8" w:type="dxa"/>
              <w:left w:w="108" w:type="dxa"/>
              <w:bottom w:w="8" w:type="dxa"/>
              <w:right w:w="108" w:type="dxa"/>
            </w:tcMar>
            <w:hideMark/>
          </w:tcPr>
          <w:p w14:paraId="422D1FF7" w14:textId="77777777" w:rsidR="00592C29" w:rsidRPr="00585E2B" w:rsidRDefault="0048296D" w:rsidP="00984C20">
            <w:pPr>
              <w:rPr>
                <w:sz w:val="20"/>
                <w:szCs w:val="20"/>
              </w:rPr>
            </w:pPr>
            <w:r w:rsidRPr="00585E2B">
              <w:rPr>
                <w:rFonts w:ascii="Arial" w:eastAsia="Arial" w:hAnsi="Arial" w:cs="Arial"/>
                <w:sz w:val="20"/>
                <w:szCs w:val="20"/>
              </w:rPr>
              <w:t>Includes Lloyd’s Brussels or is only Lloyd’s Brussels</w:t>
            </w:r>
          </w:p>
        </w:tc>
        <w:tc>
          <w:tcPr>
            <w:tcW w:w="2347" w:type="dxa"/>
            <w:tcBorders>
              <w:left w:val="single" w:sz="6" w:space="0" w:color="000000"/>
              <w:bottom w:val="single" w:sz="6" w:space="0" w:color="000000"/>
              <w:right w:val="single" w:sz="6" w:space="0" w:color="000000"/>
            </w:tcBorders>
            <w:tcMar>
              <w:top w:w="8" w:type="dxa"/>
              <w:left w:w="108" w:type="dxa"/>
              <w:bottom w:w="8" w:type="dxa"/>
              <w:right w:w="108" w:type="dxa"/>
            </w:tcMar>
            <w:hideMark/>
          </w:tcPr>
          <w:p w14:paraId="58301ACD" w14:textId="77777777" w:rsidR="00592C29" w:rsidRPr="00585E2B" w:rsidRDefault="0048296D" w:rsidP="00984C20">
            <w:pPr>
              <w:rPr>
                <w:sz w:val="20"/>
                <w:szCs w:val="20"/>
              </w:rPr>
            </w:pPr>
            <w:r w:rsidRPr="00585E2B">
              <w:rPr>
                <w:rFonts w:ascii="Arial" w:eastAsia="Arial" w:hAnsi="Arial" w:cs="Arial"/>
                <w:sz w:val="20"/>
                <w:szCs w:val="20"/>
              </w:rPr>
              <w:t>1. Produce standard endorsement document to establish relationship of Endorsement MRC to existing MRC.</w:t>
            </w:r>
          </w:p>
          <w:p w14:paraId="4880FCAB" w14:textId="77777777" w:rsidR="00592C29" w:rsidRPr="00585E2B" w:rsidRDefault="0048296D" w:rsidP="00984C20">
            <w:pPr>
              <w:rPr>
                <w:sz w:val="20"/>
                <w:szCs w:val="20"/>
              </w:rPr>
            </w:pPr>
            <w:r w:rsidRPr="00585E2B">
              <w:rPr>
                <w:rFonts w:ascii="Arial" w:eastAsia="Arial" w:hAnsi="Arial" w:cs="Arial"/>
                <w:sz w:val="20"/>
                <w:szCs w:val="20"/>
              </w:rPr>
              <w:t>2. Produce Endorsement MRC for signing by all carriers on new section.</w:t>
            </w:r>
          </w:p>
          <w:p w14:paraId="176A0FEE" w14:textId="77777777" w:rsidR="00592C29" w:rsidRPr="00585E2B" w:rsidRDefault="0048296D" w:rsidP="00984C20">
            <w:pPr>
              <w:rPr>
                <w:sz w:val="20"/>
                <w:szCs w:val="20"/>
              </w:rPr>
            </w:pPr>
            <w:r w:rsidRPr="00585E2B">
              <w:rPr>
                <w:rFonts w:ascii="Arial" w:eastAsia="Arial" w:hAnsi="Arial" w:cs="Arial"/>
                <w:sz w:val="20"/>
                <w:szCs w:val="20"/>
              </w:rPr>
              <w:t>3. Submit both to DXC for signing using existing submission channels and processes.</w:t>
            </w:r>
          </w:p>
        </w:tc>
        <w:tc>
          <w:tcPr>
            <w:tcW w:w="2567" w:type="dxa"/>
            <w:tcBorders>
              <w:left w:val="single" w:sz="6" w:space="0" w:color="000000"/>
              <w:bottom w:val="single" w:sz="6" w:space="0" w:color="000000"/>
            </w:tcBorders>
            <w:tcMar>
              <w:top w:w="8" w:type="dxa"/>
              <w:left w:w="108" w:type="dxa"/>
              <w:bottom w:w="8" w:type="dxa"/>
              <w:right w:w="108" w:type="dxa"/>
            </w:tcMar>
            <w:hideMark/>
          </w:tcPr>
          <w:p w14:paraId="5AF1CED6" w14:textId="77777777" w:rsidR="00592C29" w:rsidRPr="00585E2B" w:rsidRDefault="0048296D" w:rsidP="00984C20">
            <w:pPr>
              <w:rPr>
                <w:sz w:val="20"/>
                <w:szCs w:val="20"/>
              </w:rPr>
            </w:pPr>
            <w:r w:rsidRPr="00585E2B">
              <w:rPr>
                <w:rFonts w:ascii="Arial" w:eastAsia="Arial" w:hAnsi="Arial" w:cs="Arial"/>
                <w:sz w:val="20"/>
                <w:szCs w:val="20"/>
              </w:rPr>
              <w:t xml:space="preserve">1. Carriers to agree standard endorsement in accordance with slip provisions (GUA </w:t>
            </w:r>
            <w:proofErr w:type="spellStart"/>
            <w:r w:rsidRPr="00585E2B">
              <w:rPr>
                <w:rFonts w:ascii="Arial" w:eastAsia="Arial" w:hAnsi="Arial" w:cs="Arial"/>
                <w:sz w:val="20"/>
                <w:szCs w:val="20"/>
              </w:rPr>
              <w:t>etc</w:t>
            </w:r>
            <w:proofErr w:type="spellEnd"/>
            <w:r w:rsidRPr="00585E2B">
              <w:rPr>
                <w:rFonts w:ascii="Arial" w:eastAsia="Arial" w:hAnsi="Arial" w:cs="Arial"/>
                <w:sz w:val="20"/>
                <w:szCs w:val="20"/>
              </w:rPr>
              <w:t>).</w:t>
            </w:r>
          </w:p>
          <w:p w14:paraId="0998DC7C" w14:textId="77777777" w:rsidR="00592C29" w:rsidRPr="00585E2B" w:rsidRDefault="0048296D" w:rsidP="00984C20">
            <w:pPr>
              <w:rPr>
                <w:sz w:val="20"/>
                <w:szCs w:val="20"/>
              </w:rPr>
            </w:pPr>
            <w:r w:rsidRPr="00585E2B">
              <w:rPr>
                <w:rFonts w:ascii="Arial" w:eastAsia="Arial" w:hAnsi="Arial" w:cs="Arial"/>
                <w:sz w:val="20"/>
                <w:szCs w:val="20"/>
              </w:rPr>
              <w:t>2. Lloyd’s Brussels carriers requiring a new year of account - Add stamps to Endorsement MRC.</w:t>
            </w:r>
          </w:p>
          <w:p w14:paraId="484F345F" w14:textId="77777777" w:rsidR="00592C29" w:rsidRPr="00585E2B" w:rsidRDefault="0048296D" w:rsidP="00984C20">
            <w:pPr>
              <w:rPr>
                <w:sz w:val="20"/>
                <w:szCs w:val="20"/>
              </w:rPr>
            </w:pPr>
            <w:r w:rsidRPr="00585E2B">
              <w:rPr>
                <w:rFonts w:ascii="Arial" w:eastAsia="Arial" w:hAnsi="Arial" w:cs="Arial"/>
                <w:sz w:val="20"/>
                <w:szCs w:val="20"/>
              </w:rPr>
              <w:t>All other carriers requiring a new year of account have the option of putting their lines down on the standard endorsement, in accordance with existing practice, or, if it is constructed to include their participations, on the same Endorsement MRC as the Lloyd’s Brussels carriers.</w:t>
            </w:r>
          </w:p>
          <w:p w14:paraId="450147E8" w14:textId="77777777" w:rsidR="00592C29" w:rsidRDefault="0048296D" w:rsidP="00984C20">
            <w:pPr>
              <w:rPr>
                <w:rFonts w:ascii="Arial" w:eastAsia="Arial" w:hAnsi="Arial" w:cs="Arial"/>
                <w:sz w:val="20"/>
                <w:szCs w:val="20"/>
              </w:rPr>
            </w:pPr>
            <w:r w:rsidRPr="00585E2B">
              <w:rPr>
                <w:rFonts w:ascii="Arial" w:eastAsia="Arial" w:hAnsi="Arial" w:cs="Arial"/>
                <w:sz w:val="20"/>
                <w:szCs w:val="20"/>
              </w:rPr>
              <w:t>3. All Lloyd’s Brussels carriers - Submit Endorsement MRC to Lloyd’s Brussels using existing submission channels.</w:t>
            </w:r>
          </w:p>
          <w:p w14:paraId="21990A9D" w14:textId="4AB2B61D" w:rsidR="00585E2B" w:rsidRPr="00585E2B" w:rsidRDefault="00585E2B" w:rsidP="00984C20">
            <w:pPr>
              <w:rPr>
                <w:sz w:val="20"/>
                <w:szCs w:val="20"/>
              </w:rPr>
            </w:pPr>
          </w:p>
        </w:tc>
      </w:tr>
      <w:tr w:rsidR="00585E2B" w:rsidRPr="00585E2B" w14:paraId="3884F128" w14:textId="77777777" w:rsidTr="00585E2B">
        <w:tc>
          <w:tcPr>
            <w:tcW w:w="672" w:type="dxa"/>
            <w:tcBorders>
              <w:top w:val="single" w:sz="6" w:space="0" w:color="000000"/>
              <w:right w:val="single" w:sz="6" w:space="0" w:color="000000"/>
            </w:tcBorders>
            <w:tcMar>
              <w:top w:w="8" w:type="dxa"/>
              <w:left w:w="108" w:type="dxa"/>
              <w:bottom w:w="8" w:type="dxa"/>
              <w:right w:w="108" w:type="dxa"/>
            </w:tcMar>
            <w:hideMark/>
          </w:tcPr>
          <w:p w14:paraId="2C9B51D0" w14:textId="77777777" w:rsidR="00592C29" w:rsidRPr="00585E2B" w:rsidRDefault="0048296D" w:rsidP="00984C20">
            <w:pPr>
              <w:rPr>
                <w:sz w:val="22"/>
                <w:szCs w:val="22"/>
              </w:rPr>
            </w:pPr>
            <w:r w:rsidRPr="00585E2B">
              <w:rPr>
                <w:rFonts w:ascii="Arial" w:eastAsia="Arial" w:hAnsi="Arial" w:cs="Arial"/>
                <w:sz w:val="22"/>
                <w:szCs w:val="22"/>
              </w:rPr>
              <w:t>4.</w:t>
            </w:r>
          </w:p>
        </w:tc>
        <w:tc>
          <w:tcPr>
            <w:tcW w:w="1617" w:type="dxa"/>
            <w:tcBorders>
              <w:top w:val="single" w:sz="6" w:space="0" w:color="000000"/>
              <w:left w:val="single" w:sz="6" w:space="0" w:color="000000"/>
              <w:right w:val="single" w:sz="6" w:space="0" w:color="000000"/>
            </w:tcBorders>
            <w:tcMar>
              <w:top w:w="8" w:type="dxa"/>
              <w:left w:w="108" w:type="dxa"/>
              <w:bottom w:w="8" w:type="dxa"/>
              <w:right w:w="108" w:type="dxa"/>
            </w:tcMar>
            <w:hideMark/>
          </w:tcPr>
          <w:p w14:paraId="5D9E6B5B" w14:textId="77777777" w:rsidR="00592C29" w:rsidRPr="00585E2B" w:rsidRDefault="0048296D" w:rsidP="00984C20">
            <w:pPr>
              <w:rPr>
                <w:sz w:val="20"/>
                <w:szCs w:val="20"/>
              </w:rPr>
            </w:pPr>
            <w:r w:rsidRPr="00585E2B">
              <w:rPr>
                <w:rFonts w:ascii="Arial" w:eastAsia="Arial" w:hAnsi="Arial" w:cs="Arial"/>
                <w:sz w:val="20"/>
                <w:szCs w:val="20"/>
              </w:rPr>
              <w:t>All other endorsements</w:t>
            </w:r>
          </w:p>
        </w:tc>
        <w:tc>
          <w:tcPr>
            <w:tcW w:w="1112" w:type="dxa"/>
            <w:tcBorders>
              <w:top w:val="single" w:sz="6" w:space="0" w:color="000000"/>
              <w:left w:val="single" w:sz="6" w:space="0" w:color="000000"/>
              <w:right w:val="single" w:sz="6" w:space="0" w:color="000000"/>
            </w:tcBorders>
            <w:tcMar>
              <w:top w:w="8" w:type="dxa"/>
              <w:left w:w="108" w:type="dxa"/>
              <w:bottom w:w="8" w:type="dxa"/>
              <w:right w:w="108" w:type="dxa"/>
            </w:tcMar>
            <w:hideMark/>
          </w:tcPr>
          <w:p w14:paraId="21897740" w14:textId="77777777" w:rsidR="00592C29" w:rsidRPr="00585E2B" w:rsidRDefault="0048296D" w:rsidP="00984C20">
            <w:pPr>
              <w:rPr>
                <w:sz w:val="20"/>
                <w:szCs w:val="20"/>
              </w:rPr>
            </w:pPr>
            <w:r w:rsidRPr="00585E2B">
              <w:rPr>
                <w:rFonts w:ascii="Arial" w:eastAsia="Arial" w:hAnsi="Arial" w:cs="Arial"/>
                <w:sz w:val="20"/>
                <w:szCs w:val="20"/>
              </w:rPr>
              <w:t>Any</w:t>
            </w:r>
          </w:p>
        </w:tc>
        <w:tc>
          <w:tcPr>
            <w:tcW w:w="1260" w:type="dxa"/>
            <w:tcBorders>
              <w:top w:val="single" w:sz="6" w:space="0" w:color="000000"/>
              <w:left w:val="single" w:sz="6" w:space="0" w:color="000000"/>
              <w:right w:val="single" w:sz="6" w:space="0" w:color="000000"/>
            </w:tcBorders>
            <w:tcMar>
              <w:top w:w="8" w:type="dxa"/>
              <w:left w:w="108" w:type="dxa"/>
              <w:bottom w:w="8" w:type="dxa"/>
              <w:right w:w="108" w:type="dxa"/>
            </w:tcMar>
            <w:hideMark/>
          </w:tcPr>
          <w:p w14:paraId="31B08906" w14:textId="77777777" w:rsidR="00592C29" w:rsidRPr="00585E2B" w:rsidRDefault="0048296D" w:rsidP="00984C20">
            <w:pPr>
              <w:rPr>
                <w:sz w:val="20"/>
                <w:szCs w:val="20"/>
              </w:rPr>
            </w:pPr>
            <w:r w:rsidRPr="00585E2B">
              <w:rPr>
                <w:rFonts w:ascii="Arial" w:eastAsia="Arial" w:hAnsi="Arial" w:cs="Arial"/>
                <w:sz w:val="20"/>
                <w:szCs w:val="20"/>
              </w:rPr>
              <w:t>Any</w:t>
            </w:r>
          </w:p>
        </w:tc>
        <w:tc>
          <w:tcPr>
            <w:tcW w:w="4914" w:type="dxa"/>
            <w:gridSpan w:val="2"/>
            <w:tcBorders>
              <w:top w:val="single" w:sz="6" w:space="0" w:color="000000"/>
              <w:left w:val="single" w:sz="6" w:space="0" w:color="000000"/>
            </w:tcBorders>
            <w:tcMar>
              <w:top w:w="8" w:type="dxa"/>
              <w:left w:w="108" w:type="dxa"/>
              <w:bottom w:w="8" w:type="dxa"/>
              <w:right w:w="108" w:type="dxa"/>
            </w:tcMar>
            <w:hideMark/>
          </w:tcPr>
          <w:p w14:paraId="5C857C8D" w14:textId="43E49DEB" w:rsidR="00592C29" w:rsidRDefault="0048296D" w:rsidP="00984C20">
            <w:pPr>
              <w:rPr>
                <w:rFonts w:ascii="Arial" w:eastAsia="Arial" w:hAnsi="Arial" w:cs="Arial"/>
                <w:sz w:val="20"/>
                <w:szCs w:val="20"/>
              </w:rPr>
            </w:pPr>
            <w:r w:rsidRPr="00585E2B">
              <w:rPr>
                <w:rFonts w:ascii="Arial" w:eastAsia="Arial" w:hAnsi="Arial" w:cs="Arial"/>
                <w:sz w:val="20"/>
                <w:szCs w:val="20"/>
              </w:rPr>
              <w:t>No impact – adopt existing process - standard Endorsement</w:t>
            </w:r>
          </w:p>
          <w:p w14:paraId="348B22AE" w14:textId="77777777" w:rsidR="00585E2B" w:rsidRPr="00585E2B" w:rsidRDefault="00585E2B" w:rsidP="00984C20">
            <w:pPr>
              <w:rPr>
                <w:sz w:val="20"/>
                <w:szCs w:val="20"/>
              </w:rPr>
            </w:pPr>
          </w:p>
          <w:p w14:paraId="0808111B" w14:textId="77777777" w:rsidR="00592C29" w:rsidRPr="00585E2B" w:rsidRDefault="00592C29" w:rsidP="00984C20">
            <w:pPr>
              <w:rPr>
                <w:sz w:val="20"/>
                <w:szCs w:val="20"/>
              </w:rPr>
            </w:pPr>
          </w:p>
        </w:tc>
      </w:tr>
    </w:tbl>
    <w:p w14:paraId="5F2455C9" w14:textId="5E5B446B" w:rsidR="00592C29" w:rsidRDefault="00592C29" w:rsidP="00984C20">
      <w:pPr>
        <w:rPr>
          <w:sz w:val="22"/>
          <w:szCs w:val="22"/>
        </w:rPr>
      </w:pPr>
    </w:p>
    <w:p w14:paraId="6E5CAEAF" w14:textId="77777777" w:rsidR="00585E2B" w:rsidRPr="00585E2B" w:rsidRDefault="00585E2B" w:rsidP="00984C20">
      <w:pPr>
        <w:rPr>
          <w:sz w:val="22"/>
          <w:szCs w:val="22"/>
        </w:rPr>
      </w:pPr>
    </w:p>
    <w:sectPr w:rsidR="00585E2B" w:rsidRPr="00585E2B" w:rsidSect="005B5B70">
      <w:pgSz w:w="11906" w:h="16838"/>
      <w:pgMar w:top="993" w:right="991"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FF718" w14:textId="77777777" w:rsidR="00984C20" w:rsidRDefault="00984C20">
      <w:r>
        <w:separator/>
      </w:r>
    </w:p>
  </w:endnote>
  <w:endnote w:type="continuationSeparator" w:id="0">
    <w:p w14:paraId="4688E5DA" w14:textId="77777777" w:rsidR="00984C20" w:rsidRDefault="00984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105B0" w14:textId="247AE49E" w:rsidR="00984C20" w:rsidRDefault="00984C20">
    <w:pPr>
      <w:jc w:val="right"/>
      <w:rPr>
        <w:sz w:val="22"/>
        <w:szCs w:val="22"/>
      </w:rPr>
    </w:pPr>
    <w:r>
      <w:rPr>
        <w:noProof/>
        <w:sz w:val="22"/>
        <w:szCs w:val="22"/>
      </w:rPr>
      <w:drawing>
        <wp:inline distT="0" distB="0" distL="0" distR="0" wp14:anchorId="41E31A50" wp14:editId="19A155D8">
          <wp:extent cx="1295400" cy="657225"/>
          <wp:effectExtent l="0" t="0" r="0" b="0"/>
          <wp:docPr id="100003" name="Picture 100003" descr="LMG Logo p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1"/>
                  <a:stretch>
                    <a:fillRect/>
                  </a:stretch>
                </pic:blipFill>
                <pic:spPr>
                  <a:xfrm>
                    <a:off x="0" y="0"/>
                    <a:ext cx="1295400" cy="657225"/>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54D81" w14:textId="19E14ED1" w:rsidR="00984C20" w:rsidRDefault="00984C20">
    <w:pPr>
      <w:tabs>
        <w:tab w:val="center" w:pos="4513"/>
        <w:tab w:val="right" w:pos="9026"/>
      </w:tabs>
      <w:rPr>
        <w:sz w:val="22"/>
        <w:szCs w:val="22"/>
      </w:rPr>
    </w:pPr>
    <w:r>
      <w:rPr>
        <w:rFonts w:ascii="Trebuchet MS" w:eastAsia="Trebuchet MS" w:hAnsi="Trebuchet MS" w:cs="Trebuchet MS"/>
        <w:sz w:val="22"/>
        <w:szCs w:val="22"/>
      </w:rPr>
      <w:fldChar w:fldCharType="begin"/>
    </w:r>
    <w:r>
      <w:rPr>
        <w:rFonts w:ascii="Trebuchet MS" w:eastAsia="Trebuchet MS" w:hAnsi="Trebuchet MS" w:cs="Trebuchet MS"/>
        <w:sz w:val="22"/>
        <w:szCs w:val="22"/>
      </w:rPr>
      <w:instrText xml:space="preserve"> FILENAME   \* MERGEFORMAT </w:instrText>
    </w:r>
    <w:r>
      <w:rPr>
        <w:rFonts w:ascii="Trebuchet MS" w:eastAsia="Trebuchet MS" w:hAnsi="Trebuchet MS" w:cs="Trebuchet MS"/>
        <w:sz w:val="22"/>
        <w:szCs w:val="22"/>
      </w:rPr>
      <w:fldChar w:fldCharType="separate"/>
    </w:r>
    <w:r w:rsidR="00941F4B">
      <w:rPr>
        <w:rFonts w:ascii="Trebuchet MS" w:eastAsia="Trebuchet MS" w:hAnsi="Trebuchet MS" w:cs="Trebuchet MS"/>
        <w:noProof/>
        <w:sz w:val="22"/>
        <w:szCs w:val="22"/>
      </w:rPr>
      <w:t>MRC-Brussels-Addendum-v2.0 - 2020.02.01</w:t>
    </w:r>
    <w:r>
      <w:rPr>
        <w:rFonts w:ascii="Trebuchet MS" w:eastAsia="Trebuchet MS" w:hAnsi="Trebuchet MS" w:cs="Trebuchet MS"/>
        <w:sz w:val="22"/>
        <w:szCs w:val="22"/>
      </w:rPr>
      <w:fldChar w:fldCharType="end"/>
    </w:r>
    <w:r>
      <w:rPr>
        <w:rFonts w:ascii="Trebuchet MS" w:eastAsia="Trebuchet MS" w:hAnsi="Trebuchet MS" w:cs="Trebuchet MS"/>
        <w:sz w:val="22"/>
        <w:szCs w:val="22"/>
      </w:rPr>
      <w:tab/>
    </w:r>
    <w:r>
      <w:rPr>
        <w:rFonts w:ascii="Trebuchet MS" w:eastAsia="Trebuchet MS" w:hAnsi="Trebuchet MS" w:cs="Trebuchet MS"/>
        <w:sz w:val="22"/>
        <w:szCs w:val="22"/>
      </w:rPr>
      <w:tab/>
      <w:t xml:space="preserve">Page </w:t>
    </w:r>
    <w:r>
      <w:rPr>
        <w:rFonts w:ascii="Trebuchet MS" w:eastAsia="Trebuchet MS" w:hAnsi="Trebuchet MS" w:cs="Trebuchet MS"/>
        <w:sz w:val="22"/>
        <w:szCs w:val="22"/>
      </w:rPr>
      <w:fldChar w:fldCharType="begin"/>
    </w:r>
    <w:r>
      <w:rPr>
        <w:rFonts w:ascii="Trebuchet MS" w:eastAsia="Trebuchet MS" w:hAnsi="Trebuchet MS" w:cs="Trebuchet MS"/>
        <w:sz w:val="22"/>
        <w:szCs w:val="22"/>
      </w:rPr>
      <w:instrText xml:space="preserve"> PAGE  \* Arabic  \* MERGEFORMAT </w:instrText>
    </w:r>
    <w:r>
      <w:rPr>
        <w:rFonts w:ascii="Trebuchet MS" w:eastAsia="Trebuchet MS" w:hAnsi="Trebuchet MS" w:cs="Trebuchet MS"/>
        <w:sz w:val="22"/>
        <w:szCs w:val="22"/>
      </w:rPr>
      <w:fldChar w:fldCharType="separate"/>
    </w:r>
    <w:r>
      <w:rPr>
        <w:rFonts w:ascii="Trebuchet MS" w:eastAsia="Trebuchet MS" w:hAnsi="Trebuchet MS" w:cs="Trebuchet MS"/>
        <w:sz w:val="22"/>
        <w:szCs w:val="22"/>
      </w:rPr>
      <w:t>103</w:t>
    </w:r>
    <w:r>
      <w:rPr>
        <w:rFonts w:ascii="Trebuchet MS" w:eastAsia="Trebuchet MS" w:hAnsi="Trebuchet MS" w:cs="Trebuchet MS"/>
        <w:sz w:val="22"/>
        <w:szCs w:val="22"/>
      </w:rPr>
      <w:fldChar w:fldCharType="end"/>
    </w:r>
    <w:r>
      <w:rPr>
        <w:rFonts w:ascii="Trebuchet MS" w:eastAsia="Trebuchet MS" w:hAnsi="Trebuchet MS" w:cs="Trebuchet MS"/>
        <w:sz w:val="22"/>
        <w:szCs w:val="22"/>
      </w:rPr>
      <w:t xml:space="preserve"> of </w:t>
    </w:r>
    <w:r>
      <w:rPr>
        <w:rFonts w:ascii="Trebuchet MS" w:eastAsia="Trebuchet MS" w:hAnsi="Trebuchet MS" w:cs="Trebuchet MS"/>
        <w:sz w:val="22"/>
        <w:szCs w:val="22"/>
      </w:rPr>
      <w:fldChar w:fldCharType="begin"/>
    </w:r>
    <w:r>
      <w:rPr>
        <w:rFonts w:ascii="Trebuchet MS" w:eastAsia="Trebuchet MS" w:hAnsi="Trebuchet MS" w:cs="Trebuchet MS"/>
        <w:sz w:val="22"/>
        <w:szCs w:val="22"/>
      </w:rPr>
      <w:instrText xml:space="preserve"> NUMPAGES  \* Arabic  \* MERGEFORMAT </w:instrText>
    </w:r>
    <w:r>
      <w:rPr>
        <w:rFonts w:ascii="Trebuchet MS" w:eastAsia="Trebuchet MS" w:hAnsi="Trebuchet MS" w:cs="Trebuchet MS"/>
        <w:sz w:val="22"/>
        <w:szCs w:val="22"/>
      </w:rPr>
      <w:fldChar w:fldCharType="separate"/>
    </w:r>
    <w:r>
      <w:rPr>
        <w:rFonts w:ascii="Trebuchet MS" w:eastAsia="Trebuchet MS" w:hAnsi="Trebuchet MS" w:cs="Trebuchet MS"/>
        <w:sz w:val="22"/>
        <w:szCs w:val="22"/>
      </w:rPr>
      <w:t>103</w:t>
    </w:r>
    <w:r>
      <w:rPr>
        <w:rFonts w:ascii="Trebuchet MS" w:eastAsia="Trebuchet MS" w:hAnsi="Trebuchet MS" w:cs="Trebuchet MS"/>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E06E1" w14:textId="77777777" w:rsidR="00984C20" w:rsidRDefault="00984C20">
      <w:r>
        <w:separator/>
      </w:r>
    </w:p>
  </w:footnote>
  <w:footnote w:type="continuationSeparator" w:id="0">
    <w:p w14:paraId="22EFEF48" w14:textId="77777777" w:rsidR="00984C20" w:rsidRDefault="00984C20">
      <w:r>
        <w:continuationSeparator/>
      </w:r>
    </w:p>
  </w:footnote>
  <w:footnote w:id="1">
    <w:p w14:paraId="2B2F7A5C" w14:textId="77777777" w:rsidR="00984C20" w:rsidRPr="00984C20" w:rsidRDefault="00984C20">
      <w:pPr>
        <w:rPr>
          <w:rFonts w:ascii="Arial" w:eastAsia="Arial" w:hAnsi="Arial" w:cs="Arial"/>
          <w:sz w:val="20"/>
          <w:szCs w:val="20"/>
          <w:vertAlign w:val="superscript"/>
        </w:rPr>
      </w:pPr>
      <w:r w:rsidRPr="00984C20">
        <w:rPr>
          <w:rStyle w:val="FootnoteReference"/>
          <w:rFonts w:ascii="Arial" w:eastAsia="Arial" w:hAnsi="Arial" w:cs="Arial"/>
          <w:sz w:val="20"/>
          <w:szCs w:val="20"/>
        </w:rPr>
        <w:footnoteRef/>
      </w:r>
      <w:r w:rsidRPr="00984C20">
        <w:rPr>
          <w:rFonts w:ascii="Arial" w:eastAsia="Arial" w:hAnsi="Arial" w:cs="Arial"/>
          <w:sz w:val="20"/>
          <w:szCs w:val="20"/>
        </w:rPr>
        <w:t xml:space="preserve"> All fields highlighted in </w:t>
      </w:r>
      <w:r w:rsidRPr="00984C20">
        <w:rPr>
          <w:rFonts w:ascii="Arial" w:eastAsia="Arial" w:hAnsi="Arial" w:cs="Arial"/>
          <w:sz w:val="20"/>
          <w:szCs w:val="20"/>
          <w:shd w:val="clear" w:color="auto" w:fill="FFFF00"/>
        </w:rPr>
        <w:t>yellow</w:t>
      </w:r>
      <w:r w:rsidRPr="00984C20">
        <w:rPr>
          <w:rFonts w:ascii="Arial" w:eastAsia="Arial" w:hAnsi="Arial" w:cs="Arial"/>
          <w:sz w:val="20"/>
          <w:szCs w:val="20"/>
        </w:rPr>
        <w:t xml:space="preserve"> require mandatory returns. All footnotes highlighted in </w:t>
      </w:r>
      <w:r w:rsidRPr="00984C20">
        <w:rPr>
          <w:rFonts w:ascii="Arial" w:eastAsia="Arial" w:hAnsi="Arial" w:cs="Arial"/>
          <w:sz w:val="20"/>
          <w:szCs w:val="20"/>
          <w:shd w:val="clear" w:color="auto" w:fill="00FF00"/>
        </w:rPr>
        <w:t>green</w:t>
      </w:r>
      <w:r w:rsidRPr="00984C20">
        <w:rPr>
          <w:rFonts w:ascii="Arial" w:eastAsia="Arial" w:hAnsi="Arial" w:cs="Arial"/>
          <w:sz w:val="20"/>
          <w:szCs w:val="20"/>
        </w:rPr>
        <w:t xml:space="preserve"> must be deleted from the Lloyd’s Brussels Contract Addendum before final agreement. </w:t>
      </w:r>
    </w:p>
  </w:footnote>
  <w:footnote w:id="2">
    <w:p w14:paraId="5775F496" w14:textId="77777777" w:rsidR="00984C20" w:rsidRPr="00984C20" w:rsidRDefault="00984C20">
      <w:pPr>
        <w:rPr>
          <w:rFonts w:ascii="Arial" w:eastAsia="Arial" w:hAnsi="Arial" w:cs="Arial"/>
          <w:sz w:val="20"/>
          <w:szCs w:val="20"/>
          <w:vertAlign w:val="superscript"/>
        </w:rPr>
      </w:pPr>
      <w:r w:rsidRPr="00984C20">
        <w:rPr>
          <w:rStyle w:val="FootnoteReference"/>
          <w:rFonts w:ascii="Arial" w:eastAsia="Arial" w:hAnsi="Arial" w:cs="Arial"/>
          <w:sz w:val="20"/>
          <w:szCs w:val="20"/>
        </w:rPr>
        <w:footnoteRef/>
      </w:r>
      <w:r w:rsidRPr="00984C20">
        <w:rPr>
          <w:rFonts w:ascii="Arial" w:eastAsia="Arial" w:hAnsi="Arial" w:cs="Arial"/>
          <w:sz w:val="20"/>
          <w:szCs w:val="20"/>
        </w:rPr>
        <w:t xml:space="preserve"> The entire Lloyd’s Brussels Contract Addendum is only applicable to Lloyd’s participation, not company markets.  This is vital when considering the deletion and replacement of certain clauses and heading sections.  </w:t>
      </w:r>
    </w:p>
  </w:footnote>
  <w:footnote w:id="3">
    <w:p w14:paraId="6334FE2C" w14:textId="77777777" w:rsidR="00984C20" w:rsidRPr="00984C20" w:rsidRDefault="00984C20">
      <w:pPr>
        <w:rPr>
          <w:rFonts w:ascii="Arial" w:eastAsia="Arial" w:hAnsi="Arial" w:cs="Arial"/>
          <w:sz w:val="20"/>
          <w:szCs w:val="20"/>
          <w:vertAlign w:val="superscript"/>
        </w:rPr>
      </w:pPr>
      <w:r w:rsidRPr="00984C20">
        <w:rPr>
          <w:rStyle w:val="FootnoteReference"/>
          <w:rFonts w:ascii="Arial" w:eastAsia="Arial" w:hAnsi="Arial" w:cs="Arial"/>
          <w:sz w:val="20"/>
          <w:szCs w:val="20"/>
        </w:rPr>
        <w:footnoteRef/>
      </w:r>
      <w:r w:rsidRPr="00984C20">
        <w:rPr>
          <w:rFonts w:ascii="Arial" w:eastAsia="Arial" w:hAnsi="Arial" w:cs="Arial"/>
          <w:sz w:val="20"/>
          <w:szCs w:val="20"/>
        </w:rPr>
        <w:t xml:space="preserve"> Amend as appropriate</w:t>
      </w:r>
    </w:p>
  </w:footnote>
  <w:footnote w:id="4">
    <w:p w14:paraId="0307DC78" w14:textId="77777777" w:rsidR="00984C20" w:rsidRDefault="00984C20">
      <w:pPr>
        <w:rPr>
          <w:rFonts w:ascii="Arial" w:eastAsia="Arial" w:hAnsi="Arial" w:cs="Arial"/>
          <w:color w:val="000000"/>
          <w:sz w:val="20"/>
          <w:szCs w:val="20"/>
          <w:vertAlign w:val="superscript"/>
        </w:rPr>
      </w:pPr>
      <w:r w:rsidRPr="00984C20">
        <w:rPr>
          <w:rStyle w:val="FootnoteReference"/>
          <w:rFonts w:ascii="Arial" w:eastAsia="Arial" w:hAnsi="Arial" w:cs="Arial"/>
          <w:sz w:val="20"/>
          <w:szCs w:val="20"/>
        </w:rPr>
        <w:footnoteRef/>
      </w:r>
      <w:r w:rsidRPr="00984C20">
        <w:rPr>
          <w:rFonts w:ascii="Arial" w:eastAsia="Arial" w:hAnsi="Arial" w:cs="Arial"/>
          <w:sz w:val="20"/>
          <w:szCs w:val="20"/>
        </w:rPr>
        <w:t xml:space="preserve"> Amend as appropriate</w:t>
      </w:r>
    </w:p>
  </w:footnote>
  <w:footnote w:id="5">
    <w:p w14:paraId="5FA18C15" w14:textId="77777777" w:rsidR="00984C20" w:rsidRPr="00984C20" w:rsidRDefault="00984C20">
      <w:pPr>
        <w:rPr>
          <w:rFonts w:ascii="Arial" w:eastAsia="Arial" w:hAnsi="Arial" w:cs="Arial"/>
          <w:sz w:val="20"/>
          <w:szCs w:val="20"/>
          <w:vertAlign w:val="superscript"/>
        </w:rPr>
      </w:pPr>
      <w:r w:rsidRPr="00984C20">
        <w:rPr>
          <w:rStyle w:val="FootnoteReference"/>
          <w:rFonts w:ascii="Arial" w:eastAsia="Arial" w:hAnsi="Arial" w:cs="Arial"/>
          <w:sz w:val="20"/>
          <w:szCs w:val="20"/>
        </w:rPr>
        <w:footnoteRef/>
      </w:r>
      <w:r w:rsidRPr="00984C20">
        <w:rPr>
          <w:rFonts w:ascii="Arial" w:eastAsia="Arial" w:hAnsi="Arial" w:cs="Arial"/>
          <w:sz w:val="20"/>
          <w:szCs w:val="20"/>
        </w:rPr>
        <w:t xml:space="preserve"> Basis of accumulation will need to be reviewed and updated to align with the Policy terms</w:t>
      </w:r>
    </w:p>
  </w:footnote>
  <w:footnote w:id="6">
    <w:p w14:paraId="5387ED14" w14:textId="77777777" w:rsidR="00984C20" w:rsidRPr="00984C20" w:rsidRDefault="00984C20">
      <w:pPr>
        <w:rPr>
          <w:rFonts w:ascii="Arial" w:eastAsia="Arial" w:hAnsi="Arial" w:cs="Arial"/>
          <w:sz w:val="20"/>
          <w:szCs w:val="20"/>
          <w:vertAlign w:val="superscript"/>
        </w:rPr>
      </w:pPr>
      <w:r w:rsidRPr="00984C20">
        <w:rPr>
          <w:rStyle w:val="FootnoteReference"/>
          <w:rFonts w:ascii="Arial" w:eastAsia="Arial" w:hAnsi="Arial" w:cs="Arial"/>
          <w:sz w:val="20"/>
          <w:szCs w:val="20"/>
        </w:rPr>
        <w:footnoteRef/>
      </w:r>
      <w:r w:rsidRPr="00984C20">
        <w:rPr>
          <w:rFonts w:ascii="Arial" w:eastAsia="Arial" w:hAnsi="Arial" w:cs="Arial"/>
          <w:sz w:val="20"/>
          <w:szCs w:val="20"/>
        </w:rPr>
        <w:t xml:space="preserve"> The use of LBS0006 is not mandatory but is strongly recommended. </w:t>
      </w:r>
    </w:p>
  </w:footnote>
  <w:footnote w:id="7">
    <w:p w14:paraId="209EF4E1" w14:textId="77777777" w:rsidR="00984C20" w:rsidRPr="00984C20" w:rsidRDefault="00984C20">
      <w:pPr>
        <w:rPr>
          <w:rFonts w:ascii="Arial" w:eastAsia="Arial" w:hAnsi="Arial" w:cs="Arial"/>
          <w:sz w:val="20"/>
          <w:szCs w:val="20"/>
          <w:vertAlign w:val="superscript"/>
        </w:rPr>
      </w:pPr>
      <w:r w:rsidRPr="00984C20">
        <w:rPr>
          <w:rStyle w:val="FootnoteReference"/>
          <w:rFonts w:ascii="Arial" w:eastAsia="Arial" w:hAnsi="Arial" w:cs="Arial"/>
          <w:sz w:val="20"/>
          <w:szCs w:val="20"/>
        </w:rPr>
        <w:footnoteRef/>
      </w:r>
      <w:r w:rsidRPr="00984C20">
        <w:rPr>
          <w:rFonts w:ascii="Arial" w:eastAsia="Arial" w:hAnsi="Arial" w:cs="Arial"/>
          <w:sz w:val="20"/>
          <w:szCs w:val="20"/>
        </w:rPr>
        <w:t xml:space="preserve"> Local rules/statutes may govern which LAW AND JURISDICTION is permissible in any given territory.  Whilst this would apply also to the underlying placement and is not a “LBS issue” per se, Underwriters should refer to Crystal for specific guidance.</w:t>
      </w:r>
    </w:p>
    <w:p w14:paraId="0D2522B3" w14:textId="77777777" w:rsidR="00984C20" w:rsidRDefault="00984C20">
      <w:pPr>
        <w:rPr>
          <w:sz w:val="20"/>
          <w:szCs w:val="20"/>
        </w:rPr>
      </w:pPr>
    </w:p>
  </w:footnote>
  <w:footnote w:id="8">
    <w:p w14:paraId="64B0E107" w14:textId="77777777" w:rsidR="00984C20" w:rsidRPr="00585E2B" w:rsidRDefault="00984C20">
      <w:pPr>
        <w:rPr>
          <w:rFonts w:ascii="Arial" w:eastAsia="Arial" w:hAnsi="Arial" w:cs="Arial"/>
          <w:sz w:val="20"/>
          <w:szCs w:val="20"/>
          <w:vertAlign w:val="superscript"/>
        </w:rPr>
      </w:pPr>
      <w:r w:rsidRPr="00585E2B">
        <w:rPr>
          <w:rStyle w:val="FootnoteReference"/>
          <w:rFonts w:ascii="Arial" w:eastAsia="Arial" w:hAnsi="Arial" w:cs="Arial"/>
          <w:sz w:val="20"/>
          <w:szCs w:val="20"/>
        </w:rPr>
        <w:footnoteRef/>
      </w:r>
      <w:r w:rsidRPr="00585E2B">
        <w:rPr>
          <w:rFonts w:ascii="Arial" w:eastAsia="Arial" w:hAnsi="Arial" w:cs="Arial"/>
          <w:sz w:val="20"/>
          <w:szCs w:val="20"/>
        </w:rPr>
        <w:t xml:space="preserve"> For M&amp;D premium it is possible to state the M&amp;D allocation for both Part 1 and Part 2 on a per section basis noting the premium will be adjusted per the original MRC. </w:t>
      </w:r>
    </w:p>
  </w:footnote>
  <w:footnote w:id="9">
    <w:p w14:paraId="70B5A5A1" w14:textId="77777777" w:rsidR="00984C20" w:rsidRPr="00585E2B" w:rsidRDefault="00984C20">
      <w:pPr>
        <w:rPr>
          <w:rFonts w:ascii="Arial" w:eastAsia="Arial" w:hAnsi="Arial" w:cs="Arial"/>
          <w:sz w:val="20"/>
          <w:szCs w:val="20"/>
          <w:vertAlign w:val="superscript"/>
        </w:rPr>
      </w:pPr>
      <w:r w:rsidRPr="00585E2B">
        <w:rPr>
          <w:rStyle w:val="FootnoteReference"/>
          <w:rFonts w:ascii="Arial" w:eastAsia="Arial" w:hAnsi="Arial" w:cs="Arial"/>
          <w:sz w:val="20"/>
          <w:szCs w:val="20"/>
        </w:rPr>
        <w:footnoteRef/>
      </w:r>
      <w:r w:rsidRPr="00585E2B">
        <w:rPr>
          <w:rFonts w:ascii="Arial" w:eastAsia="Arial" w:hAnsi="Arial" w:cs="Arial"/>
          <w:sz w:val="20"/>
          <w:szCs w:val="20"/>
        </w:rPr>
        <w:t xml:space="preserve"> Where the PREMIUM is adjusted REGULATORY RISK LOCATION must also be adjusted</w:t>
      </w:r>
    </w:p>
  </w:footnote>
  <w:footnote w:id="10">
    <w:p w14:paraId="039FF466" w14:textId="77777777" w:rsidR="00984C20" w:rsidRPr="00585E2B" w:rsidRDefault="00984C20">
      <w:pPr>
        <w:rPr>
          <w:rFonts w:ascii="Arial" w:eastAsia="Arial" w:hAnsi="Arial" w:cs="Arial"/>
          <w:sz w:val="20"/>
          <w:szCs w:val="20"/>
          <w:vertAlign w:val="superscript"/>
        </w:rPr>
      </w:pPr>
      <w:r w:rsidRPr="00585E2B">
        <w:rPr>
          <w:rStyle w:val="FootnoteReference"/>
          <w:rFonts w:ascii="Arial" w:eastAsia="Arial" w:hAnsi="Arial" w:cs="Arial"/>
          <w:sz w:val="20"/>
          <w:szCs w:val="20"/>
        </w:rPr>
        <w:footnoteRef/>
      </w:r>
      <w:r w:rsidRPr="00585E2B">
        <w:rPr>
          <w:rFonts w:ascii="Arial" w:eastAsia="Arial" w:hAnsi="Arial" w:cs="Arial"/>
          <w:sz w:val="20"/>
          <w:szCs w:val="20"/>
        </w:rPr>
        <w:t xml:space="preserve"> Must be amended depending on whether or not REGULATORY RISK LOCATION is stated within the original MRC</w:t>
      </w:r>
    </w:p>
  </w:footnote>
  <w:footnote w:id="11">
    <w:p w14:paraId="2A6F978A" w14:textId="77777777" w:rsidR="00984C20" w:rsidRDefault="00984C20">
      <w:pPr>
        <w:rPr>
          <w:rFonts w:ascii="Arial" w:eastAsia="Arial" w:hAnsi="Arial" w:cs="Arial"/>
          <w:color w:val="000000"/>
          <w:sz w:val="20"/>
          <w:szCs w:val="20"/>
          <w:vertAlign w:val="superscript"/>
        </w:rPr>
      </w:pPr>
      <w:r w:rsidRPr="00585E2B">
        <w:rPr>
          <w:rStyle w:val="FootnoteReference"/>
          <w:rFonts w:ascii="Arial" w:eastAsia="Arial" w:hAnsi="Arial" w:cs="Arial"/>
          <w:sz w:val="20"/>
          <w:szCs w:val="20"/>
        </w:rPr>
        <w:footnoteRef/>
      </w:r>
      <w:r w:rsidRPr="00585E2B">
        <w:rPr>
          <w:rFonts w:ascii="Arial" w:eastAsia="Arial" w:hAnsi="Arial" w:cs="Arial"/>
          <w:sz w:val="20"/>
          <w:szCs w:val="20"/>
        </w:rPr>
        <w:t xml:space="preserve"> This may be identical for both Part 1 and Part 2</w:t>
      </w:r>
    </w:p>
  </w:footnote>
  <w:footnote w:id="12">
    <w:p w14:paraId="1615629A" w14:textId="77777777" w:rsidR="00984C20" w:rsidRPr="00585E2B" w:rsidRDefault="00984C20">
      <w:pPr>
        <w:rPr>
          <w:rFonts w:ascii="Arial" w:eastAsia="Arial" w:hAnsi="Arial" w:cs="Arial"/>
          <w:sz w:val="20"/>
          <w:szCs w:val="20"/>
          <w:vertAlign w:val="superscript"/>
        </w:rPr>
      </w:pPr>
      <w:r w:rsidRPr="00585E2B">
        <w:rPr>
          <w:rStyle w:val="FootnoteReference"/>
          <w:rFonts w:ascii="Arial" w:eastAsia="Arial" w:hAnsi="Arial" w:cs="Arial"/>
          <w:sz w:val="20"/>
          <w:szCs w:val="20"/>
        </w:rPr>
        <w:footnoteRef/>
      </w:r>
      <w:r w:rsidRPr="00585E2B">
        <w:rPr>
          <w:rFonts w:ascii="Arial" w:eastAsia="Arial" w:hAnsi="Arial" w:cs="Arial"/>
          <w:sz w:val="20"/>
          <w:szCs w:val="20"/>
        </w:rPr>
        <w:t xml:space="preserve"> Where different sections of cover have different leaders, this must be specified, e.g. hull and liability have different leaders.  </w:t>
      </w:r>
    </w:p>
  </w:footnote>
  <w:footnote w:id="13">
    <w:p w14:paraId="4D745CC6" w14:textId="77777777" w:rsidR="00984C20" w:rsidRPr="00585E2B" w:rsidRDefault="00984C20">
      <w:pPr>
        <w:rPr>
          <w:rFonts w:ascii="Arial" w:eastAsia="Arial" w:hAnsi="Arial" w:cs="Arial"/>
          <w:sz w:val="20"/>
          <w:szCs w:val="20"/>
          <w:vertAlign w:val="superscript"/>
        </w:rPr>
      </w:pPr>
      <w:r w:rsidRPr="00585E2B">
        <w:rPr>
          <w:rStyle w:val="FootnoteReference"/>
          <w:rFonts w:ascii="Arial" w:eastAsia="Arial" w:hAnsi="Arial" w:cs="Arial"/>
          <w:sz w:val="20"/>
          <w:szCs w:val="20"/>
        </w:rPr>
        <w:footnoteRef/>
      </w:r>
      <w:r w:rsidRPr="00585E2B">
        <w:rPr>
          <w:rFonts w:ascii="Arial" w:eastAsia="Arial" w:hAnsi="Arial" w:cs="Arial"/>
          <w:sz w:val="20"/>
          <w:szCs w:val="20"/>
        </w:rPr>
        <w:t xml:space="preserve"> Where different sections of cover have different leaders, this must be specified, e.g. hull and liability have different leaders.  </w:t>
      </w:r>
    </w:p>
  </w:footnote>
  <w:footnote w:id="14">
    <w:p w14:paraId="041805EE" w14:textId="77777777" w:rsidR="00984C20" w:rsidRDefault="00984C20">
      <w:pPr>
        <w:rPr>
          <w:rFonts w:ascii="Arial" w:eastAsia="Arial" w:hAnsi="Arial" w:cs="Arial"/>
          <w:color w:val="000000"/>
          <w:sz w:val="20"/>
          <w:szCs w:val="20"/>
          <w:vertAlign w:val="superscript"/>
        </w:rPr>
      </w:pPr>
      <w:r w:rsidRPr="00585E2B">
        <w:rPr>
          <w:rStyle w:val="FootnoteReference"/>
          <w:rFonts w:ascii="Arial" w:eastAsia="Arial" w:hAnsi="Arial" w:cs="Arial"/>
          <w:sz w:val="20"/>
          <w:szCs w:val="20"/>
        </w:rPr>
        <w:footnoteRef/>
      </w:r>
      <w:r w:rsidRPr="00585E2B">
        <w:rPr>
          <w:rFonts w:ascii="Arial" w:eastAsia="Arial" w:hAnsi="Arial" w:cs="Arial"/>
          <w:sz w:val="20"/>
          <w:szCs w:val="20"/>
        </w:rPr>
        <w:t xml:space="preserve"> This Lloyd’s Brussels Contract Addendum must be signed AVS100B Box (3).</w:t>
      </w:r>
      <w:r>
        <w:rPr>
          <w:rFonts w:ascii="Arial" w:eastAsia="Arial" w:hAnsi="Arial" w:cs="Arial"/>
          <w:color w:val="B5082E"/>
          <w:sz w:val="20"/>
          <w:szCs w:val="20"/>
        </w:rPr>
        <w:t xml:space="preserve"> </w:t>
      </w:r>
    </w:p>
  </w:footnote>
  <w:footnote w:id="15">
    <w:p w14:paraId="28A82174" w14:textId="77777777" w:rsidR="00984C20" w:rsidRPr="00585E2B" w:rsidRDefault="00984C20">
      <w:pPr>
        <w:rPr>
          <w:rFonts w:ascii="Arial" w:eastAsia="Arial" w:hAnsi="Arial" w:cs="Arial"/>
          <w:sz w:val="20"/>
          <w:szCs w:val="20"/>
          <w:vertAlign w:val="superscript"/>
        </w:rPr>
      </w:pPr>
      <w:r w:rsidRPr="00585E2B">
        <w:rPr>
          <w:rStyle w:val="FootnoteReference"/>
          <w:rFonts w:ascii="Arial" w:eastAsia="Arial" w:hAnsi="Arial" w:cs="Arial"/>
          <w:sz w:val="20"/>
          <w:szCs w:val="20"/>
        </w:rPr>
        <w:footnoteRef/>
      </w:r>
      <w:r w:rsidRPr="00585E2B">
        <w:rPr>
          <w:rFonts w:ascii="Arial" w:eastAsia="Arial" w:hAnsi="Arial" w:cs="Arial"/>
          <w:sz w:val="20"/>
          <w:szCs w:val="20"/>
        </w:rPr>
        <w:t xml:space="preserve"> These stamps are included as examples only and must be deleted from the Endorsement template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C2D22">
      <w:start w:val="1"/>
      <w:numFmt w:val="bullet"/>
      <w:lvlText w:val=""/>
      <w:lvlJc w:val="left"/>
      <w:pPr>
        <w:ind w:left="720" w:hanging="360"/>
      </w:pPr>
      <w:rPr>
        <w:rFonts w:ascii="Symbol" w:hAnsi="Symbol"/>
        <w:b w:val="0"/>
        <w:bCs w:val="0"/>
      </w:rPr>
    </w:lvl>
    <w:lvl w:ilvl="1" w:tplc="D86ADD52">
      <w:start w:val="1"/>
      <w:numFmt w:val="bullet"/>
      <w:lvlText w:val="o"/>
      <w:lvlJc w:val="left"/>
      <w:pPr>
        <w:tabs>
          <w:tab w:val="num" w:pos="1440"/>
        </w:tabs>
        <w:ind w:left="1440" w:hanging="360"/>
      </w:pPr>
      <w:rPr>
        <w:rFonts w:ascii="Courier New" w:hAnsi="Courier New"/>
      </w:rPr>
    </w:lvl>
    <w:lvl w:ilvl="2" w:tplc="1F6A9242">
      <w:start w:val="1"/>
      <w:numFmt w:val="bullet"/>
      <w:lvlText w:val=""/>
      <w:lvlJc w:val="left"/>
      <w:pPr>
        <w:tabs>
          <w:tab w:val="num" w:pos="2160"/>
        </w:tabs>
        <w:ind w:left="2160" w:hanging="360"/>
      </w:pPr>
      <w:rPr>
        <w:rFonts w:ascii="Wingdings" w:hAnsi="Wingdings"/>
      </w:rPr>
    </w:lvl>
    <w:lvl w:ilvl="3" w:tplc="6FB03B7C">
      <w:start w:val="1"/>
      <w:numFmt w:val="bullet"/>
      <w:lvlText w:val=""/>
      <w:lvlJc w:val="left"/>
      <w:pPr>
        <w:tabs>
          <w:tab w:val="num" w:pos="2880"/>
        </w:tabs>
        <w:ind w:left="2880" w:hanging="360"/>
      </w:pPr>
      <w:rPr>
        <w:rFonts w:ascii="Symbol" w:hAnsi="Symbol"/>
      </w:rPr>
    </w:lvl>
    <w:lvl w:ilvl="4" w:tplc="6FE2C536">
      <w:start w:val="1"/>
      <w:numFmt w:val="bullet"/>
      <w:lvlText w:val="o"/>
      <w:lvlJc w:val="left"/>
      <w:pPr>
        <w:tabs>
          <w:tab w:val="num" w:pos="3600"/>
        </w:tabs>
        <w:ind w:left="3600" w:hanging="360"/>
      </w:pPr>
      <w:rPr>
        <w:rFonts w:ascii="Courier New" w:hAnsi="Courier New"/>
      </w:rPr>
    </w:lvl>
    <w:lvl w:ilvl="5" w:tplc="29B0C9A6">
      <w:start w:val="1"/>
      <w:numFmt w:val="bullet"/>
      <w:lvlText w:val=""/>
      <w:lvlJc w:val="left"/>
      <w:pPr>
        <w:tabs>
          <w:tab w:val="num" w:pos="4320"/>
        </w:tabs>
        <w:ind w:left="4320" w:hanging="360"/>
      </w:pPr>
      <w:rPr>
        <w:rFonts w:ascii="Wingdings" w:hAnsi="Wingdings"/>
      </w:rPr>
    </w:lvl>
    <w:lvl w:ilvl="6" w:tplc="5A306526">
      <w:start w:val="1"/>
      <w:numFmt w:val="bullet"/>
      <w:lvlText w:val=""/>
      <w:lvlJc w:val="left"/>
      <w:pPr>
        <w:tabs>
          <w:tab w:val="num" w:pos="5040"/>
        </w:tabs>
        <w:ind w:left="5040" w:hanging="360"/>
      </w:pPr>
      <w:rPr>
        <w:rFonts w:ascii="Symbol" w:hAnsi="Symbol"/>
      </w:rPr>
    </w:lvl>
    <w:lvl w:ilvl="7" w:tplc="F4146986">
      <w:start w:val="1"/>
      <w:numFmt w:val="bullet"/>
      <w:lvlText w:val="o"/>
      <w:lvlJc w:val="left"/>
      <w:pPr>
        <w:tabs>
          <w:tab w:val="num" w:pos="5760"/>
        </w:tabs>
        <w:ind w:left="5760" w:hanging="360"/>
      </w:pPr>
      <w:rPr>
        <w:rFonts w:ascii="Courier New" w:hAnsi="Courier New"/>
      </w:rPr>
    </w:lvl>
    <w:lvl w:ilvl="8" w:tplc="C6702DD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1CBA7E6A">
      <w:start w:val="1"/>
      <w:numFmt w:val="bullet"/>
      <w:lvlText w:val=""/>
      <w:lvlJc w:val="left"/>
      <w:pPr>
        <w:ind w:left="720" w:hanging="360"/>
      </w:pPr>
      <w:rPr>
        <w:rFonts w:ascii="Symbol" w:hAnsi="Symbol"/>
        <w:b w:val="0"/>
        <w:bCs w:val="0"/>
      </w:rPr>
    </w:lvl>
    <w:lvl w:ilvl="1" w:tplc="444A2E02">
      <w:start w:val="1"/>
      <w:numFmt w:val="bullet"/>
      <w:lvlText w:val="o"/>
      <w:lvlJc w:val="left"/>
      <w:pPr>
        <w:tabs>
          <w:tab w:val="num" w:pos="1440"/>
        </w:tabs>
        <w:ind w:left="1440" w:hanging="360"/>
      </w:pPr>
      <w:rPr>
        <w:rFonts w:ascii="Courier New" w:hAnsi="Courier New"/>
      </w:rPr>
    </w:lvl>
    <w:lvl w:ilvl="2" w:tplc="73F873A2">
      <w:start w:val="1"/>
      <w:numFmt w:val="bullet"/>
      <w:lvlText w:val=""/>
      <w:lvlJc w:val="left"/>
      <w:pPr>
        <w:tabs>
          <w:tab w:val="num" w:pos="2160"/>
        </w:tabs>
        <w:ind w:left="2160" w:hanging="360"/>
      </w:pPr>
      <w:rPr>
        <w:rFonts w:ascii="Wingdings" w:hAnsi="Wingdings"/>
      </w:rPr>
    </w:lvl>
    <w:lvl w:ilvl="3" w:tplc="85D4B50A">
      <w:start w:val="1"/>
      <w:numFmt w:val="bullet"/>
      <w:lvlText w:val=""/>
      <w:lvlJc w:val="left"/>
      <w:pPr>
        <w:tabs>
          <w:tab w:val="num" w:pos="2880"/>
        </w:tabs>
        <w:ind w:left="2880" w:hanging="360"/>
      </w:pPr>
      <w:rPr>
        <w:rFonts w:ascii="Symbol" w:hAnsi="Symbol"/>
      </w:rPr>
    </w:lvl>
    <w:lvl w:ilvl="4" w:tplc="CFB87824">
      <w:start w:val="1"/>
      <w:numFmt w:val="bullet"/>
      <w:lvlText w:val="o"/>
      <w:lvlJc w:val="left"/>
      <w:pPr>
        <w:tabs>
          <w:tab w:val="num" w:pos="3600"/>
        </w:tabs>
        <w:ind w:left="3600" w:hanging="360"/>
      </w:pPr>
      <w:rPr>
        <w:rFonts w:ascii="Courier New" w:hAnsi="Courier New"/>
      </w:rPr>
    </w:lvl>
    <w:lvl w:ilvl="5" w:tplc="7E8ADBB6">
      <w:start w:val="1"/>
      <w:numFmt w:val="bullet"/>
      <w:lvlText w:val=""/>
      <w:lvlJc w:val="left"/>
      <w:pPr>
        <w:tabs>
          <w:tab w:val="num" w:pos="4320"/>
        </w:tabs>
        <w:ind w:left="4320" w:hanging="360"/>
      </w:pPr>
      <w:rPr>
        <w:rFonts w:ascii="Wingdings" w:hAnsi="Wingdings"/>
      </w:rPr>
    </w:lvl>
    <w:lvl w:ilvl="6" w:tplc="820C7CA0">
      <w:start w:val="1"/>
      <w:numFmt w:val="bullet"/>
      <w:lvlText w:val=""/>
      <w:lvlJc w:val="left"/>
      <w:pPr>
        <w:tabs>
          <w:tab w:val="num" w:pos="5040"/>
        </w:tabs>
        <w:ind w:left="5040" w:hanging="360"/>
      </w:pPr>
      <w:rPr>
        <w:rFonts w:ascii="Symbol" w:hAnsi="Symbol"/>
      </w:rPr>
    </w:lvl>
    <w:lvl w:ilvl="7" w:tplc="64F48216">
      <w:start w:val="1"/>
      <w:numFmt w:val="bullet"/>
      <w:lvlText w:val="o"/>
      <w:lvlJc w:val="left"/>
      <w:pPr>
        <w:tabs>
          <w:tab w:val="num" w:pos="5760"/>
        </w:tabs>
        <w:ind w:left="5760" w:hanging="360"/>
      </w:pPr>
      <w:rPr>
        <w:rFonts w:ascii="Courier New" w:hAnsi="Courier New"/>
      </w:rPr>
    </w:lvl>
    <w:lvl w:ilvl="8" w:tplc="E63E6A94">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6756E926">
      <w:start w:val="1"/>
      <w:numFmt w:val="bullet"/>
      <w:lvlText w:val=""/>
      <w:lvlJc w:val="left"/>
      <w:pPr>
        <w:ind w:left="720" w:hanging="360"/>
      </w:pPr>
      <w:rPr>
        <w:rFonts w:ascii="Symbol" w:hAnsi="Symbol"/>
        <w:b w:val="0"/>
        <w:bCs w:val="0"/>
      </w:rPr>
    </w:lvl>
    <w:lvl w:ilvl="1" w:tplc="DB5E547A">
      <w:start w:val="1"/>
      <w:numFmt w:val="bullet"/>
      <w:lvlText w:val="o"/>
      <w:lvlJc w:val="left"/>
      <w:pPr>
        <w:tabs>
          <w:tab w:val="num" w:pos="1440"/>
        </w:tabs>
        <w:ind w:left="1440" w:hanging="360"/>
      </w:pPr>
      <w:rPr>
        <w:rFonts w:ascii="Courier New" w:hAnsi="Courier New"/>
      </w:rPr>
    </w:lvl>
    <w:lvl w:ilvl="2" w:tplc="2FAC2896">
      <w:start w:val="1"/>
      <w:numFmt w:val="bullet"/>
      <w:lvlText w:val=""/>
      <w:lvlJc w:val="left"/>
      <w:pPr>
        <w:tabs>
          <w:tab w:val="num" w:pos="2160"/>
        </w:tabs>
        <w:ind w:left="2160" w:hanging="360"/>
      </w:pPr>
      <w:rPr>
        <w:rFonts w:ascii="Wingdings" w:hAnsi="Wingdings"/>
      </w:rPr>
    </w:lvl>
    <w:lvl w:ilvl="3" w:tplc="6584D8A6">
      <w:start w:val="1"/>
      <w:numFmt w:val="bullet"/>
      <w:lvlText w:val=""/>
      <w:lvlJc w:val="left"/>
      <w:pPr>
        <w:tabs>
          <w:tab w:val="num" w:pos="2880"/>
        </w:tabs>
        <w:ind w:left="2880" w:hanging="360"/>
      </w:pPr>
      <w:rPr>
        <w:rFonts w:ascii="Symbol" w:hAnsi="Symbol"/>
      </w:rPr>
    </w:lvl>
    <w:lvl w:ilvl="4" w:tplc="FDF2EB88">
      <w:start w:val="1"/>
      <w:numFmt w:val="bullet"/>
      <w:lvlText w:val="o"/>
      <w:lvlJc w:val="left"/>
      <w:pPr>
        <w:tabs>
          <w:tab w:val="num" w:pos="3600"/>
        </w:tabs>
        <w:ind w:left="3600" w:hanging="360"/>
      </w:pPr>
      <w:rPr>
        <w:rFonts w:ascii="Courier New" w:hAnsi="Courier New"/>
      </w:rPr>
    </w:lvl>
    <w:lvl w:ilvl="5" w:tplc="6A1E5B14">
      <w:start w:val="1"/>
      <w:numFmt w:val="bullet"/>
      <w:lvlText w:val=""/>
      <w:lvlJc w:val="left"/>
      <w:pPr>
        <w:tabs>
          <w:tab w:val="num" w:pos="4320"/>
        </w:tabs>
        <w:ind w:left="4320" w:hanging="360"/>
      </w:pPr>
      <w:rPr>
        <w:rFonts w:ascii="Wingdings" w:hAnsi="Wingdings"/>
      </w:rPr>
    </w:lvl>
    <w:lvl w:ilvl="6" w:tplc="6C7AE5B2">
      <w:start w:val="1"/>
      <w:numFmt w:val="bullet"/>
      <w:lvlText w:val=""/>
      <w:lvlJc w:val="left"/>
      <w:pPr>
        <w:tabs>
          <w:tab w:val="num" w:pos="5040"/>
        </w:tabs>
        <w:ind w:left="5040" w:hanging="360"/>
      </w:pPr>
      <w:rPr>
        <w:rFonts w:ascii="Symbol" w:hAnsi="Symbol"/>
      </w:rPr>
    </w:lvl>
    <w:lvl w:ilvl="7" w:tplc="872C242A">
      <w:start w:val="1"/>
      <w:numFmt w:val="bullet"/>
      <w:lvlText w:val="o"/>
      <w:lvlJc w:val="left"/>
      <w:pPr>
        <w:tabs>
          <w:tab w:val="num" w:pos="5760"/>
        </w:tabs>
        <w:ind w:left="5760" w:hanging="360"/>
      </w:pPr>
      <w:rPr>
        <w:rFonts w:ascii="Courier New" w:hAnsi="Courier New"/>
      </w:rPr>
    </w:lvl>
    <w:lvl w:ilvl="8" w:tplc="B3BE0B9C">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9D10F5D2">
      <w:start w:val="1"/>
      <w:numFmt w:val="bullet"/>
      <w:lvlText w:val=""/>
      <w:lvlJc w:val="left"/>
      <w:pPr>
        <w:ind w:left="720" w:hanging="360"/>
      </w:pPr>
      <w:rPr>
        <w:rFonts w:ascii="Symbol" w:hAnsi="Symbol"/>
        <w:b w:val="0"/>
        <w:bCs w:val="0"/>
      </w:rPr>
    </w:lvl>
    <w:lvl w:ilvl="1" w:tplc="FEE8D368">
      <w:start w:val="1"/>
      <w:numFmt w:val="bullet"/>
      <w:lvlText w:val="o"/>
      <w:lvlJc w:val="left"/>
      <w:pPr>
        <w:tabs>
          <w:tab w:val="num" w:pos="1440"/>
        </w:tabs>
        <w:ind w:left="1440" w:hanging="360"/>
      </w:pPr>
      <w:rPr>
        <w:rFonts w:ascii="Courier New" w:hAnsi="Courier New"/>
      </w:rPr>
    </w:lvl>
    <w:lvl w:ilvl="2" w:tplc="D2D48DE8">
      <w:start w:val="1"/>
      <w:numFmt w:val="bullet"/>
      <w:lvlText w:val=""/>
      <w:lvlJc w:val="left"/>
      <w:pPr>
        <w:tabs>
          <w:tab w:val="num" w:pos="2160"/>
        </w:tabs>
        <w:ind w:left="2160" w:hanging="360"/>
      </w:pPr>
      <w:rPr>
        <w:rFonts w:ascii="Wingdings" w:hAnsi="Wingdings"/>
      </w:rPr>
    </w:lvl>
    <w:lvl w:ilvl="3" w:tplc="A884531C">
      <w:start w:val="1"/>
      <w:numFmt w:val="bullet"/>
      <w:lvlText w:val=""/>
      <w:lvlJc w:val="left"/>
      <w:pPr>
        <w:tabs>
          <w:tab w:val="num" w:pos="2880"/>
        </w:tabs>
        <w:ind w:left="2880" w:hanging="360"/>
      </w:pPr>
      <w:rPr>
        <w:rFonts w:ascii="Symbol" w:hAnsi="Symbol"/>
      </w:rPr>
    </w:lvl>
    <w:lvl w:ilvl="4" w:tplc="F196C67A">
      <w:start w:val="1"/>
      <w:numFmt w:val="bullet"/>
      <w:lvlText w:val="o"/>
      <w:lvlJc w:val="left"/>
      <w:pPr>
        <w:tabs>
          <w:tab w:val="num" w:pos="3600"/>
        </w:tabs>
        <w:ind w:left="3600" w:hanging="360"/>
      </w:pPr>
      <w:rPr>
        <w:rFonts w:ascii="Courier New" w:hAnsi="Courier New"/>
      </w:rPr>
    </w:lvl>
    <w:lvl w:ilvl="5" w:tplc="E7D0B04A">
      <w:start w:val="1"/>
      <w:numFmt w:val="bullet"/>
      <w:lvlText w:val=""/>
      <w:lvlJc w:val="left"/>
      <w:pPr>
        <w:tabs>
          <w:tab w:val="num" w:pos="4320"/>
        </w:tabs>
        <w:ind w:left="4320" w:hanging="360"/>
      </w:pPr>
      <w:rPr>
        <w:rFonts w:ascii="Wingdings" w:hAnsi="Wingdings"/>
      </w:rPr>
    </w:lvl>
    <w:lvl w:ilvl="6" w:tplc="B02E6B12">
      <w:start w:val="1"/>
      <w:numFmt w:val="bullet"/>
      <w:lvlText w:val=""/>
      <w:lvlJc w:val="left"/>
      <w:pPr>
        <w:tabs>
          <w:tab w:val="num" w:pos="5040"/>
        </w:tabs>
        <w:ind w:left="5040" w:hanging="360"/>
      </w:pPr>
      <w:rPr>
        <w:rFonts w:ascii="Symbol" w:hAnsi="Symbol"/>
      </w:rPr>
    </w:lvl>
    <w:lvl w:ilvl="7" w:tplc="F93CFFE0">
      <w:start w:val="1"/>
      <w:numFmt w:val="bullet"/>
      <w:lvlText w:val="o"/>
      <w:lvlJc w:val="left"/>
      <w:pPr>
        <w:tabs>
          <w:tab w:val="num" w:pos="5760"/>
        </w:tabs>
        <w:ind w:left="5760" w:hanging="360"/>
      </w:pPr>
      <w:rPr>
        <w:rFonts w:ascii="Courier New" w:hAnsi="Courier New"/>
      </w:rPr>
    </w:lvl>
    <w:lvl w:ilvl="8" w:tplc="F3A22F16">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A7ECBB9A">
      <w:start w:val="1"/>
      <w:numFmt w:val="bullet"/>
      <w:lvlText w:val=""/>
      <w:lvlJc w:val="left"/>
      <w:pPr>
        <w:ind w:left="720" w:hanging="360"/>
      </w:pPr>
      <w:rPr>
        <w:rFonts w:ascii="Symbol" w:hAnsi="Symbol"/>
        <w:b w:val="0"/>
        <w:bCs w:val="0"/>
      </w:rPr>
    </w:lvl>
    <w:lvl w:ilvl="1" w:tplc="94B68F46">
      <w:start w:val="1"/>
      <w:numFmt w:val="bullet"/>
      <w:lvlText w:val="o"/>
      <w:lvlJc w:val="left"/>
      <w:pPr>
        <w:tabs>
          <w:tab w:val="num" w:pos="1440"/>
        </w:tabs>
        <w:ind w:left="1440" w:hanging="360"/>
      </w:pPr>
      <w:rPr>
        <w:rFonts w:ascii="Courier New" w:hAnsi="Courier New"/>
      </w:rPr>
    </w:lvl>
    <w:lvl w:ilvl="2" w:tplc="182CD94E">
      <w:start w:val="1"/>
      <w:numFmt w:val="bullet"/>
      <w:lvlText w:val=""/>
      <w:lvlJc w:val="left"/>
      <w:pPr>
        <w:tabs>
          <w:tab w:val="num" w:pos="2160"/>
        </w:tabs>
        <w:ind w:left="2160" w:hanging="360"/>
      </w:pPr>
      <w:rPr>
        <w:rFonts w:ascii="Wingdings" w:hAnsi="Wingdings"/>
      </w:rPr>
    </w:lvl>
    <w:lvl w:ilvl="3" w:tplc="0178D0B0">
      <w:start w:val="1"/>
      <w:numFmt w:val="bullet"/>
      <w:lvlText w:val=""/>
      <w:lvlJc w:val="left"/>
      <w:pPr>
        <w:tabs>
          <w:tab w:val="num" w:pos="2880"/>
        </w:tabs>
        <w:ind w:left="2880" w:hanging="360"/>
      </w:pPr>
      <w:rPr>
        <w:rFonts w:ascii="Symbol" w:hAnsi="Symbol"/>
      </w:rPr>
    </w:lvl>
    <w:lvl w:ilvl="4" w:tplc="9D72B022">
      <w:start w:val="1"/>
      <w:numFmt w:val="bullet"/>
      <w:lvlText w:val="o"/>
      <w:lvlJc w:val="left"/>
      <w:pPr>
        <w:tabs>
          <w:tab w:val="num" w:pos="3600"/>
        </w:tabs>
        <w:ind w:left="3600" w:hanging="360"/>
      </w:pPr>
      <w:rPr>
        <w:rFonts w:ascii="Courier New" w:hAnsi="Courier New"/>
      </w:rPr>
    </w:lvl>
    <w:lvl w:ilvl="5" w:tplc="805E0666">
      <w:start w:val="1"/>
      <w:numFmt w:val="bullet"/>
      <w:lvlText w:val=""/>
      <w:lvlJc w:val="left"/>
      <w:pPr>
        <w:tabs>
          <w:tab w:val="num" w:pos="4320"/>
        </w:tabs>
        <w:ind w:left="4320" w:hanging="360"/>
      </w:pPr>
      <w:rPr>
        <w:rFonts w:ascii="Wingdings" w:hAnsi="Wingdings"/>
      </w:rPr>
    </w:lvl>
    <w:lvl w:ilvl="6" w:tplc="D9D2DB9A">
      <w:start w:val="1"/>
      <w:numFmt w:val="bullet"/>
      <w:lvlText w:val=""/>
      <w:lvlJc w:val="left"/>
      <w:pPr>
        <w:tabs>
          <w:tab w:val="num" w:pos="5040"/>
        </w:tabs>
        <w:ind w:left="5040" w:hanging="360"/>
      </w:pPr>
      <w:rPr>
        <w:rFonts w:ascii="Symbol" w:hAnsi="Symbol"/>
      </w:rPr>
    </w:lvl>
    <w:lvl w:ilvl="7" w:tplc="41A01AE4">
      <w:start w:val="1"/>
      <w:numFmt w:val="bullet"/>
      <w:lvlText w:val="o"/>
      <w:lvlJc w:val="left"/>
      <w:pPr>
        <w:tabs>
          <w:tab w:val="num" w:pos="5760"/>
        </w:tabs>
        <w:ind w:left="5760" w:hanging="360"/>
      </w:pPr>
      <w:rPr>
        <w:rFonts w:ascii="Courier New" w:hAnsi="Courier New"/>
      </w:rPr>
    </w:lvl>
    <w:lvl w:ilvl="8" w:tplc="E1B69246">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86BC5942">
      <w:start w:val="1"/>
      <w:numFmt w:val="bullet"/>
      <w:lvlText w:val=""/>
      <w:lvlJc w:val="left"/>
      <w:pPr>
        <w:ind w:left="720" w:hanging="360"/>
      </w:pPr>
      <w:rPr>
        <w:rFonts w:ascii="Symbol" w:hAnsi="Symbol"/>
        <w:b w:val="0"/>
        <w:bCs w:val="0"/>
      </w:rPr>
    </w:lvl>
    <w:lvl w:ilvl="1" w:tplc="8C260CE8">
      <w:start w:val="1"/>
      <w:numFmt w:val="bullet"/>
      <w:lvlText w:val="o"/>
      <w:lvlJc w:val="left"/>
      <w:pPr>
        <w:tabs>
          <w:tab w:val="num" w:pos="1440"/>
        </w:tabs>
        <w:ind w:left="1440" w:hanging="360"/>
      </w:pPr>
      <w:rPr>
        <w:rFonts w:ascii="Courier New" w:hAnsi="Courier New"/>
      </w:rPr>
    </w:lvl>
    <w:lvl w:ilvl="2" w:tplc="6CCAF396">
      <w:start w:val="1"/>
      <w:numFmt w:val="bullet"/>
      <w:lvlText w:val=""/>
      <w:lvlJc w:val="left"/>
      <w:pPr>
        <w:tabs>
          <w:tab w:val="num" w:pos="2160"/>
        </w:tabs>
        <w:ind w:left="2160" w:hanging="360"/>
      </w:pPr>
      <w:rPr>
        <w:rFonts w:ascii="Wingdings" w:hAnsi="Wingdings"/>
      </w:rPr>
    </w:lvl>
    <w:lvl w:ilvl="3" w:tplc="72D00F7A">
      <w:start w:val="1"/>
      <w:numFmt w:val="bullet"/>
      <w:lvlText w:val=""/>
      <w:lvlJc w:val="left"/>
      <w:pPr>
        <w:tabs>
          <w:tab w:val="num" w:pos="2880"/>
        </w:tabs>
        <w:ind w:left="2880" w:hanging="360"/>
      </w:pPr>
      <w:rPr>
        <w:rFonts w:ascii="Symbol" w:hAnsi="Symbol"/>
      </w:rPr>
    </w:lvl>
    <w:lvl w:ilvl="4" w:tplc="397E216E">
      <w:start w:val="1"/>
      <w:numFmt w:val="bullet"/>
      <w:lvlText w:val="o"/>
      <w:lvlJc w:val="left"/>
      <w:pPr>
        <w:tabs>
          <w:tab w:val="num" w:pos="3600"/>
        </w:tabs>
        <w:ind w:left="3600" w:hanging="360"/>
      </w:pPr>
      <w:rPr>
        <w:rFonts w:ascii="Courier New" w:hAnsi="Courier New"/>
      </w:rPr>
    </w:lvl>
    <w:lvl w:ilvl="5" w:tplc="EAD0C908">
      <w:start w:val="1"/>
      <w:numFmt w:val="bullet"/>
      <w:lvlText w:val=""/>
      <w:lvlJc w:val="left"/>
      <w:pPr>
        <w:tabs>
          <w:tab w:val="num" w:pos="4320"/>
        </w:tabs>
        <w:ind w:left="4320" w:hanging="360"/>
      </w:pPr>
      <w:rPr>
        <w:rFonts w:ascii="Wingdings" w:hAnsi="Wingdings"/>
      </w:rPr>
    </w:lvl>
    <w:lvl w:ilvl="6" w:tplc="BE321BB2">
      <w:start w:val="1"/>
      <w:numFmt w:val="bullet"/>
      <w:lvlText w:val=""/>
      <w:lvlJc w:val="left"/>
      <w:pPr>
        <w:tabs>
          <w:tab w:val="num" w:pos="5040"/>
        </w:tabs>
        <w:ind w:left="5040" w:hanging="360"/>
      </w:pPr>
      <w:rPr>
        <w:rFonts w:ascii="Symbol" w:hAnsi="Symbol"/>
      </w:rPr>
    </w:lvl>
    <w:lvl w:ilvl="7" w:tplc="DC5AF66A">
      <w:start w:val="1"/>
      <w:numFmt w:val="bullet"/>
      <w:lvlText w:val="o"/>
      <w:lvlJc w:val="left"/>
      <w:pPr>
        <w:tabs>
          <w:tab w:val="num" w:pos="5760"/>
        </w:tabs>
        <w:ind w:left="5760" w:hanging="360"/>
      </w:pPr>
      <w:rPr>
        <w:rFonts w:ascii="Courier New" w:hAnsi="Courier New"/>
      </w:rPr>
    </w:lvl>
    <w:lvl w:ilvl="8" w:tplc="FC3075A6">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42AE7CE2">
      <w:start w:val="1"/>
      <w:numFmt w:val="bullet"/>
      <w:lvlText w:val=""/>
      <w:lvlJc w:val="left"/>
      <w:pPr>
        <w:ind w:left="720" w:hanging="360"/>
      </w:pPr>
      <w:rPr>
        <w:rFonts w:ascii="Symbol" w:hAnsi="Symbol"/>
        <w:b w:val="0"/>
        <w:bCs w:val="0"/>
      </w:rPr>
    </w:lvl>
    <w:lvl w:ilvl="1" w:tplc="8C2A9308">
      <w:start w:val="1"/>
      <w:numFmt w:val="bullet"/>
      <w:lvlText w:val="o"/>
      <w:lvlJc w:val="left"/>
      <w:pPr>
        <w:tabs>
          <w:tab w:val="num" w:pos="1440"/>
        </w:tabs>
        <w:ind w:left="1440" w:hanging="360"/>
      </w:pPr>
      <w:rPr>
        <w:rFonts w:ascii="Courier New" w:hAnsi="Courier New"/>
      </w:rPr>
    </w:lvl>
    <w:lvl w:ilvl="2" w:tplc="39945454">
      <w:start w:val="1"/>
      <w:numFmt w:val="bullet"/>
      <w:lvlText w:val=""/>
      <w:lvlJc w:val="left"/>
      <w:pPr>
        <w:tabs>
          <w:tab w:val="num" w:pos="2160"/>
        </w:tabs>
        <w:ind w:left="2160" w:hanging="360"/>
      </w:pPr>
      <w:rPr>
        <w:rFonts w:ascii="Wingdings" w:hAnsi="Wingdings"/>
      </w:rPr>
    </w:lvl>
    <w:lvl w:ilvl="3" w:tplc="A8E01884">
      <w:start w:val="1"/>
      <w:numFmt w:val="bullet"/>
      <w:lvlText w:val=""/>
      <w:lvlJc w:val="left"/>
      <w:pPr>
        <w:tabs>
          <w:tab w:val="num" w:pos="2880"/>
        </w:tabs>
        <w:ind w:left="2880" w:hanging="360"/>
      </w:pPr>
      <w:rPr>
        <w:rFonts w:ascii="Symbol" w:hAnsi="Symbol"/>
      </w:rPr>
    </w:lvl>
    <w:lvl w:ilvl="4" w:tplc="D4CADCC8">
      <w:start w:val="1"/>
      <w:numFmt w:val="bullet"/>
      <w:lvlText w:val="o"/>
      <w:lvlJc w:val="left"/>
      <w:pPr>
        <w:tabs>
          <w:tab w:val="num" w:pos="3600"/>
        </w:tabs>
        <w:ind w:left="3600" w:hanging="360"/>
      </w:pPr>
      <w:rPr>
        <w:rFonts w:ascii="Courier New" w:hAnsi="Courier New"/>
      </w:rPr>
    </w:lvl>
    <w:lvl w:ilvl="5" w:tplc="76B213E4">
      <w:start w:val="1"/>
      <w:numFmt w:val="bullet"/>
      <w:lvlText w:val=""/>
      <w:lvlJc w:val="left"/>
      <w:pPr>
        <w:tabs>
          <w:tab w:val="num" w:pos="4320"/>
        </w:tabs>
        <w:ind w:left="4320" w:hanging="360"/>
      </w:pPr>
      <w:rPr>
        <w:rFonts w:ascii="Wingdings" w:hAnsi="Wingdings"/>
      </w:rPr>
    </w:lvl>
    <w:lvl w:ilvl="6" w:tplc="7FF4243A">
      <w:start w:val="1"/>
      <w:numFmt w:val="bullet"/>
      <w:lvlText w:val=""/>
      <w:lvlJc w:val="left"/>
      <w:pPr>
        <w:tabs>
          <w:tab w:val="num" w:pos="5040"/>
        </w:tabs>
        <w:ind w:left="5040" w:hanging="360"/>
      </w:pPr>
      <w:rPr>
        <w:rFonts w:ascii="Symbol" w:hAnsi="Symbol"/>
      </w:rPr>
    </w:lvl>
    <w:lvl w:ilvl="7" w:tplc="394A5B52">
      <w:start w:val="1"/>
      <w:numFmt w:val="bullet"/>
      <w:lvlText w:val="o"/>
      <w:lvlJc w:val="left"/>
      <w:pPr>
        <w:tabs>
          <w:tab w:val="num" w:pos="5760"/>
        </w:tabs>
        <w:ind w:left="5760" w:hanging="360"/>
      </w:pPr>
      <w:rPr>
        <w:rFonts w:ascii="Courier New" w:hAnsi="Courier New"/>
      </w:rPr>
    </w:lvl>
    <w:lvl w:ilvl="8" w:tplc="BC1ACE4A">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0000009"/>
    <w:multiLevelType w:val="multilevel"/>
    <w:tmpl w:val="00000009"/>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multilevel"/>
    <w:tmpl w:val="0000000A"/>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000000B"/>
    <w:multiLevelType w:val="hybridMultilevel"/>
    <w:tmpl w:val="0000000B"/>
    <w:lvl w:ilvl="0" w:tplc="E99E1360">
      <w:start w:val="1"/>
      <w:numFmt w:val="bullet"/>
      <w:lvlText w:val=""/>
      <w:lvlJc w:val="left"/>
      <w:pPr>
        <w:ind w:left="720" w:hanging="360"/>
      </w:pPr>
      <w:rPr>
        <w:rFonts w:ascii="Symbol" w:hAnsi="Symbol"/>
        <w:b w:val="0"/>
        <w:bCs w:val="0"/>
      </w:rPr>
    </w:lvl>
    <w:lvl w:ilvl="1" w:tplc="B142C408">
      <w:start w:val="1"/>
      <w:numFmt w:val="bullet"/>
      <w:lvlText w:val="o"/>
      <w:lvlJc w:val="left"/>
      <w:pPr>
        <w:tabs>
          <w:tab w:val="num" w:pos="1440"/>
        </w:tabs>
        <w:ind w:left="1440" w:hanging="360"/>
      </w:pPr>
      <w:rPr>
        <w:rFonts w:ascii="Courier New" w:hAnsi="Courier New"/>
      </w:rPr>
    </w:lvl>
    <w:lvl w:ilvl="2" w:tplc="0BBC7C9C">
      <w:start w:val="1"/>
      <w:numFmt w:val="bullet"/>
      <w:lvlText w:val=""/>
      <w:lvlJc w:val="left"/>
      <w:pPr>
        <w:tabs>
          <w:tab w:val="num" w:pos="2160"/>
        </w:tabs>
        <w:ind w:left="2160" w:hanging="360"/>
      </w:pPr>
      <w:rPr>
        <w:rFonts w:ascii="Wingdings" w:hAnsi="Wingdings"/>
      </w:rPr>
    </w:lvl>
    <w:lvl w:ilvl="3" w:tplc="D9EE30B8">
      <w:start w:val="1"/>
      <w:numFmt w:val="bullet"/>
      <w:lvlText w:val=""/>
      <w:lvlJc w:val="left"/>
      <w:pPr>
        <w:tabs>
          <w:tab w:val="num" w:pos="2880"/>
        </w:tabs>
        <w:ind w:left="2880" w:hanging="360"/>
      </w:pPr>
      <w:rPr>
        <w:rFonts w:ascii="Symbol" w:hAnsi="Symbol"/>
      </w:rPr>
    </w:lvl>
    <w:lvl w:ilvl="4" w:tplc="51245CDE">
      <w:start w:val="1"/>
      <w:numFmt w:val="bullet"/>
      <w:lvlText w:val="o"/>
      <w:lvlJc w:val="left"/>
      <w:pPr>
        <w:tabs>
          <w:tab w:val="num" w:pos="3600"/>
        </w:tabs>
        <w:ind w:left="3600" w:hanging="360"/>
      </w:pPr>
      <w:rPr>
        <w:rFonts w:ascii="Courier New" w:hAnsi="Courier New"/>
      </w:rPr>
    </w:lvl>
    <w:lvl w:ilvl="5" w:tplc="2424DAB8">
      <w:start w:val="1"/>
      <w:numFmt w:val="bullet"/>
      <w:lvlText w:val=""/>
      <w:lvlJc w:val="left"/>
      <w:pPr>
        <w:tabs>
          <w:tab w:val="num" w:pos="4320"/>
        </w:tabs>
        <w:ind w:left="4320" w:hanging="360"/>
      </w:pPr>
      <w:rPr>
        <w:rFonts w:ascii="Wingdings" w:hAnsi="Wingdings"/>
      </w:rPr>
    </w:lvl>
    <w:lvl w:ilvl="6" w:tplc="48986054">
      <w:start w:val="1"/>
      <w:numFmt w:val="bullet"/>
      <w:lvlText w:val=""/>
      <w:lvlJc w:val="left"/>
      <w:pPr>
        <w:tabs>
          <w:tab w:val="num" w:pos="5040"/>
        </w:tabs>
        <w:ind w:left="5040" w:hanging="360"/>
      </w:pPr>
      <w:rPr>
        <w:rFonts w:ascii="Symbol" w:hAnsi="Symbol"/>
      </w:rPr>
    </w:lvl>
    <w:lvl w:ilvl="7" w:tplc="DC0A1CBE">
      <w:start w:val="1"/>
      <w:numFmt w:val="bullet"/>
      <w:lvlText w:val="o"/>
      <w:lvlJc w:val="left"/>
      <w:pPr>
        <w:tabs>
          <w:tab w:val="num" w:pos="5760"/>
        </w:tabs>
        <w:ind w:left="5760" w:hanging="360"/>
      </w:pPr>
      <w:rPr>
        <w:rFonts w:ascii="Courier New" w:hAnsi="Courier New"/>
      </w:rPr>
    </w:lvl>
    <w:lvl w:ilvl="8" w:tplc="E8DCFCE0">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multilevel"/>
    <w:tmpl w:val="0000000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000000D"/>
    <w:multiLevelType w:val="multilevel"/>
    <w:tmpl w:val="0000000D"/>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000000E"/>
    <w:multiLevelType w:val="hybridMultilevel"/>
    <w:tmpl w:val="0000000E"/>
    <w:lvl w:ilvl="0" w:tplc="870A0642">
      <w:start w:val="1"/>
      <w:numFmt w:val="bullet"/>
      <w:lvlText w:val=""/>
      <w:lvlJc w:val="left"/>
      <w:pPr>
        <w:ind w:left="720" w:hanging="360"/>
      </w:pPr>
      <w:rPr>
        <w:rFonts w:ascii="Symbol" w:hAnsi="Symbol"/>
        <w:b w:val="0"/>
        <w:bCs w:val="0"/>
      </w:rPr>
    </w:lvl>
    <w:lvl w:ilvl="1" w:tplc="74DA6324">
      <w:start w:val="1"/>
      <w:numFmt w:val="bullet"/>
      <w:lvlText w:val="o"/>
      <w:lvlJc w:val="left"/>
      <w:pPr>
        <w:tabs>
          <w:tab w:val="num" w:pos="1440"/>
        </w:tabs>
        <w:ind w:left="1440" w:hanging="360"/>
      </w:pPr>
      <w:rPr>
        <w:rFonts w:ascii="Courier New" w:hAnsi="Courier New"/>
      </w:rPr>
    </w:lvl>
    <w:lvl w:ilvl="2" w:tplc="C7B26E70">
      <w:start w:val="1"/>
      <w:numFmt w:val="bullet"/>
      <w:lvlText w:val=""/>
      <w:lvlJc w:val="left"/>
      <w:pPr>
        <w:tabs>
          <w:tab w:val="num" w:pos="2160"/>
        </w:tabs>
        <w:ind w:left="2160" w:hanging="360"/>
      </w:pPr>
      <w:rPr>
        <w:rFonts w:ascii="Wingdings" w:hAnsi="Wingdings"/>
      </w:rPr>
    </w:lvl>
    <w:lvl w:ilvl="3" w:tplc="5B9829EE">
      <w:start w:val="1"/>
      <w:numFmt w:val="bullet"/>
      <w:lvlText w:val=""/>
      <w:lvlJc w:val="left"/>
      <w:pPr>
        <w:tabs>
          <w:tab w:val="num" w:pos="2880"/>
        </w:tabs>
        <w:ind w:left="2880" w:hanging="360"/>
      </w:pPr>
      <w:rPr>
        <w:rFonts w:ascii="Symbol" w:hAnsi="Symbol"/>
      </w:rPr>
    </w:lvl>
    <w:lvl w:ilvl="4" w:tplc="F19EF4CA">
      <w:start w:val="1"/>
      <w:numFmt w:val="bullet"/>
      <w:lvlText w:val="o"/>
      <w:lvlJc w:val="left"/>
      <w:pPr>
        <w:tabs>
          <w:tab w:val="num" w:pos="3600"/>
        </w:tabs>
        <w:ind w:left="3600" w:hanging="360"/>
      </w:pPr>
      <w:rPr>
        <w:rFonts w:ascii="Courier New" w:hAnsi="Courier New"/>
      </w:rPr>
    </w:lvl>
    <w:lvl w:ilvl="5" w:tplc="9280C4A8">
      <w:start w:val="1"/>
      <w:numFmt w:val="bullet"/>
      <w:lvlText w:val=""/>
      <w:lvlJc w:val="left"/>
      <w:pPr>
        <w:tabs>
          <w:tab w:val="num" w:pos="4320"/>
        </w:tabs>
        <w:ind w:left="4320" w:hanging="360"/>
      </w:pPr>
      <w:rPr>
        <w:rFonts w:ascii="Wingdings" w:hAnsi="Wingdings"/>
      </w:rPr>
    </w:lvl>
    <w:lvl w:ilvl="6" w:tplc="E98ACFDC">
      <w:start w:val="1"/>
      <w:numFmt w:val="bullet"/>
      <w:lvlText w:val=""/>
      <w:lvlJc w:val="left"/>
      <w:pPr>
        <w:tabs>
          <w:tab w:val="num" w:pos="5040"/>
        </w:tabs>
        <w:ind w:left="5040" w:hanging="360"/>
      </w:pPr>
      <w:rPr>
        <w:rFonts w:ascii="Symbol" w:hAnsi="Symbol"/>
      </w:rPr>
    </w:lvl>
    <w:lvl w:ilvl="7" w:tplc="A24485AE">
      <w:start w:val="1"/>
      <w:numFmt w:val="bullet"/>
      <w:lvlText w:val="o"/>
      <w:lvlJc w:val="left"/>
      <w:pPr>
        <w:tabs>
          <w:tab w:val="num" w:pos="5760"/>
        </w:tabs>
        <w:ind w:left="5760" w:hanging="360"/>
      </w:pPr>
      <w:rPr>
        <w:rFonts w:ascii="Courier New" w:hAnsi="Courier New"/>
      </w:rPr>
    </w:lvl>
    <w:lvl w:ilvl="8" w:tplc="C2B405E6">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C05897F2">
      <w:start w:val="1"/>
      <w:numFmt w:val="bullet"/>
      <w:lvlText w:val=""/>
      <w:lvlJc w:val="left"/>
      <w:pPr>
        <w:ind w:left="720" w:hanging="360"/>
      </w:pPr>
      <w:rPr>
        <w:rFonts w:ascii="Symbol" w:hAnsi="Symbol"/>
        <w:b w:val="0"/>
        <w:bCs w:val="0"/>
      </w:rPr>
    </w:lvl>
    <w:lvl w:ilvl="1" w:tplc="9A0A03FA">
      <w:start w:val="1"/>
      <w:numFmt w:val="bullet"/>
      <w:lvlText w:val="o"/>
      <w:lvlJc w:val="left"/>
      <w:pPr>
        <w:tabs>
          <w:tab w:val="num" w:pos="1440"/>
        </w:tabs>
        <w:ind w:left="1440" w:hanging="360"/>
      </w:pPr>
      <w:rPr>
        <w:rFonts w:ascii="Courier New" w:hAnsi="Courier New"/>
      </w:rPr>
    </w:lvl>
    <w:lvl w:ilvl="2" w:tplc="D6A63D1C">
      <w:start w:val="1"/>
      <w:numFmt w:val="bullet"/>
      <w:lvlText w:val=""/>
      <w:lvlJc w:val="left"/>
      <w:pPr>
        <w:tabs>
          <w:tab w:val="num" w:pos="2160"/>
        </w:tabs>
        <w:ind w:left="2160" w:hanging="360"/>
      </w:pPr>
      <w:rPr>
        <w:rFonts w:ascii="Wingdings" w:hAnsi="Wingdings"/>
      </w:rPr>
    </w:lvl>
    <w:lvl w:ilvl="3" w:tplc="C4CC6F9E">
      <w:start w:val="1"/>
      <w:numFmt w:val="bullet"/>
      <w:lvlText w:val=""/>
      <w:lvlJc w:val="left"/>
      <w:pPr>
        <w:tabs>
          <w:tab w:val="num" w:pos="2880"/>
        </w:tabs>
        <w:ind w:left="2880" w:hanging="360"/>
      </w:pPr>
      <w:rPr>
        <w:rFonts w:ascii="Symbol" w:hAnsi="Symbol"/>
      </w:rPr>
    </w:lvl>
    <w:lvl w:ilvl="4" w:tplc="892A9130">
      <w:start w:val="1"/>
      <w:numFmt w:val="bullet"/>
      <w:lvlText w:val="o"/>
      <w:lvlJc w:val="left"/>
      <w:pPr>
        <w:tabs>
          <w:tab w:val="num" w:pos="3600"/>
        </w:tabs>
        <w:ind w:left="3600" w:hanging="360"/>
      </w:pPr>
      <w:rPr>
        <w:rFonts w:ascii="Courier New" w:hAnsi="Courier New"/>
      </w:rPr>
    </w:lvl>
    <w:lvl w:ilvl="5" w:tplc="5B5A0012">
      <w:start w:val="1"/>
      <w:numFmt w:val="bullet"/>
      <w:lvlText w:val=""/>
      <w:lvlJc w:val="left"/>
      <w:pPr>
        <w:tabs>
          <w:tab w:val="num" w:pos="4320"/>
        </w:tabs>
        <w:ind w:left="4320" w:hanging="360"/>
      </w:pPr>
      <w:rPr>
        <w:rFonts w:ascii="Wingdings" w:hAnsi="Wingdings"/>
      </w:rPr>
    </w:lvl>
    <w:lvl w:ilvl="6" w:tplc="FEEAF2FC">
      <w:start w:val="1"/>
      <w:numFmt w:val="bullet"/>
      <w:lvlText w:val=""/>
      <w:lvlJc w:val="left"/>
      <w:pPr>
        <w:tabs>
          <w:tab w:val="num" w:pos="5040"/>
        </w:tabs>
        <w:ind w:left="5040" w:hanging="360"/>
      </w:pPr>
      <w:rPr>
        <w:rFonts w:ascii="Symbol" w:hAnsi="Symbol"/>
      </w:rPr>
    </w:lvl>
    <w:lvl w:ilvl="7" w:tplc="6A8CDB7A">
      <w:start w:val="1"/>
      <w:numFmt w:val="bullet"/>
      <w:lvlText w:val="o"/>
      <w:lvlJc w:val="left"/>
      <w:pPr>
        <w:tabs>
          <w:tab w:val="num" w:pos="5760"/>
        </w:tabs>
        <w:ind w:left="5760" w:hanging="360"/>
      </w:pPr>
      <w:rPr>
        <w:rFonts w:ascii="Courier New" w:hAnsi="Courier New"/>
      </w:rPr>
    </w:lvl>
    <w:lvl w:ilvl="8" w:tplc="55946988">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hybridMultilevel"/>
    <w:tmpl w:val="00000010"/>
    <w:lvl w:ilvl="0" w:tplc="60E463CE">
      <w:start w:val="1"/>
      <w:numFmt w:val="bullet"/>
      <w:lvlText w:val=""/>
      <w:lvlJc w:val="left"/>
      <w:pPr>
        <w:ind w:left="720" w:hanging="360"/>
      </w:pPr>
      <w:rPr>
        <w:rFonts w:ascii="Symbol" w:hAnsi="Symbol"/>
        <w:b w:val="0"/>
        <w:bCs w:val="0"/>
      </w:rPr>
    </w:lvl>
    <w:lvl w:ilvl="1" w:tplc="68E6A01E">
      <w:start w:val="1"/>
      <w:numFmt w:val="bullet"/>
      <w:lvlText w:val="o"/>
      <w:lvlJc w:val="left"/>
      <w:pPr>
        <w:tabs>
          <w:tab w:val="num" w:pos="1440"/>
        </w:tabs>
        <w:ind w:left="1440" w:hanging="360"/>
      </w:pPr>
      <w:rPr>
        <w:rFonts w:ascii="Courier New" w:hAnsi="Courier New"/>
      </w:rPr>
    </w:lvl>
    <w:lvl w:ilvl="2" w:tplc="24BCA900">
      <w:start w:val="1"/>
      <w:numFmt w:val="bullet"/>
      <w:lvlText w:val=""/>
      <w:lvlJc w:val="left"/>
      <w:pPr>
        <w:tabs>
          <w:tab w:val="num" w:pos="2160"/>
        </w:tabs>
        <w:ind w:left="2160" w:hanging="360"/>
      </w:pPr>
      <w:rPr>
        <w:rFonts w:ascii="Wingdings" w:hAnsi="Wingdings"/>
      </w:rPr>
    </w:lvl>
    <w:lvl w:ilvl="3" w:tplc="D20CBE00">
      <w:start w:val="1"/>
      <w:numFmt w:val="bullet"/>
      <w:lvlText w:val=""/>
      <w:lvlJc w:val="left"/>
      <w:pPr>
        <w:tabs>
          <w:tab w:val="num" w:pos="2880"/>
        </w:tabs>
        <w:ind w:left="2880" w:hanging="360"/>
      </w:pPr>
      <w:rPr>
        <w:rFonts w:ascii="Symbol" w:hAnsi="Symbol"/>
      </w:rPr>
    </w:lvl>
    <w:lvl w:ilvl="4" w:tplc="B96CE940">
      <w:start w:val="1"/>
      <w:numFmt w:val="bullet"/>
      <w:lvlText w:val="o"/>
      <w:lvlJc w:val="left"/>
      <w:pPr>
        <w:tabs>
          <w:tab w:val="num" w:pos="3600"/>
        </w:tabs>
        <w:ind w:left="3600" w:hanging="360"/>
      </w:pPr>
      <w:rPr>
        <w:rFonts w:ascii="Courier New" w:hAnsi="Courier New"/>
      </w:rPr>
    </w:lvl>
    <w:lvl w:ilvl="5" w:tplc="DD7EEAE0">
      <w:start w:val="1"/>
      <w:numFmt w:val="bullet"/>
      <w:lvlText w:val=""/>
      <w:lvlJc w:val="left"/>
      <w:pPr>
        <w:tabs>
          <w:tab w:val="num" w:pos="4320"/>
        </w:tabs>
        <w:ind w:left="4320" w:hanging="360"/>
      </w:pPr>
      <w:rPr>
        <w:rFonts w:ascii="Wingdings" w:hAnsi="Wingdings"/>
      </w:rPr>
    </w:lvl>
    <w:lvl w:ilvl="6" w:tplc="2638B8A6">
      <w:start w:val="1"/>
      <w:numFmt w:val="bullet"/>
      <w:lvlText w:val=""/>
      <w:lvlJc w:val="left"/>
      <w:pPr>
        <w:tabs>
          <w:tab w:val="num" w:pos="5040"/>
        </w:tabs>
        <w:ind w:left="5040" w:hanging="360"/>
      </w:pPr>
      <w:rPr>
        <w:rFonts w:ascii="Symbol" w:hAnsi="Symbol"/>
      </w:rPr>
    </w:lvl>
    <w:lvl w:ilvl="7" w:tplc="62E66836">
      <w:start w:val="1"/>
      <w:numFmt w:val="bullet"/>
      <w:lvlText w:val="o"/>
      <w:lvlJc w:val="left"/>
      <w:pPr>
        <w:tabs>
          <w:tab w:val="num" w:pos="5760"/>
        </w:tabs>
        <w:ind w:left="5760" w:hanging="360"/>
      </w:pPr>
      <w:rPr>
        <w:rFonts w:ascii="Courier New" w:hAnsi="Courier New"/>
      </w:rPr>
    </w:lvl>
    <w:lvl w:ilvl="8" w:tplc="4A9A4EA0">
      <w:start w:val="1"/>
      <w:numFmt w:val="bullet"/>
      <w:lvlText w:val=""/>
      <w:lvlJc w:val="left"/>
      <w:pPr>
        <w:tabs>
          <w:tab w:val="num" w:pos="6480"/>
        </w:tabs>
        <w:ind w:left="6480" w:hanging="360"/>
      </w:pPr>
      <w:rPr>
        <w:rFonts w:ascii="Wingdings" w:hAnsi="Wingdings"/>
      </w:rPr>
    </w:lvl>
  </w:abstractNum>
  <w:abstractNum w:abstractNumId="16" w15:restartNumberingAfterBreak="0">
    <w:nsid w:val="00000011"/>
    <w:multiLevelType w:val="hybridMultilevel"/>
    <w:tmpl w:val="00000011"/>
    <w:lvl w:ilvl="0" w:tplc="A5506CC4">
      <w:start w:val="1"/>
      <w:numFmt w:val="bullet"/>
      <w:lvlText w:val=""/>
      <w:lvlJc w:val="left"/>
      <w:pPr>
        <w:ind w:left="720" w:hanging="360"/>
      </w:pPr>
      <w:rPr>
        <w:rFonts w:ascii="Symbol" w:hAnsi="Symbol"/>
        <w:b w:val="0"/>
        <w:bCs w:val="0"/>
      </w:rPr>
    </w:lvl>
    <w:lvl w:ilvl="1" w:tplc="237CAF62">
      <w:start w:val="1"/>
      <w:numFmt w:val="bullet"/>
      <w:lvlText w:val="o"/>
      <w:lvlJc w:val="left"/>
      <w:pPr>
        <w:tabs>
          <w:tab w:val="num" w:pos="1440"/>
        </w:tabs>
        <w:ind w:left="1440" w:hanging="360"/>
      </w:pPr>
      <w:rPr>
        <w:rFonts w:ascii="Courier New" w:hAnsi="Courier New"/>
      </w:rPr>
    </w:lvl>
    <w:lvl w:ilvl="2" w:tplc="C388EE5C">
      <w:start w:val="1"/>
      <w:numFmt w:val="bullet"/>
      <w:lvlText w:val=""/>
      <w:lvlJc w:val="left"/>
      <w:pPr>
        <w:tabs>
          <w:tab w:val="num" w:pos="2160"/>
        </w:tabs>
        <w:ind w:left="2160" w:hanging="360"/>
      </w:pPr>
      <w:rPr>
        <w:rFonts w:ascii="Wingdings" w:hAnsi="Wingdings"/>
      </w:rPr>
    </w:lvl>
    <w:lvl w:ilvl="3" w:tplc="C46E2CFA">
      <w:start w:val="1"/>
      <w:numFmt w:val="bullet"/>
      <w:lvlText w:val=""/>
      <w:lvlJc w:val="left"/>
      <w:pPr>
        <w:tabs>
          <w:tab w:val="num" w:pos="2880"/>
        </w:tabs>
        <w:ind w:left="2880" w:hanging="360"/>
      </w:pPr>
      <w:rPr>
        <w:rFonts w:ascii="Symbol" w:hAnsi="Symbol"/>
      </w:rPr>
    </w:lvl>
    <w:lvl w:ilvl="4" w:tplc="FC920C5E">
      <w:start w:val="1"/>
      <w:numFmt w:val="bullet"/>
      <w:lvlText w:val="o"/>
      <w:lvlJc w:val="left"/>
      <w:pPr>
        <w:tabs>
          <w:tab w:val="num" w:pos="3600"/>
        </w:tabs>
        <w:ind w:left="3600" w:hanging="360"/>
      </w:pPr>
      <w:rPr>
        <w:rFonts w:ascii="Courier New" w:hAnsi="Courier New"/>
      </w:rPr>
    </w:lvl>
    <w:lvl w:ilvl="5" w:tplc="B2E6B326">
      <w:start w:val="1"/>
      <w:numFmt w:val="bullet"/>
      <w:lvlText w:val=""/>
      <w:lvlJc w:val="left"/>
      <w:pPr>
        <w:tabs>
          <w:tab w:val="num" w:pos="4320"/>
        </w:tabs>
        <w:ind w:left="4320" w:hanging="360"/>
      </w:pPr>
      <w:rPr>
        <w:rFonts w:ascii="Wingdings" w:hAnsi="Wingdings"/>
      </w:rPr>
    </w:lvl>
    <w:lvl w:ilvl="6" w:tplc="2A36B7CE">
      <w:start w:val="1"/>
      <w:numFmt w:val="bullet"/>
      <w:lvlText w:val=""/>
      <w:lvlJc w:val="left"/>
      <w:pPr>
        <w:tabs>
          <w:tab w:val="num" w:pos="5040"/>
        </w:tabs>
        <w:ind w:left="5040" w:hanging="360"/>
      </w:pPr>
      <w:rPr>
        <w:rFonts w:ascii="Symbol" w:hAnsi="Symbol"/>
      </w:rPr>
    </w:lvl>
    <w:lvl w:ilvl="7" w:tplc="EA80E2C4">
      <w:start w:val="1"/>
      <w:numFmt w:val="bullet"/>
      <w:lvlText w:val="o"/>
      <w:lvlJc w:val="left"/>
      <w:pPr>
        <w:tabs>
          <w:tab w:val="num" w:pos="5760"/>
        </w:tabs>
        <w:ind w:left="5760" w:hanging="360"/>
      </w:pPr>
      <w:rPr>
        <w:rFonts w:ascii="Courier New" w:hAnsi="Courier New"/>
      </w:rPr>
    </w:lvl>
    <w:lvl w:ilvl="8" w:tplc="157CB4B0">
      <w:start w:val="1"/>
      <w:numFmt w:val="bullet"/>
      <w:lvlText w:val=""/>
      <w:lvlJc w:val="left"/>
      <w:pPr>
        <w:tabs>
          <w:tab w:val="num" w:pos="6480"/>
        </w:tabs>
        <w:ind w:left="6480" w:hanging="360"/>
      </w:pPr>
      <w:rPr>
        <w:rFonts w:ascii="Wingdings" w:hAnsi="Wingdings"/>
      </w:rPr>
    </w:lvl>
  </w:abstractNum>
  <w:abstractNum w:abstractNumId="17" w15:restartNumberingAfterBreak="0">
    <w:nsid w:val="00000012"/>
    <w:multiLevelType w:val="hybridMultilevel"/>
    <w:tmpl w:val="00000012"/>
    <w:lvl w:ilvl="0" w:tplc="1CFAE74E">
      <w:start w:val="1"/>
      <w:numFmt w:val="bullet"/>
      <w:lvlText w:val=""/>
      <w:lvlJc w:val="left"/>
      <w:pPr>
        <w:ind w:left="720" w:hanging="360"/>
      </w:pPr>
      <w:rPr>
        <w:rFonts w:ascii="Symbol" w:hAnsi="Symbol"/>
        <w:b w:val="0"/>
        <w:bCs w:val="0"/>
      </w:rPr>
    </w:lvl>
    <w:lvl w:ilvl="1" w:tplc="40DA4B6C">
      <w:start w:val="1"/>
      <w:numFmt w:val="bullet"/>
      <w:lvlText w:val="o"/>
      <w:lvlJc w:val="left"/>
      <w:pPr>
        <w:tabs>
          <w:tab w:val="num" w:pos="1440"/>
        </w:tabs>
        <w:ind w:left="1440" w:hanging="360"/>
      </w:pPr>
      <w:rPr>
        <w:rFonts w:ascii="Courier New" w:hAnsi="Courier New"/>
      </w:rPr>
    </w:lvl>
    <w:lvl w:ilvl="2" w:tplc="E732EF32">
      <w:start w:val="1"/>
      <w:numFmt w:val="bullet"/>
      <w:lvlText w:val=""/>
      <w:lvlJc w:val="left"/>
      <w:pPr>
        <w:tabs>
          <w:tab w:val="num" w:pos="2160"/>
        </w:tabs>
        <w:ind w:left="2160" w:hanging="360"/>
      </w:pPr>
      <w:rPr>
        <w:rFonts w:ascii="Wingdings" w:hAnsi="Wingdings"/>
      </w:rPr>
    </w:lvl>
    <w:lvl w:ilvl="3" w:tplc="16DC76CE">
      <w:start w:val="1"/>
      <w:numFmt w:val="bullet"/>
      <w:lvlText w:val=""/>
      <w:lvlJc w:val="left"/>
      <w:pPr>
        <w:tabs>
          <w:tab w:val="num" w:pos="2880"/>
        </w:tabs>
        <w:ind w:left="2880" w:hanging="360"/>
      </w:pPr>
      <w:rPr>
        <w:rFonts w:ascii="Symbol" w:hAnsi="Symbol"/>
      </w:rPr>
    </w:lvl>
    <w:lvl w:ilvl="4" w:tplc="36FA9FB2">
      <w:start w:val="1"/>
      <w:numFmt w:val="bullet"/>
      <w:lvlText w:val="o"/>
      <w:lvlJc w:val="left"/>
      <w:pPr>
        <w:tabs>
          <w:tab w:val="num" w:pos="3600"/>
        </w:tabs>
        <w:ind w:left="3600" w:hanging="360"/>
      </w:pPr>
      <w:rPr>
        <w:rFonts w:ascii="Courier New" w:hAnsi="Courier New"/>
      </w:rPr>
    </w:lvl>
    <w:lvl w:ilvl="5" w:tplc="E9DAEA7C">
      <w:start w:val="1"/>
      <w:numFmt w:val="bullet"/>
      <w:lvlText w:val=""/>
      <w:lvlJc w:val="left"/>
      <w:pPr>
        <w:tabs>
          <w:tab w:val="num" w:pos="4320"/>
        </w:tabs>
        <w:ind w:left="4320" w:hanging="360"/>
      </w:pPr>
      <w:rPr>
        <w:rFonts w:ascii="Wingdings" w:hAnsi="Wingdings"/>
      </w:rPr>
    </w:lvl>
    <w:lvl w:ilvl="6" w:tplc="14DEEBB0">
      <w:start w:val="1"/>
      <w:numFmt w:val="bullet"/>
      <w:lvlText w:val=""/>
      <w:lvlJc w:val="left"/>
      <w:pPr>
        <w:tabs>
          <w:tab w:val="num" w:pos="5040"/>
        </w:tabs>
        <w:ind w:left="5040" w:hanging="360"/>
      </w:pPr>
      <w:rPr>
        <w:rFonts w:ascii="Symbol" w:hAnsi="Symbol"/>
      </w:rPr>
    </w:lvl>
    <w:lvl w:ilvl="7" w:tplc="52444AEE">
      <w:start w:val="1"/>
      <w:numFmt w:val="bullet"/>
      <w:lvlText w:val="o"/>
      <w:lvlJc w:val="left"/>
      <w:pPr>
        <w:tabs>
          <w:tab w:val="num" w:pos="5760"/>
        </w:tabs>
        <w:ind w:left="5760" w:hanging="360"/>
      </w:pPr>
      <w:rPr>
        <w:rFonts w:ascii="Courier New" w:hAnsi="Courier New"/>
      </w:rPr>
    </w:lvl>
    <w:lvl w:ilvl="8" w:tplc="16CCEBC4">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hybridMultilevel"/>
    <w:tmpl w:val="090AFD7C"/>
    <w:lvl w:ilvl="0" w:tplc="4C827620">
      <w:start w:val="1"/>
      <w:numFmt w:val="bullet"/>
      <w:lvlText w:val=""/>
      <w:lvlJc w:val="left"/>
      <w:pPr>
        <w:ind w:left="720" w:hanging="360"/>
      </w:pPr>
      <w:rPr>
        <w:rFonts w:ascii="Symbol" w:hAnsi="Symbol" w:hint="default"/>
        <w:b w:val="0"/>
        <w:bCs w:val="0"/>
        <w:sz w:val="22"/>
      </w:rPr>
    </w:lvl>
    <w:lvl w:ilvl="1" w:tplc="1ABE4C68">
      <w:start w:val="1"/>
      <w:numFmt w:val="bullet"/>
      <w:lvlText w:val="o"/>
      <w:lvlJc w:val="left"/>
      <w:pPr>
        <w:tabs>
          <w:tab w:val="num" w:pos="1440"/>
        </w:tabs>
        <w:ind w:left="1440" w:hanging="360"/>
      </w:pPr>
      <w:rPr>
        <w:rFonts w:ascii="Courier New" w:hAnsi="Courier New"/>
      </w:rPr>
    </w:lvl>
    <w:lvl w:ilvl="2" w:tplc="89D8BFF6">
      <w:start w:val="1"/>
      <w:numFmt w:val="bullet"/>
      <w:lvlText w:val=""/>
      <w:lvlJc w:val="left"/>
      <w:pPr>
        <w:tabs>
          <w:tab w:val="num" w:pos="2160"/>
        </w:tabs>
        <w:ind w:left="2160" w:hanging="360"/>
      </w:pPr>
      <w:rPr>
        <w:rFonts w:ascii="Wingdings" w:hAnsi="Wingdings"/>
      </w:rPr>
    </w:lvl>
    <w:lvl w:ilvl="3" w:tplc="EC0E70AE">
      <w:start w:val="1"/>
      <w:numFmt w:val="bullet"/>
      <w:lvlText w:val=""/>
      <w:lvlJc w:val="left"/>
      <w:pPr>
        <w:tabs>
          <w:tab w:val="num" w:pos="2880"/>
        </w:tabs>
        <w:ind w:left="2880" w:hanging="360"/>
      </w:pPr>
      <w:rPr>
        <w:rFonts w:ascii="Symbol" w:hAnsi="Symbol"/>
      </w:rPr>
    </w:lvl>
    <w:lvl w:ilvl="4" w:tplc="592440E6">
      <w:start w:val="1"/>
      <w:numFmt w:val="bullet"/>
      <w:lvlText w:val="o"/>
      <w:lvlJc w:val="left"/>
      <w:pPr>
        <w:tabs>
          <w:tab w:val="num" w:pos="3600"/>
        </w:tabs>
        <w:ind w:left="3600" w:hanging="360"/>
      </w:pPr>
      <w:rPr>
        <w:rFonts w:ascii="Courier New" w:hAnsi="Courier New"/>
      </w:rPr>
    </w:lvl>
    <w:lvl w:ilvl="5" w:tplc="4CAA7B30">
      <w:start w:val="1"/>
      <w:numFmt w:val="bullet"/>
      <w:lvlText w:val=""/>
      <w:lvlJc w:val="left"/>
      <w:pPr>
        <w:tabs>
          <w:tab w:val="num" w:pos="4320"/>
        </w:tabs>
        <w:ind w:left="4320" w:hanging="360"/>
      </w:pPr>
      <w:rPr>
        <w:rFonts w:ascii="Wingdings" w:hAnsi="Wingdings"/>
      </w:rPr>
    </w:lvl>
    <w:lvl w:ilvl="6" w:tplc="60E22CA6">
      <w:start w:val="1"/>
      <w:numFmt w:val="bullet"/>
      <w:lvlText w:val=""/>
      <w:lvlJc w:val="left"/>
      <w:pPr>
        <w:tabs>
          <w:tab w:val="num" w:pos="5040"/>
        </w:tabs>
        <w:ind w:left="5040" w:hanging="360"/>
      </w:pPr>
      <w:rPr>
        <w:rFonts w:ascii="Symbol" w:hAnsi="Symbol"/>
      </w:rPr>
    </w:lvl>
    <w:lvl w:ilvl="7" w:tplc="4D9A7050">
      <w:start w:val="1"/>
      <w:numFmt w:val="bullet"/>
      <w:lvlText w:val="o"/>
      <w:lvlJc w:val="left"/>
      <w:pPr>
        <w:tabs>
          <w:tab w:val="num" w:pos="5760"/>
        </w:tabs>
        <w:ind w:left="5760" w:hanging="360"/>
      </w:pPr>
      <w:rPr>
        <w:rFonts w:ascii="Courier New" w:hAnsi="Courier New"/>
      </w:rPr>
    </w:lvl>
    <w:lvl w:ilvl="8" w:tplc="07D60C12">
      <w:start w:val="1"/>
      <w:numFmt w:val="bullet"/>
      <w:lvlText w:val=""/>
      <w:lvlJc w:val="left"/>
      <w:pPr>
        <w:tabs>
          <w:tab w:val="num" w:pos="6480"/>
        </w:tabs>
        <w:ind w:left="6480" w:hanging="360"/>
      </w:pPr>
      <w:rPr>
        <w:rFonts w:ascii="Wingdings" w:hAnsi="Wingdings"/>
      </w:rPr>
    </w:lvl>
  </w:abstractNum>
  <w:abstractNum w:abstractNumId="19" w15:restartNumberingAfterBreak="0">
    <w:nsid w:val="00000014"/>
    <w:multiLevelType w:val="hybridMultilevel"/>
    <w:tmpl w:val="00000014"/>
    <w:lvl w:ilvl="0" w:tplc="421827BE">
      <w:start w:val="1"/>
      <w:numFmt w:val="bullet"/>
      <w:lvlText w:val=""/>
      <w:lvlJc w:val="left"/>
      <w:pPr>
        <w:ind w:left="720" w:hanging="360"/>
      </w:pPr>
      <w:rPr>
        <w:rFonts w:ascii="Symbol" w:hAnsi="Symbol"/>
        <w:b w:val="0"/>
        <w:bCs w:val="0"/>
      </w:rPr>
    </w:lvl>
    <w:lvl w:ilvl="1" w:tplc="16229304">
      <w:start w:val="1"/>
      <w:numFmt w:val="bullet"/>
      <w:lvlText w:val="o"/>
      <w:lvlJc w:val="left"/>
      <w:pPr>
        <w:tabs>
          <w:tab w:val="num" w:pos="1440"/>
        </w:tabs>
        <w:ind w:left="1440" w:hanging="360"/>
      </w:pPr>
      <w:rPr>
        <w:rFonts w:ascii="Courier New" w:hAnsi="Courier New"/>
      </w:rPr>
    </w:lvl>
    <w:lvl w:ilvl="2" w:tplc="726C3516">
      <w:start w:val="1"/>
      <w:numFmt w:val="bullet"/>
      <w:lvlText w:val=""/>
      <w:lvlJc w:val="left"/>
      <w:pPr>
        <w:tabs>
          <w:tab w:val="num" w:pos="2160"/>
        </w:tabs>
        <w:ind w:left="2160" w:hanging="360"/>
      </w:pPr>
      <w:rPr>
        <w:rFonts w:ascii="Wingdings" w:hAnsi="Wingdings"/>
      </w:rPr>
    </w:lvl>
    <w:lvl w:ilvl="3" w:tplc="07E421CC">
      <w:start w:val="1"/>
      <w:numFmt w:val="bullet"/>
      <w:lvlText w:val=""/>
      <w:lvlJc w:val="left"/>
      <w:pPr>
        <w:tabs>
          <w:tab w:val="num" w:pos="2880"/>
        </w:tabs>
        <w:ind w:left="2880" w:hanging="360"/>
      </w:pPr>
      <w:rPr>
        <w:rFonts w:ascii="Symbol" w:hAnsi="Symbol"/>
      </w:rPr>
    </w:lvl>
    <w:lvl w:ilvl="4" w:tplc="0B2004BE">
      <w:start w:val="1"/>
      <w:numFmt w:val="bullet"/>
      <w:lvlText w:val="o"/>
      <w:lvlJc w:val="left"/>
      <w:pPr>
        <w:tabs>
          <w:tab w:val="num" w:pos="3600"/>
        </w:tabs>
        <w:ind w:left="3600" w:hanging="360"/>
      </w:pPr>
      <w:rPr>
        <w:rFonts w:ascii="Courier New" w:hAnsi="Courier New"/>
      </w:rPr>
    </w:lvl>
    <w:lvl w:ilvl="5" w:tplc="6D2E166A">
      <w:start w:val="1"/>
      <w:numFmt w:val="bullet"/>
      <w:lvlText w:val=""/>
      <w:lvlJc w:val="left"/>
      <w:pPr>
        <w:tabs>
          <w:tab w:val="num" w:pos="4320"/>
        </w:tabs>
        <w:ind w:left="4320" w:hanging="360"/>
      </w:pPr>
      <w:rPr>
        <w:rFonts w:ascii="Wingdings" w:hAnsi="Wingdings"/>
      </w:rPr>
    </w:lvl>
    <w:lvl w:ilvl="6" w:tplc="54C2077A">
      <w:start w:val="1"/>
      <w:numFmt w:val="bullet"/>
      <w:lvlText w:val=""/>
      <w:lvlJc w:val="left"/>
      <w:pPr>
        <w:tabs>
          <w:tab w:val="num" w:pos="5040"/>
        </w:tabs>
        <w:ind w:left="5040" w:hanging="360"/>
      </w:pPr>
      <w:rPr>
        <w:rFonts w:ascii="Symbol" w:hAnsi="Symbol"/>
      </w:rPr>
    </w:lvl>
    <w:lvl w:ilvl="7" w:tplc="2F680D44">
      <w:start w:val="1"/>
      <w:numFmt w:val="bullet"/>
      <w:lvlText w:val="o"/>
      <w:lvlJc w:val="left"/>
      <w:pPr>
        <w:tabs>
          <w:tab w:val="num" w:pos="5760"/>
        </w:tabs>
        <w:ind w:left="5760" w:hanging="360"/>
      </w:pPr>
      <w:rPr>
        <w:rFonts w:ascii="Courier New" w:hAnsi="Courier New"/>
      </w:rPr>
    </w:lvl>
    <w:lvl w:ilvl="8" w:tplc="6ED66258">
      <w:start w:val="1"/>
      <w:numFmt w:val="bullet"/>
      <w:lvlText w:val=""/>
      <w:lvlJc w:val="left"/>
      <w:pPr>
        <w:tabs>
          <w:tab w:val="num" w:pos="6480"/>
        </w:tabs>
        <w:ind w:left="6480" w:hanging="360"/>
      </w:pPr>
      <w:rPr>
        <w:rFonts w:ascii="Wingdings" w:hAnsi="Wingdings"/>
      </w:rPr>
    </w:lvl>
  </w:abstractNum>
  <w:abstractNum w:abstractNumId="20" w15:restartNumberingAfterBreak="0">
    <w:nsid w:val="00000015"/>
    <w:multiLevelType w:val="hybridMultilevel"/>
    <w:tmpl w:val="00000015"/>
    <w:lvl w:ilvl="0" w:tplc="0BF63E1E">
      <w:start w:val="1"/>
      <w:numFmt w:val="bullet"/>
      <w:lvlText w:val=""/>
      <w:lvlJc w:val="left"/>
      <w:pPr>
        <w:ind w:left="720" w:hanging="360"/>
      </w:pPr>
      <w:rPr>
        <w:rFonts w:ascii="Symbol" w:hAnsi="Symbol"/>
        <w:b w:val="0"/>
        <w:bCs w:val="0"/>
      </w:rPr>
    </w:lvl>
    <w:lvl w:ilvl="1" w:tplc="70B8DA42">
      <w:start w:val="1"/>
      <w:numFmt w:val="bullet"/>
      <w:lvlText w:val="o"/>
      <w:lvlJc w:val="left"/>
      <w:pPr>
        <w:tabs>
          <w:tab w:val="num" w:pos="1440"/>
        </w:tabs>
        <w:ind w:left="1440" w:hanging="360"/>
      </w:pPr>
      <w:rPr>
        <w:rFonts w:ascii="Courier New" w:hAnsi="Courier New"/>
      </w:rPr>
    </w:lvl>
    <w:lvl w:ilvl="2" w:tplc="A0D6D7BA">
      <w:start w:val="1"/>
      <w:numFmt w:val="bullet"/>
      <w:lvlText w:val=""/>
      <w:lvlJc w:val="left"/>
      <w:pPr>
        <w:tabs>
          <w:tab w:val="num" w:pos="2160"/>
        </w:tabs>
        <w:ind w:left="2160" w:hanging="360"/>
      </w:pPr>
      <w:rPr>
        <w:rFonts w:ascii="Wingdings" w:hAnsi="Wingdings"/>
      </w:rPr>
    </w:lvl>
    <w:lvl w:ilvl="3" w:tplc="88B8896A">
      <w:start w:val="1"/>
      <w:numFmt w:val="bullet"/>
      <w:lvlText w:val=""/>
      <w:lvlJc w:val="left"/>
      <w:pPr>
        <w:tabs>
          <w:tab w:val="num" w:pos="2880"/>
        </w:tabs>
        <w:ind w:left="2880" w:hanging="360"/>
      </w:pPr>
      <w:rPr>
        <w:rFonts w:ascii="Symbol" w:hAnsi="Symbol"/>
      </w:rPr>
    </w:lvl>
    <w:lvl w:ilvl="4" w:tplc="1986B3B4">
      <w:start w:val="1"/>
      <w:numFmt w:val="bullet"/>
      <w:lvlText w:val="o"/>
      <w:lvlJc w:val="left"/>
      <w:pPr>
        <w:tabs>
          <w:tab w:val="num" w:pos="3600"/>
        </w:tabs>
        <w:ind w:left="3600" w:hanging="360"/>
      </w:pPr>
      <w:rPr>
        <w:rFonts w:ascii="Courier New" w:hAnsi="Courier New"/>
      </w:rPr>
    </w:lvl>
    <w:lvl w:ilvl="5" w:tplc="B84815BE">
      <w:start w:val="1"/>
      <w:numFmt w:val="bullet"/>
      <w:lvlText w:val=""/>
      <w:lvlJc w:val="left"/>
      <w:pPr>
        <w:tabs>
          <w:tab w:val="num" w:pos="4320"/>
        </w:tabs>
        <w:ind w:left="4320" w:hanging="360"/>
      </w:pPr>
      <w:rPr>
        <w:rFonts w:ascii="Wingdings" w:hAnsi="Wingdings"/>
      </w:rPr>
    </w:lvl>
    <w:lvl w:ilvl="6" w:tplc="8190142A">
      <w:start w:val="1"/>
      <w:numFmt w:val="bullet"/>
      <w:lvlText w:val=""/>
      <w:lvlJc w:val="left"/>
      <w:pPr>
        <w:tabs>
          <w:tab w:val="num" w:pos="5040"/>
        </w:tabs>
        <w:ind w:left="5040" w:hanging="360"/>
      </w:pPr>
      <w:rPr>
        <w:rFonts w:ascii="Symbol" w:hAnsi="Symbol"/>
      </w:rPr>
    </w:lvl>
    <w:lvl w:ilvl="7" w:tplc="D42A05DA">
      <w:start w:val="1"/>
      <w:numFmt w:val="bullet"/>
      <w:lvlText w:val="o"/>
      <w:lvlJc w:val="left"/>
      <w:pPr>
        <w:tabs>
          <w:tab w:val="num" w:pos="5760"/>
        </w:tabs>
        <w:ind w:left="5760" w:hanging="360"/>
      </w:pPr>
      <w:rPr>
        <w:rFonts w:ascii="Courier New" w:hAnsi="Courier New"/>
      </w:rPr>
    </w:lvl>
    <w:lvl w:ilvl="8" w:tplc="F2706D1E">
      <w:start w:val="1"/>
      <w:numFmt w:val="bullet"/>
      <w:lvlText w:val=""/>
      <w:lvlJc w:val="left"/>
      <w:pPr>
        <w:tabs>
          <w:tab w:val="num" w:pos="6480"/>
        </w:tabs>
        <w:ind w:left="6480" w:hanging="360"/>
      </w:pPr>
      <w:rPr>
        <w:rFonts w:ascii="Wingdings" w:hAnsi="Wingdings"/>
      </w:rPr>
    </w:lvl>
  </w:abstractNum>
  <w:abstractNum w:abstractNumId="21" w15:restartNumberingAfterBreak="0">
    <w:nsid w:val="00000016"/>
    <w:multiLevelType w:val="hybridMultilevel"/>
    <w:tmpl w:val="00000016"/>
    <w:lvl w:ilvl="0" w:tplc="A6DCBC78">
      <w:start w:val="1"/>
      <w:numFmt w:val="bullet"/>
      <w:lvlText w:val=""/>
      <w:lvlJc w:val="left"/>
      <w:pPr>
        <w:ind w:left="720" w:hanging="360"/>
      </w:pPr>
      <w:rPr>
        <w:rFonts w:ascii="Symbol" w:hAnsi="Symbol"/>
        <w:b w:val="0"/>
        <w:bCs w:val="0"/>
      </w:rPr>
    </w:lvl>
    <w:lvl w:ilvl="1" w:tplc="CD141EE2">
      <w:start w:val="1"/>
      <w:numFmt w:val="bullet"/>
      <w:lvlText w:val="o"/>
      <w:lvlJc w:val="left"/>
      <w:pPr>
        <w:tabs>
          <w:tab w:val="num" w:pos="1440"/>
        </w:tabs>
        <w:ind w:left="1440" w:hanging="360"/>
      </w:pPr>
      <w:rPr>
        <w:rFonts w:ascii="Courier New" w:hAnsi="Courier New"/>
      </w:rPr>
    </w:lvl>
    <w:lvl w:ilvl="2" w:tplc="333AA19C">
      <w:start w:val="1"/>
      <w:numFmt w:val="bullet"/>
      <w:lvlText w:val=""/>
      <w:lvlJc w:val="left"/>
      <w:pPr>
        <w:tabs>
          <w:tab w:val="num" w:pos="2160"/>
        </w:tabs>
        <w:ind w:left="2160" w:hanging="360"/>
      </w:pPr>
      <w:rPr>
        <w:rFonts w:ascii="Wingdings" w:hAnsi="Wingdings"/>
      </w:rPr>
    </w:lvl>
    <w:lvl w:ilvl="3" w:tplc="46DCB996">
      <w:start w:val="1"/>
      <w:numFmt w:val="bullet"/>
      <w:lvlText w:val=""/>
      <w:lvlJc w:val="left"/>
      <w:pPr>
        <w:tabs>
          <w:tab w:val="num" w:pos="2880"/>
        </w:tabs>
        <w:ind w:left="2880" w:hanging="360"/>
      </w:pPr>
      <w:rPr>
        <w:rFonts w:ascii="Symbol" w:hAnsi="Symbol"/>
      </w:rPr>
    </w:lvl>
    <w:lvl w:ilvl="4" w:tplc="6546C088">
      <w:start w:val="1"/>
      <w:numFmt w:val="bullet"/>
      <w:lvlText w:val="o"/>
      <w:lvlJc w:val="left"/>
      <w:pPr>
        <w:tabs>
          <w:tab w:val="num" w:pos="3600"/>
        </w:tabs>
        <w:ind w:left="3600" w:hanging="360"/>
      </w:pPr>
      <w:rPr>
        <w:rFonts w:ascii="Courier New" w:hAnsi="Courier New"/>
      </w:rPr>
    </w:lvl>
    <w:lvl w:ilvl="5" w:tplc="BF34CA58">
      <w:start w:val="1"/>
      <w:numFmt w:val="bullet"/>
      <w:lvlText w:val=""/>
      <w:lvlJc w:val="left"/>
      <w:pPr>
        <w:tabs>
          <w:tab w:val="num" w:pos="4320"/>
        </w:tabs>
        <w:ind w:left="4320" w:hanging="360"/>
      </w:pPr>
      <w:rPr>
        <w:rFonts w:ascii="Wingdings" w:hAnsi="Wingdings"/>
      </w:rPr>
    </w:lvl>
    <w:lvl w:ilvl="6" w:tplc="4888EC42">
      <w:start w:val="1"/>
      <w:numFmt w:val="bullet"/>
      <w:lvlText w:val=""/>
      <w:lvlJc w:val="left"/>
      <w:pPr>
        <w:tabs>
          <w:tab w:val="num" w:pos="5040"/>
        </w:tabs>
        <w:ind w:left="5040" w:hanging="360"/>
      </w:pPr>
      <w:rPr>
        <w:rFonts w:ascii="Symbol" w:hAnsi="Symbol"/>
      </w:rPr>
    </w:lvl>
    <w:lvl w:ilvl="7" w:tplc="3AF8A934">
      <w:start w:val="1"/>
      <w:numFmt w:val="bullet"/>
      <w:lvlText w:val="o"/>
      <w:lvlJc w:val="left"/>
      <w:pPr>
        <w:tabs>
          <w:tab w:val="num" w:pos="5760"/>
        </w:tabs>
        <w:ind w:left="5760" w:hanging="360"/>
      </w:pPr>
      <w:rPr>
        <w:rFonts w:ascii="Courier New" w:hAnsi="Courier New"/>
      </w:rPr>
    </w:lvl>
    <w:lvl w:ilvl="8" w:tplc="A8E6F8C0">
      <w:start w:val="1"/>
      <w:numFmt w:val="bullet"/>
      <w:lvlText w:val=""/>
      <w:lvlJc w:val="left"/>
      <w:pPr>
        <w:tabs>
          <w:tab w:val="num" w:pos="6480"/>
        </w:tabs>
        <w:ind w:left="6480" w:hanging="360"/>
      </w:pPr>
      <w:rPr>
        <w:rFonts w:ascii="Wingdings" w:hAnsi="Wingdings"/>
      </w:rPr>
    </w:lvl>
  </w:abstractNum>
  <w:abstractNum w:abstractNumId="22" w15:restartNumberingAfterBreak="0">
    <w:nsid w:val="00000017"/>
    <w:multiLevelType w:val="hybridMultilevel"/>
    <w:tmpl w:val="00000017"/>
    <w:lvl w:ilvl="0" w:tplc="FD8815E6">
      <w:start w:val="1"/>
      <w:numFmt w:val="bullet"/>
      <w:lvlText w:val=""/>
      <w:lvlJc w:val="left"/>
      <w:pPr>
        <w:ind w:left="720" w:hanging="360"/>
      </w:pPr>
      <w:rPr>
        <w:rFonts w:ascii="Symbol" w:hAnsi="Symbol"/>
        <w:b w:val="0"/>
        <w:bCs w:val="0"/>
      </w:rPr>
    </w:lvl>
    <w:lvl w:ilvl="1" w:tplc="6E10D8CE">
      <w:start w:val="1"/>
      <w:numFmt w:val="bullet"/>
      <w:lvlText w:val="o"/>
      <w:lvlJc w:val="left"/>
      <w:pPr>
        <w:tabs>
          <w:tab w:val="num" w:pos="1440"/>
        </w:tabs>
        <w:ind w:left="1440" w:hanging="360"/>
      </w:pPr>
      <w:rPr>
        <w:rFonts w:ascii="Courier New" w:hAnsi="Courier New"/>
      </w:rPr>
    </w:lvl>
    <w:lvl w:ilvl="2" w:tplc="014E8B70">
      <w:start w:val="1"/>
      <w:numFmt w:val="bullet"/>
      <w:lvlText w:val=""/>
      <w:lvlJc w:val="left"/>
      <w:pPr>
        <w:tabs>
          <w:tab w:val="num" w:pos="2160"/>
        </w:tabs>
        <w:ind w:left="2160" w:hanging="360"/>
      </w:pPr>
      <w:rPr>
        <w:rFonts w:ascii="Wingdings" w:hAnsi="Wingdings"/>
      </w:rPr>
    </w:lvl>
    <w:lvl w:ilvl="3" w:tplc="CDD03D9C">
      <w:start w:val="1"/>
      <w:numFmt w:val="bullet"/>
      <w:lvlText w:val=""/>
      <w:lvlJc w:val="left"/>
      <w:pPr>
        <w:tabs>
          <w:tab w:val="num" w:pos="2880"/>
        </w:tabs>
        <w:ind w:left="2880" w:hanging="360"/>
      </w:pPr>
      <w:rPr>
        <w:rFonts w:ascii="Symbol" w:hAnsi="Symbol"/>
      </w:rPr>
    </w:lvl>
    <w:lvl w:ilvl="4" w:tplc="07A45F74">
      <w:start w:val="1"/>
      <w:numFmt w:val="bullet"/>
      <w:lvlText w:val="o"/>
      <w:lvlJc w:val="left"/>
      <w:pPr>
        <w:tabs>
          <w:tab w:val="num" w:pos="3600"/>
        </w:tabs>
        <w:ind w:left="3600" w:hanging="360"/>
      </w:pPr>
      <w:rPr>
        <w:rFonts w:ascii="Courier New" w:hAnsi="Courier New"/>
      </w:rPr>
    </w:lvl>
    <w:lvl w:ilvl="5" w:tplc="63529ADA">
      <w:start w:val="1"/>
      <w:numFmt w:val="bullet"/>
      <w:lvlText w:val=""/>
      <w:lvlJc w:val="left"/>
      <w:pPr>
        <w:tabs>
          <w:tab w:val="num" w:pos="4320"/>
        </w:tabs>
        <w:ind w:left="4320" w:hanging="360"/>
      </w:pPr>
      <w:rPr>
        <w:rFonts w:ascii="Wingdings" w:hAnsi="Wingdings"/>
      </w:rPr>
    </w:lvl>
    <w:lvl w:ilvl="6" w:tplc="47FCF32A">
      <w:start w:val="1"/>
      <w:numFmt w:val="bullet"/>
      <w:lvlText w:val=""/>
      <w:lvlJc w:val="left"/>
      <w:pPr>
        <w:tabs>
          <w:tab w:val="num" w:pos="5040"/>
        </w:tabs>
        <w:ind w:left="5040" w:hanging="360"/>
      </w:pPr>
      <w:rPr>
        <w:rFonts w:ascii="Symbol" w:hAnsi="Symbol"/>
      </w:rPr>
    </w:lvl>
    <w:lvl w:ilvl="7" w:tplc="4322C420">
      <w:start w:val="1"/>
      <w:numFmt w:val="bullet"/>
      <w:lvlText w:val="o"/>
      <w:lvlJc w:val="left"/>
      <w:pPr>
        <w:tabs>
          <w:tab w:val="num" w:pos="5760"/>
        </w:tabs>
        <w:ind w:left="5760" w:hanging="360"/>
      </w:pPr>
      <w:rPr>
        <w:rFonts w:ascii="Courier New" w:hAnsi="Courier New"/>
      </w:rPr>
    </w:lvl>
    <w:lvl w:ilvl="8" w:tplc="8E76D00C">
      <w:start w:val="1"/>
      <w:numFmt w:val="bullet"/>
      <w:lvlText w:val=""/>
      <w:lvlJc w:val="left"/>
      <w:pPr>
        <w:tabs>
          <w:tab w:val="num" w:pos="6480"/>
        </w:tabs>
        <w:ind w:left="6480" w:hanging="360"/>
      </w:pPr>
      <w:rPr>
        <w:rFonts w:ascii="Wingdings" w:hAnsi="Wingdings"/>
      </w:rPr>
    </w:lvl>
  </w:abstractNum>
  <w:abstractNum w:abstractNumId="23" w15:restartNumberingAfterBreak="0">
    <w:nsid w:val="00000018"/>
    <w:multiLevelType w:val="hybridMultilevel"/>
    <w:tmpl w:val="00000018"/>
    <w:lvl w:ilvl="0" w:tplc="E220A3B4">
      <w:start w:val="1"/>
      <w:numFmt w:val="bullet"/>
      <w:lvlText w:val=""/>
      <w:lvlJc w:val="left"/>
      <w:pPr>
        <w:ind w:left="720" w:hanging="360"/>
      </w:pPr>
      <w:rPr>
        <w:rFonts w:ascii="Symbol" w:hAnsi="Symbol"/>
        <w:b w:val="0"/>
        <w:bCs w:val="0"/>
      </w:rPr>
    </w:lvl>
    <w:lvl w:ilvl="1" w:tplc="BBCAC072">
      <w:start w:val="1"/>
      <w:numFmt w:val="bullet"/>
      <w:lvlText w:val="o"/>
      <w:lvlJc w:val="left"/>
      <w:pPr>
        <w:tabs>
          <w:tab w:val="num" w:pos="1440"/>
        </w:tabs>
        <w:ind w:left="1440" w:hanging="360"/>
      </w:pPr>
      <w:rPr>
        <w:rFonts w:ascii="Courier New" w:hAnsi="Courier New"/>
      </w:rPr>
    </w:lvl>
    <w:lvl w:ilvl="2" w:tplc="45FE6E12">
      <w:start w:val="1"/>
      <w:numFmt w:val="bullet"/>
      <w:lvlText w:val=""/>
      <w:lvlJc w:val="left"/>
      <w:pPr>
        <w:tabs>
          <w:tab w:val="num" w:pos="2160"/>
        </w:tabs>
        <w:ind w:left="2160" w:hanging="360"/>
      </w:pPr>
      <w:rPr>
        <w:rFonts w:ascii="Wingdings" w:hAnsi="Wingdings"/>
      </w:rPr>
    </w:lvl>
    <w:lvl w:ilvl="3" w:tplc="40A2D170">
      <w:start w:val="1"/>
      <w:numFmt w:val="bullet"/>
      <w:lvlText w:val=""/>
      <w:lvlJc w:val="left"/>
      <w:pPr>
        <w:tabs>
          <w:tab w:val="num" w:pos="2880"/>
        </w:tabs>
        <w:ind w:left="2880" w:hanging="360"/>
      </w:pPr>
      <w:rPr>
        <w:rFonts w:ascii="Symbol" w:hAnsi="Symbol"/>
      </w:rPr>
    </w:lvl>
    <w:lvl w:ilvl="4" w:tplc="37F2BF08">
      <w:start w:val="1"/>
      <w:numFmt w:val="bullet"/>
      <w:lvlText w:val="o"/>
      <w:lvlJc w:val="left"/>
      <w:pPr>
        <w:tabs>
          <w:tab w:val="num" w:pos="3600"/>
        </w:tabs>
        <w:ind w:left="3600" w:hanging="360"/>
      </w:pPr>
      <w:rPr>
        <w:rFonts w:ascii="Courier New" w:hAnsi="Courier New"/>
      </w:rPr>
    </w:lvl>
    <w:lvl w:ilvl="5" w:tplc="4E128A00">
      <w:start w:val="1"/>
      <w:numFmt w:val="bullet"/>
      <w:lvlText w:val=""/>
      <w:lvlJc w:val="left"/>
      <w:pPr>
        <w:tabs>
          <w:tab w:val="num" w:pos="4320"/>
        </w:tabs>
        <w:ind w:left="4320" w:hanging="360"/>
      </w:pPr>
      <w:rPr>
        <w:rFonts w:ascii="Wingdings" w:hAnsi="Wingdings"/>
      </w:rPr>
    </w:lvl>
    <w:lvl w:ilvl="6" w:tplc="A8763818">
      <w:start w:val="1"/>
      <w:numFmt w:val="bullet"/>
      <w:lvlText w:val=""/>
      <w:lvlJc w:val="left"/>
      <w:pPr>
        <w:tabs>
          <w:tab w:val="num" w:pos="5040"/>
        </w:tabs>
        <w:ind w:left="5040" w:hanging="360"/>
      </w:pPr>
      <w:rPr>
        <w:rFonts w:ascii="Symbol" w:hAnsi="Symbol"/>
      </w:rPr>
    </w:lvl>
    <w:lvl w:ilvl="7" w:tplc="53B26E0E">
      <w:start w:val="1"/>
      <w:numFmt w:val="bullet"/>
      <w:lvlText w:val="o"/>
      <w:lvlJc w:val="left"/>
      <w:pPr>
        <w:tabs>
          <w:tab w:val="num" w:pos="5760"/>
        </w:tabs>
        <w:ind w:left="5760" w:hanging="360"/>
      </w:pPr>
      <w:rPr>
        <w:rFonts w:ascii="Courier New" w:hAnsi="Courier New"/>
      </w:rPr>
    </w:lvl>
    <w:lvl w:ilvl="8" w:tplc="A4480714">
      <w:start w:val="1"/>
      <w:numFmt w:val="bullet"/>
      <w:lvlText w:val=""/>
      <w:lvlJc w:val="left"/>
      <w:pPr>
        <w:tabs>
          <w:tab w:val="num" w:pos="6480"/>
        </w:tabs>
        <w:ind w:left="6480" w:hanging="360"/>
      </w:pPr>
      <w:rPr>
        <w:rFonts w:ascii="Wingdings" w:hAnsi="Wingdings"/>
      </w:rPr>
    </w:lvl>
  </w:abstractNum>
  <w:abstractNum w:abstractNumId="24" w15:restartNumberingAfterBreak="0">
    <w:nsid w:val="00000019"/>
    <w:multiLevelType w:val="hybridMultilevel"/>
    <w:tmpl w:val="00000019"/>
    <w:lvl w:ilvl="0" w:tplc="4566C3A6">
      <w:start w:val="1"/>
      <w:numFmt w:val="bullet"/>
      <w:lvlText w:val=""/>
      <w:lvlJc w:val="left"/>
      <w:pPr>
        <w:ind w:left="720" w:hanging="360"/>
      </w:pPr>
      <w:rPr>
        <w:rFonts w:ascii="Symbol" w:hAnsi="Symbol"/>
        <w:b w:val="0"/>
        <w:bCs w:val="0"/>
      </w:rPr>
    </w:lvl>
    <w:lvl w:ilvl="1" w:tplc="50068160">
      <w:start w:val="1"/>
      <w:numFmt w:val="bullet"/>
      <w:lvlText w:val="o"/>
      <w:lvlJc w:val="left"/>
      <w:pPr>
        <w:ind w:left="1440" w:hanging="360"/>
      </w:pPr>
      <w:rPr>
        <w:rFonts w:ascii="Courier New" w:hAnsi="Courier New"/>
        <w:b w:val="0"/>
        <w:bCs w:val="0"/>
      </w:rPr>
    </w:lvl>
    <w:lvl w:ilvl="2" w:tplc="B602F79E">
      <w:start w:val="1"/>
      <w:numFmt w:val="bullet"/>
      <w:lvlText w:val=""/>
      <w:lvlJc w:val="left"/>
      <w:pPr>
        <w:tabs>
          <w:tab w:val="num" w:pos="2160"/>
        </w:tabs>
        <w:ind w:left="2160" w:hanging="360"/>
      </w:pPr>
      <w:rPr>
        <w:rFonts w:ascii="Wingdings" w:hAnsi="Wingdings"/>
      </w:rPr>
    </w:lvl>
    <w:lvl w:ilvl="3" w:tplc="13B66E46">
      <w:start w:val="1"/>
      <w:numFmt w:val="bullet"/>
      <w:lvlText w:val=""/>
      <w:lvlJc w:val="left"/>
      <w:pPr>
        <w:tabs>
          <w:tab w:val="num" w:pos="2880"/>
        </w:tabs>
        <w:ind w:left="2880" w:hanging="360"/>
      </w:pPr>
      <w:rPr>
        <w:rFonts w:ascii="Symbol" w:hAnsi="Symbol"/>
      </w:rPr>
    </w:lvl>
    <w:lvl w:ilvl="4" w:tplc="0054E986">
      <w:start w:val="1"/>
      <w:numFmt w:val="bullet"/>
      <w:lvlText w:val="o"/>
      <w:lvlJc w:val="left"/>
      <w:pPr>
        <w:tabs>
          <w:tab w:val="num" w:pos="3600"/>
        </w:tabs>
        <w:ind w:left="3600" w:hanging="360"/>
      </w:pPr>
      <w:rPr>
        <w:rFonts w:ascii="Courier New" w:hAnsi="Courier New"/>
      </w:rPr>
    </w:lvl>
    <w:lvl w:ilvl="5" w:tplc="784C86CC">
      <w:start w:val="1"/>
      <w:numFmt w:val="bullet"/>
      <w:lvlText w:val=""/>
      <w:lvlJc w:val="left"/>
      <w:pPr>
        <w:tabs>
          <w:tab w:val="num" w:pos="4320"/>
        </w:tabs>
        <w:ind w:left="4320" w:hanging="360"/>
      </w:pPr>
      <w:rPr>
        <w:rFonts w:ascii="Wingdings" w:hAnsi="Wingdings"/>
      </w:rPr>
    </w:lvl>
    <w:lvl w:ilvl="6" w:tplc="C9A8D51E">
      <w:start w:val="1"/>
      <w:numFmt w:val="bullet"/>
      <w:lvlText w:val=""/>
      <w:lvlJc w:val="left"/>
      <w:pPr>
        <w:tabs>
          <w:tab w:val="num" w:pos="5040"/>
        </w:tabs>
        <w:ind w:left="5040" w:hanging="360"/>
      </w:pPr>
      <w:rPr>
        <w:rFonts w:ascii="Symbol" w:hAnsi="Symbol"/>
      </w:rPr>
    </w:lvl>
    <w:lvl w:ilvl="7" w:tplc="5D5CF84E">
      <w:start w:val="1"/>
      <w:numFmt w:val="bullet"/>
      <w:lvlText w:val="o"/>
      <w:lvlJc w:val="left"/>
      <w:pPr>
        <w:tabs>
          <w:tab w:val="num" w:pos="5760"/>
        </w:tabs>
        <w:ind w:left="5760" w:hanging="360"/>
      </w:pPr>
      <w:rPr>
        <w:rFonts w:ascii="Courier New" w:hAnsi="Courier New"/>
      </w:rPr>
    </w:lvl>
    <w:lvl w:ilvl="8" w:tplc="5854E38E">
      <w:start w:val="1"/>
      <w:numFmt w:val="bullet"/>
      <w:lvlText w:val=""/>
      <w:lvlJc w:val="left"/>
      <w:pPr>
        <w:tabs>
          <w:tab w:val="num" w:pos="6480"/>
        </w:tabs>
        <w:ind w:left="6480" w:hanging="360"/>
      </w:pPr>
      <w:rPr>
        <w:rFonts w:ascii="Wingdings" w:hAnsi="Wingdings"/>
      </w:rPr>
    </w:lvl>
  </w:abstractNum>
  <w:abstractNum w:abstractNumId="25" w15:restartNumberingAfterBreak="0">
    <w:nsid w:val="0000001A"/>
    <w:multiLevelType w:val="hybridMultilevel"/>
    <w:tmpl w:val="0000001A"/>
    <w:lvl w:ilvl="0" w:tplc="DB0E537C">
      <w:start w:val="1"/>
      <w:numFmt w:val="bullet"/>
      <w:lvlText w:val=""/>
      <w:lvlJc w:val="left"/>
      <w:pPr>
        <w:ind w:left="720" w:hanging="360"/>
      </w:pPr>
      <w:rPr>
        <w:rFonts w:ascii="Symbol" w:hAnsi="Symbol"/>
        <w:b w:val="0"/>
        <w:bCs w:val="0"/>
      </w:rPr>
    </w:lvl>
    <w:lvl w:ilvl="1" w:tplc="2B12D380">
      <w:start w:val="1"/>
      <w:numFmt w:val="bullet"/>
      <w:lvlText w:val="o"/>
      <w:lvlJc w:val="left"/>
      <w:pPr>
        <w:ind w:left="1440" w:hanging="360"/>
      </w:pPr>
      <w:rPr>
        <w:rFonts w:ascii="Courier New" w:hAnsi="Courier New"/>
        <w:b w:val="0"/>
        <w:bCs w:val="0"/>
      </w:rPr>
    </w:lvl>
    <w:lvl w:ilvl="2" w:tplc="82D83946">
      <w:start w:val="1"/>
      <w:numFmt w:val="bullet"/>
      <w:lvlText w:val=""/>
      <w:lvlJc w:val="left"/>
      <w:pPr>
        <w:tabs>
          <w:tab w:val="num" w:pos="2160"/>
        </w:tabs>
        <w:ind w:left="2160" w:hanging="360"/>
      </w:pPr>
      <w:rPr>
        <w:rFonts w:ascii="Wingdings" w:hAnsi="Wingdings"/>
      </w:rPr>
    </w:lvl>
    <w:lvl w:ilvl="3" w:tplc="8312CC1A">
      <w:start w:val="1"/>
      <w:numFmt w:val="bullet"/>
      <w:lvlText w:val=""/>
      <w:lvlJc w:val="left"/>
      <w:pPr>
        <w:tabs>
          <w:tab w:val="num" w:pos="2880"/>
        </w:tabs>
        <w:ind w:left="2880" w:hanging="360"/>
      </w:pPr>
      <w:rPr>
        <w:rFonts w:ascii="Symbol" w:hAnsi="Symbol"/>
      </w:rPr>
    </w:lvl>
    <w:lvl w:ilvl="4" w:tplc="A5C2950C">
      <w:start w:val="1"/>
      <w:numFmt w:val="bullet"/>
      <w:lvlText w:val="o"/>
      <w:lvlJc w:val="left"/>
      <w:pPr>
        <w:tabs>
          <w:tab w:val="num" w:pos="3600"/>
        </w:tabs>
        <w:ind w:left="3600" w:hanging="360"/>
      </w:pPr>
      <w:rPr>
        <w:rFonts w:ascii="Courier New" w:hAnsi="Courier New"/>
      </w:rPr>
    </w:lvl>
    <w:lvl w:ilvl="5" w:tplc="91DE8B8E">
      <w:start w:val="1"/>
      <w:numFmt w:val="bullet"/>
      <w:lvlText w:val=""/>
      <w:lvlJc w:val="left"/>
      <w:pPr>
        <w:tabs>
          <w:tab w:val="num" w:pos="4320"/>
        </w:tabs>
        <w:ind w:left="4320" w:hanging="360"/>
      </w:pPr>
      <w:rPr>
        <w:rFonts w:ascii="Wingdings" w:hAnsi="Wingdings"/>
      </w:rPr>
    </w:lvl>
    <w:lvl w:ilvl="6" w:tplc="3E0A5C88">
      <w:start w:val="1"/>
      <w:numFmt w:val="bullet"/>
      <w:lvlText w:val=""/>
      <w:lvlJc w:val="left"/>
      <w:pPr>
        <w:tabs>
          <w:tab w:val="num" w:pos="5040"/>
        </w:tabs>
        <w:ind w:left="5040" w:hanging="360"/>
      </w:pPr>
      <w:rPr>
        <w:rFonts w:ascii="Symbol" w:hAnsi="Symbol"/>
      </w:rPr>
    </w:lvl>
    <w:lvl w:ilvl="7" w:tplc="4A68F40A">
      <w:start w:val="1"/>
      <w:numFmt w:val="bullet"/>
      <w:lvlText w:val="o"/>
      <w:lvlJc w:val="left"/>
      <w:pPr>
        <w:tabs>
          <w:tab w:val="num" w:pos="5760"/>
        </w:tabs>
        <w:ind w:left="5760" w:hanging="360"/>
      </w:pPr>
      <w:rPr>
        <w:rFonts w:ascii="Courier New" w:hAnsi="Courier New"/>
      </w:rPr>
    </w:lvl>
    <w:lvl w:ilvl="8" w:tplc="C360C9FE">
      <w:start w:val="1"/>
      <w:numFmt w:val="bullet"/>
      <w:lvlText w:val=""/>
      <w:lvlJc w:val="left"/>
      <w:pPr>
        <w:tabs>
          <w:tab w:val="num" w:pos="6480"/>
        </w:tabs>
        <w:ind w:left="6480" w:hanging="360"/>
      </w:pPr>
      <w:rPr>
        <w:rFonts w:ascii="Wingdings" w:hAnsi="Wingdings"/>
      </w:rPr>
    </w:lvl>
  </w:abstractNum>
  <w:abstractNum w:abstractNumId="26" w15:restartNumberingAfterBreak="0">
    <w:nsid w:val="0000001B"/>
    <w:multiLevelType w:val="hybridMultilevel"/>
    <w:tmpl w:val="0000001B"/>
    <w:lvl w:ilvl="0" w:tplc="E6C81874">
      <w:start w:val="1"/>
      <w:numFmt w:val="bullet"/>
      <w:lvlText w:val=""/>
      <w:lvlJc w:val="left"/>
      <w:pPr>
        <w:ind w:left="720" w:hanging="360"/>
      </w:pPr>
      <w:rPr>
        <w:rFonts w:ascii="Symbol" w:hAnsi="Symbol"/>
        <w:b w:val="0"/>
        <w:bCs w:val="0"/>
      </w:rPr>
    </w:lvl>
    <w:lvl w:ilvl="1" w:tplc="A4248CAC">
      <w:start w:val="1"/>
      <w:numFmt w:val="bullet"/>
      <w:lvlText w:val="o"/>
      <w:lvlJc w:val="left"/>
      <w:pPr>
        <w:tabs>
          <w:tab w:val="num" w:pos="1440"/>
        </w:tabs>
        <w:ind w:left="1440" w:hanging="360"/>
      </w:pPr>
      <w:rPr>
        <w:rFonts w:ascii="Courier New" w:hAnsi="Courier New"/>
      </w:rPr>
    </w:lvl>
    <w:lvl w:ilvl="2" w:tplc="28D4A564">
      <w:start w:val="1"/>
      <w:numFmt w:val="bullet"/>
      <w:lvlText w:val=""/>
      <w:lvlJc w:val="left"/>
      <w:pPr>
        <w:tabs>
          <w:tab w:val="num" w:pos="2160"/>
        </w:tabs>
        <w:ind w:left="2160" w:hanging="360"/>
      </w:pPr>
      <w:rPr>
        <w:rFonts w:ascii="Wingdings" w:hAnsi="Wingdings"/>
      </w:rPr>
    </w:lvl>
    <w:lvl w:ilvl="3" w:tplc="68027178">
      <w:start w:val="1"/>
      <w:numFmt w:val="bullet"/>
      <w:lvlText w:val=""/>
      <w:lvlJc w:val="left"/>
      <w:pPr>
        <w:tabs>
          <w:tab w:val="num" w:pos="2880"/>
        </w:tabs>
        <w:ind w:left="2880" w:hanging="360"/>
      </w:pPr>
      <w:rPr>
        <w:rFonts w:ascii="Symbol" w:hAnsi="Symbol"/>
      </w:rPr>
    </w:lvl>
    <w:lvl w:ilvl="4" w:tplc="61BAACF4">
      <w:start w:val="1"/>
      <w:numFmt w:val="bullet"/>
      <w:lvlText w:val="o"/>
      <w:lvlJc w:val="left"/>
      <w:pPr>
        <w:tabs>
          <w:tab w:val="num" w:pos="3600"/>
        </w:tabs>
        <w:ind w:left="3600" w:hanging="360"/>
      </w:pPr>
      <w:rPr>
        <w:rFonts w:ascii="Courier New" w:hAnsi="Courier New"/>
      </w:rPr>
    </w:lvl>
    <w:lvl w:ilvl="5" w:tplc="B36CD3FC">
      <w:start w:val="1"/>
      <w:numFmt w:val="bullet"/>
      <w:lvlText w:val=""/>
      <w:lvlJc w:val="left"/>
      <w:pPr>
        <w:tabs>
          <w:tab w:val="num" w:pos="4320"/>
        </w:tabs>
        <w:ind w:left="4320" w:hanging="360"/>
      </w:pPr>
      <w:rPr>
        <w:rFonts w:ascii="Wingdings" w:hAnsi="Wingdings"/>
      </w:rPr>
    </w:lvl>
    <w:lvl w:ilvl="6" w:tplc="009A6104">
      <w:start w:val="1"/>
      <w:numFmt w:val="bullet"/>
      <w:lvlText w:val=""/>
      <w:lvlJc w:val="left"/>
      <w:pPr>
        <w:tabs>
          <w:tab w:val="num" w:pos="5040"/>
        </w:tabs>
        <w:ind w:left="5040" w:hanging="360"/>
      </w:pPr>
      <w:rPr>
        <w:rFonts w:ascii="Symbol" w:hAnsi="Symbol"/>
      </w:rPr>
    </w:lvl>
    <w:lvl w:ilvl="7" w:tplc="66703630">
      <w:start w:val="1"/>
      <w:numFmt w:val="bullet"/>
      <w:lvlText w:val="o"/>
      <w:lvlJc w:val="left"/>
      <w:pPr>
        <w:tabs>
          <w:tab w:val="num" w:pos="5760"/>
        </w:tabs>
        <w:ind w:left="5760" w:hanging="360"/>
      </w:pPr>
      <w:rPr>
        <w:rFonts w:ascii="Courier New" w:hAnsi="Courier New"/>
      </w:rPr>
    </w:lvl>
    <w:lvl w:ilvl="8" w:tplc="384C1BAA">
      <w:start w:val="1"/>
      <w:numFmt w:val="bullet"/>
      <w:lvlText w:val=""/>
      <w:lvlJc w:val="left"/>
      <w:pPr>
        <w:tabs>
          <w:tab w:val="num" w:pos="6480"/>
        </w:tabs>
        <w:ind w:left="6480" w:hanging="360"/>
      </w:pPr>
      <w:rPr>
        <w:rFonts w:ascii="Wingdings" w:hAnsi="Wingdings"/>
      </w:rPr>
    </w:lvl>
  </w:abstractNum>
  <w:abstractNum w:abstractNumId="27" w15:restartNumberingAfterBreak="0">
    <w:nsid w:val="0000001C"/>
    <w:multiLevelType w:val="hybridMultilevel"/>
    <w:tmpl w:val="0000001C"/>
    <w:lvl w:ilvl="0" w:tplc="BE3452D6">
      <w:start w:val="1"/>
      <w:numFmt w:val="bullet"/>
      <w:lvlText w:val=""/>
      <w:lvlJc w:val="left"/>
      <w:pPr>
        <w:ind w:left="720" w:hanging="360"/>
      </w:pPr>
      <w:rPr>
        <w:rFonts w:ascii="Symbol" w:hAnsi="Symbol"/>
        <w:b w:val="0"/>
        <w:bCs w:val="0"/>
      </w:rPr>
    </w:lvl>
    <w:lvl w:ilvl="1" w:tplc="731C6F80">
      <w:start w:val="1"/>
      <w:numFmt w:val="bullet"/>
      <w:lvlText w:val="o"/>
      <w:lvlJc w:val="left"/>
      <w:pPr>
        <w:tabs>
          <w:tab w:val="num" w:pos="1440"/>
        </w:tabs>
        <w:ind w:left="1440" w:hanging="360"/>
      </w:pPr>
      <w:rPr>
        <w:rFonts w:ascii="Courier New" w:hAnsi="Courier New"/>
      </w:rPr>
    </w:lvl>
    <w:lvl w:ilvl="2" w:tplc="0656723C">
      <w:start w:val="1"/>
      <w:numFmt w:val="bullet"/>
      <w:lvlText w:val=""/>
      <w:lvlJc w:val="left"/>
      <w:pPr>
        <w:tabs>
          <w:tab w:val="num" w:pos="2160"/>
        </w:tabs>
        <w:ind w:left="2160" w:hanging="360"/>
      </w:pPr>
      <w:rPr>
        <w:rFonts w:ascii="Wingdings" w:hAnsi="Wingdings"/>
      </w:rPr>
    </w:lvl>
    <w:lvl w:ilvl="3" w:tplc="02F25A68">
      <w:start w:val="1"/>
      <w:numFmt w:val="bullet"/>
      <w:lvlText w:val=""/>
      <w:lvlJc w:val="left"/>
      <w:pPr>
        <w:tabs>
          <w:tab w:val="num" w:pos="2880"/>
        </w:tabs>
        <w:ind w:left="2880" w:hanging="360"/>
      </w:pPr>
      <w:rPr>
        <w:rFonts w:ascii="Symbol" w:hAnsi="Symbol"/>
      </w:rPr>
    </w:lvl>
    <w:lvl w:ilvl="4" w:tplc="BC742A62">
      <w:start w:val="1"/>
      <w:numFmt w:val="bullet"/>
      <w:lvlText w:val="o"/>
      <w:lvlJc w:val="left"/>
      <w:pPr>
        <w:tabs>
          <w:tab w:val="num" w:pos="3600"/>
        </w:tabs>
        <w:ind w:left="3600" w:hanging="360"/>
      </w:pPr>
      <w:rPr>
        <w:rFonts w:ascii="Courier New" w:hAnsi="Courier New"/>
      </w:rPr>
    </w:lvl>
    <w:lvl w:ilvl="5" w:tplc="4ADEB4DA">
      <w:start w:val="1"/>
      <w:numFmt w:val="bullet"/>
      <w:lvlText w:val=""/>
      <w:lvlJc w:val="left"/>
      <w:pPr>
        <w:tabs>
          <w:tab w:val="num" w:pos="4320"/>
        </w:tabs>
        <w:ind w:left="4320" w:hanging="360"/>
      </w:pPr>
      <w:rPr>
        <w:rFonts w:ascii="Wingdings" w:hAnsi="Wingdings"/>
      </w:rPr>
    </w:lvl>
    <w:lvl w:ilvl="6" w:tplc="95EC018C">
      <w:start w:val="1"/>
      <w:numFmt w:val="bullet"/>
      <w:lvlText w:val=""/>
      <w:lvlJc w:val="left"/>
      <w:pPr>
        <w:tabs>
          <w:tab w:val="num" w:pos="5040"/>
        </w:tabs>
        <w:ind w:left="5040" w:hanging="360"/>
      </w:pPr>
      <w:rPr>
        <w:rFonts w:ascii="Symbol" w:hAnsi="Symbol"/>
      </w:rPr>
    </w:lvl>
    <w:lvl w:ilvl="7" w:tplc="B3961510">
      <w:start w:val="1"/>
      <w:numFmt w:val="bullet"/>
      <w:lvlText w:val="o"/>
      <w:lvlJc w:val="left"/>
      <w:pPr>
        <w:tabs>
          <w:tab w:val="num" w:pos="5760"/>
        </w:tabs>
        <w:ind w:left="5760" w:hanging="360"/>
      </w:pPr>
      <w:rPr>
        <w:rFonts w:ascii="Courier New" w:hAnsi="Courier New"/>
      </w:rPr>
    </w:lvl>
    <w:lvl w:ilvl="8" w:tplc="75D047E6">
      <w:start w:val="1"/>
      <w:numFmt w:val="bullet"/>
      <w:lvlText w:val=""/>
      <w:lvlJc w:val="left"/>
      <w:pPr>
        <w:tabs>
          <w:tab w:val="num" w:pos="6480"/>
        </w:tabs>
        <w:ind w:left="6480" w:hanging="360"/>
      </w:pPr>
      <w:rPr>
        <w:rFonts w:ascii="Wingdings" w:hAnsi="Wingdings"/>
      </w:rPr>
    </w:lvl>
  </w:abstractNum>
  <w:abstractNum w:abstractNumId="28" w15:restartNumberingAfterBreak="0">
    <w:nsid w:val="0000001D"/>
    <w:multiLevelType w:val="hybridMultilevel"/>
    <w:tmpl w:val="0000001D"/>
    <w:lvl w:ilvl="0" w:tplc="25267D70">
      <w:start w:val="1"/>
      <w:numFmt w:val="bullet"/>
      <w:lvlText w:val=""/>
      <w:lvlJc w:val="left"/>
      <w:pPr>
        <w:ind w:left="720" w:hanging="360"/>
      </w:pPr>
      <w:rPr>
        <w:rFonts w:ascii="Symbol" w:hAnsi="Symbol"/>
        <w:b w:val="0"/>
        <w:bCs w:val="0"/>
      </w:rPr>
    </w:lvl>
    <w:lvl w:ilvl="1" w:tplc="AC6C1640">
      <w:start w:val="1"/>
      <w:numFmt w:val="bullet"/>
      <w:lvlText w:val="o"/>
      <w:lvlJc w:val="left"/>
      <w:pPr>
        <w:tabs>
          <w:tab w:val="num" w:pos="1440"/>
        </w:tabs>
        <w:ind w:left="1440" w:hanging="360"/>
      </w:pPr>
      <w:rPr>
        <w:rFonts w:ascii="Courier New" w:hAnsi="Courier New"/>
      </w:rPr>
    </w:lvl>
    <w:lvl w:ilvl="2" w:tplc="1C2E8098">
      <w:start w:val="1"/>
      <w:numFmt w:val="bullet"/>
      <w:lvlText w:val=""/>
      <w:lvlJc w:val="left"/>
      <w:pPr>
        <w:tabs>
          <w:tab w:val="num" w:pos="2160"/>
        </w:tabs>
        <w:ind w:left="2160" w:hanging="360"/>
      </w:pPr>
      <w:rPr>
        <w:rFonts w:ascii="Wingdings" w:hAnsi="Wingdings"/>
      </w:rPr>
    </w:lvl>
    <w:lvl w:ilvl="3" w:tplc="E9E6CC2A">
      <w:start w:val="1"/>
      <w:numFmt w:val="bullet"/>
      <w:lvlText w:val=""/>
      <w:lvlJc w:val="left"/>
      <w:pPr>
        <w:tabs>
          <w:tab w:val="num" w:pos="2880"/>
        </w:tabs>
        <w:ind w:left="2880" w:hanging="360"/>
      </w:pPr>
      <w:rPr>
        <w:rFonts w:ascii="Symbol" w:hAnsi="Symbol"/>
      </w:rPr>
    </w:lvl>
    <w:lvl w:ilvl="4" w:tplc="E9CE0F5E">
      <w:start w:val="1"/>
      <w:numFmt w:val="bullet"/>
      <w:lvlText w:val="o"/>
      <w:lvlJc w:val="left"/>
      <w:pPr>
        <w:tabs>
          <w:tab w:val="num" w:pos="3600"/>
        </w:tabs>
        <w:ind w:left="3600" w:hanging="360"/>
      </w:pPr>
      <w:rPr>
        <w:rFonts w:ascii="Courier New" w:hAnsi="Courier New"/>
      </w:rPr>
    </w:lvl>
    <w:lvl w:ilvl="5" w:tplc="D852647E">
      <w:start w:val="1"/>
      <w:numFmt w:val="bullet"/>
      <w:lvlText w:val=""/>
      <w:lvlJc w:val="left"/>
      <w:pPr>
        <w:tabs>
          <w:tab w:val="num" w:pos="4320"/>
        </w:tabs>
        <w:ind w:left="4320" w:hanging="360"/>
      </w:pPr>
      <w:rPr>
        <w:rFonts w:ascii="Wingdings" w:hAnsi="Wingdings"/>
      </w:rPr>
    </w:lvl>
    <w:lvl w:ilvl="6" w:tplc="8E74999C">
      <w:start w:val="1"/>
      <w:numFmt w:val="bullet"/>
      <w:lvlText w:val=""/>
      <w:lvlJc w:val="left"/>
      <w:pPr>
        <w:tabs>
          <w:tab w:val="num" w:pos="5040"/>
        </w:tabs>
        <w:ind w:left="5040" w:hanging="360"/>
      </w:pPr>
      <w:rPr>
        <w:rFonts w:ascii="Symbol" w:hAnsi="Symbol"/>
      </w:rPr>
    </w:lvl>
    <w:lvl w:ilvl="7" w:tplc="9A6A4F4A">
      <w:start w:val="1"/>
      <w:numFmt w:val="bullet"/>
      <w:lvlText w:val="o"/>
      <w:lvlJc w:val="left"/>
      <w:pPr>
        <w:tabs>
          <w:tab w:val="num" w:pos="5760"/>
        </w:tabs>
        <w:ind w:left="5760" w:hanging="360"/>
      </w:pPr>
      <w:rPr>
        <w:rFonts w:ascii="Courier New" w:hAnsi="Courier New"/>
      </w:rPr>
    </w:lvl>
    <w:lvl w:ilvl="8" w:tplc="3B3850D4">
      <w:start w:val="1"/>
      <w:numFmt w:val="bullet"/>
      <w:lvlText w:val=""/>
      <w:lvlJc w:val="left"/>
      <w:pPr>
        <w:tabs>
          <w:tab w:val="num" w:pos="6480"/>
        </w:tabs>
        <w:ind w:left="6480" w:hanging="360"/>
      </w:pPr>
      <w:rPr>
        <w:rFonts w:ascii="Wingdings" w:hAnsi="Wingdings"/>
      </w:rPr>
    </w:lvl>
  </w:abstractNum>
  <w:abstractNum w:abstractNumId="29" w15:restartNumberingAfterBreak="0">
    <w:nsid w:val="0000001E"/>
    <w:multiLevelType w:val="hybridMultilevel"/>
    <w:tmpl w:val="0000001E"/>
    <w:lvl w:ilvl="0" w:tplc="EADED734">
      <w:start w:val="1"/>
      <w:numFmt w:val="bullet"/>
      <w:lvlText w:val=""/>
      <w:lvlJc w:val="left"/>
      <w:pPr>
        <w:ind w:left="720" w:hanging="360"/>
      </w:pPr>
      <w:rPr>
        <w:rFonts w:ascii="Symbol" w:hAnsi="Symbol"/>
        <w:b w:val="0"/>
        <w:bCs w:val="0"/>
      </w:rPr>
    </w:lvl>
    <w:lvl w:ilvl="1" w:tplc="877C0F6C">
      <w:start w:val="1"/>
      <w:numFmt w:val="bullet"/>
      <w:lvlText w:val="o"/>
      <w:lvlJc w:val="left"/>
      <w:pPr>
        <w:tabs>
          <w:tab w:val="num" w:pos="1440"/>
        </w:tabs>
        <w:ind w:left="1440" w:hanging="360"/>
      </w:pPr>
      <w:rPr>
        <w:rFonts w:ascii="Courier New" w:hAnsi="Courier New"/>
      </w:rPr>
    </w:lvl>
    <w:lvl w:ilvl="2" w:tplc="F394091A">
      <w:start w:val="1"/>
      <w:numFmt w:val="bullet"/>
      <w:lvlText w:val=""/>
      <w:lvlJc w:val="left"/>
      <w:pPr>
        <w:tabs>
          <w:tab w:val="num" w:pos="2160"/>
        </w:tabs>
        <w:ind w:left="2160" w:hanging="360"/>
      </w:pPr>
      <w:rPr>
        <w:rFonts w:ascii="Wingdings" w:hAnsi="Wingdings"/>
      </w:rPr>
    </w:lvl>
    <w:lvl w:ilvl="3" w:tplc="661818E0">
      <w:start w:val="1"/>
      <w:numFmt w:val="bullet"/>
      <w:lvlText w:val=""/>
      <w:lvlJc w:val="left"/>
      <w:pPr>
        <w:tabs>
          <w:tab w:val="num" w:pos="2880"/>
        </w:tabs>
        <w:ind w:left="2880" w:hanging="360"/>
      </w:pPr>
      <w:rPr>
        <w:rFonts w:ascii="Symbol" w:hAnsi="Symbol"/>
      </w:rPr>
    </w:lvl>
    <w:lvl w:ilvl="4" w:tplc="AA10C1EE">
      <w:start w:val="1"/>
      <w:numFmt w:val="bullet"/>
      <w:lvlText w:val="o"/>
      <w:lvlJc w:val="left"/>
      <w:pPr>
        <w:tabs>
          <w:tab w:val="num" w:pos="3600"/>
        </w:tabs>
        <w:ind w:left="3600" w:hanging="360"/>
      </w:pPr>
      <w:rPr>
        <w:rFonts w:ascii="Courier New" w:hAnsi="Courier New"/>
      </w:rPr>
    </w:lvl>
    <w:lvl w:ilvl="5" w:tplc="6DC0E340">
      <w:start w:val="1"/>
      <w:numFmt w:val="bullet"/>
      <w:lvlText w:val=""/>
      <w:lvlJc w:val="left"/>
      <w:pPr>
        <w:tabs>
          <w:tab w:val="num" w:pos="4320"/>
        </w:tabs>
        <w:ind w:left="4320" w:hanging="360"/>
      </w:pPr>
      <w:rPr>
        <w:rFonts w:ascii="Wingdings" w:hAnsi="Wingdings"/>
      </w:rPr>
    </w:lvl>
    <w:lvl w:ilvl="6" w:tplc="CEEE03DA">
      <w:start w:val="1"/>
      <w:numFmt w:val="bullet"/>
      <w:lvlText w:val=""/>
      <w:lvlJc w:val="left"/>
      <w:pPr>
        <w:tabs>
          <w:tab w:val="num" w:pos="5040"/>
        </w:tabs>
        <w:ind w:left="5040" w:hanging="360"/>
      </w:pPr>
      <w:rPr>
        <w:rFonts w:ascii="Symbol" w:hAnsi="Symbol"/>
      </w:rPr>
    </w:lvl>
    <w:lvl w:ilvl="7" w:tplc="054EE184">
      <w:start w:val="1"/>
      <w:numFmt w:val="bullet"/>
      <w:lvlText w:val="o"/>
      <w:lvlJc w:val="left"/>
      <w:pPr>
        <w:tabs>
          <w:tab w:val="num" w:pos="5760"/>
        </w:tabs>
        <w:ind w:left="5760" w:hanging="360"/>
      </w:pPr>
      <w:rPr>
        <w:rFonts w:ascii="Courier New" w:hAnsi="Courier New"/>
      </w:rPr>
    </w:lvl>
    <w:lvl w:ilvl="8" w:tplc="087619BA">
      <w:start w:val="1"/>
      <w:numFmt w:val="bullet"/>
      <w:lvlText w:val=""/>
      <w:lvlJc w:val="left"/>
      <w:pPr>
        <w:tabs>
          <w:tab w:val="num" w:pos="6480"/>
        </w:tabs>
        <w:ind w:left="6480" w:hanging="360"/>
      </w:pPr>
      <w:rPr>
        <w:rFonts w:ascii="Wingdings" w:hAnsi="Wingdings"/>
      </w:rPr>
    </w:lvl>
  </w:abstractNum>
  <w:abstractNum w:abstractNumId="30" w15:restartNumberingAfterBreak="0">
    <w:nsid w:val="0000001F"/>
    <w:multiLevelType w:val="hybridMultilevel"/>
    <w:tmpl w:val="0000001F"/>
    <w:lvl w:ilvl="0" w:tplc="81BA49E8">
      <w:start w:val="1"/>
      <w:numFmt w:val="bullet"/>
      <w:lvlText w:val=""/>
      <w:lvlJc w:val="left"/>
      <w:pPr>
        <w:ind w:left="720" w:hanging="360"/>
      </w:pPr>
      <w:rPr>
        <w:rFonts w:ascii="Symbol" w:hAnsi="Symbol"/>
        <w:b w:val="0"/>
        <w:bCs w:val="0"/>
      </w:rPr>
    </w:lvl>
    <w:lvl w:ilvl="1" w:tplc="D4044642">
      <w:start w:val="1"/>
      <w:numFmt w:val="bullet"/>
      <w:lvlText w:val="o"/>
      <w:lvlJc w:val="left"/>
      <w:pPr>
        <w:tabs>
          <w:tab w:val="num" w:pos="1440"/>
        </w:tabs>
        <w:ind w:left="1440" w:hanging="360"/>
      </w:pPr>
      <w:rPr>
        <w:rFonts w:ascii="Courier New" w:hAnsi="Courier New"/>
      </w:rPr>
    </w:lvl>
    <w:lvl w:ilvl="2" w:tplc="E4262D52">
      <w:start w:val="1"/>
      <w:numFmt w:val="bullet"/>
      <w:lvlText w:val=""/>
      <w:lvlJc w:val="left"/>
      <w:pPr>
        <w:tabs>
          <w:tab w:val="num" w:pos="2160"/>
        </w:tabs>
        <w:ind w:left="2160" w:hanging="360"/>
      </w:pPr>
      <w:rPr>
        <w:rFonts w:ascii="Wingdings" w:hAnsi="Wingdings"/>
      </w:rPr>
    </w:lvl>
    <w:lvl w:ilvl="3" w:tplc="18B2CCEA">
      <w:start w:val="1"/>
      <w:numFmt w:val="bullet"/>
      <w:lvlText w:val=""/>
      <w:lvlJc w:val="left"/>
      <w:pPr>
        <w:tabs>
          <w:tab w:val="num" w:pos="2880"/>
        </w:tabs>
        <w:ind w:left="2880" w:hanging="360"/>
      </w:pPr>
      <w:rPr>
        <w:rFonts w:ascii="Symbol" w:hAnsi="Symbol"/>
      </w:rPr>
    </w:lvl>
    <w:lvl w:ilvl="4" w:tplc="D88C2A00">
      <w:start w:val="1"/>
      <w:numFmt w:val="bullet"/>
      <w:lvlText w:val="o"/>
      <w:lvlJc w:val="left"/>
      <w:pPr>
        <w:tabs>
          <w:tab w:val="num" w:pos="3600"/>
        </w:tabs>
        <w:ind w:left="3600" w:hanging="360"/>
      </w:pPr>
      <w:rPr>
        <w:rFonts w:ascii="Courier New" w:hAnsi="Courier New"/>
      </w:rPr>
    </w:lvl>
    <w:lvl w:ilvl="5" w:tplc="A22CF6E4">
      <w:start w:val="1"/>
      <w:numFmt w:val="bullet"/>
      <w:lvlText w:val=""/>
      <w:lvlJc w:val="left"/>
      <w:pPr>
        <w:tabs>
          <w:tab w:val="num" w:pos="4320"/>
        </w:tabs>
        <w:ind w:left="4320" w:hanging="360"/>
      </w:pPr>
      <w:rPr>
        <w:rFonts w:ascii="Wingdings" w:hAnsi="Wingdings"/>
      </w:rPr>
    </w:lvl>
    <w:lvl w:ilvl="6" w:tplc="4D423366">
      <w:start w:val="1"/>
      <w:numFmt w:val="bullet"/>
      <w:lvlText w:val=""/>
      <w:lvlJc w:val="left"/>
      <w:pPr>
        <w:tabs>
          <w:tab w:val="num" w:pos="5040"/>
        </w:tabs>
        <w:ind w:left="5040" w:hanging="360"/>
      </w:pPr>
      <w:rPr>
        <w:rFonts w:ascii="Symbol" w:hAnsi="Symbol"/>
      </w:rPr>
    </w:lvl>
    <w:lvl w:ilvl="7" w:tplc="4F4A61CC">
      <w:start w:val="1"/>
      <w:numFmt w:val="bullet"/>
      <w:lvlText w:val="o"/>
      <w:lvlJc w:val="left"/>
      <w:pPr>
        <w:tabs>
          <w:tab w:val="num" w:pos="5760"/>
        </w:tabs>
        <w:ind w:left="5760" w:hanging="360"/>
      </w:pPr>
      <w:rPr>
        <w:rFonts w:ascii="Courier New" w:hAnsi="Courier New"/>
      </w:rPr>
    </w:lvl>
    <w:lvl w:ilvl="8" w:tplc="3E64D470">
      <w:start w:val="1"/>
      <w:numFmt w:val="bullet"/>
      <w:lvlText w:val=""/>
      <w:lvlJc w:val="left"/>
      <w:pPr>
        <w:tabs>
          <w:tab w:val="num" w:pos="6480"/>
        </w:tabs>
        <w:ind w:left="6480" w:hanging="360"/>
      </w:pPr>
      <w:rPr>
        <w:rFonts w:ascii="Wingdings" w:hAnsi="Wingdings"/>
      </w:rPr>
    </w:lvl>
  </w:abstractNum>
  <w:abstractNum w:abstractNumId="31" w15:restartNumberingAfterBreak="0">
    <w:nsid w:val="00000020"/>
    <w:multiLevelType w:val="hybridMultilevel"/>
    <w:tmpl w:val="00000020"/>
    <w:lvl w:ilvl="0" w:tplc="A56A77B4">
      <w:start w:val="1"/>
      <w:numFmt w:val="bullet"/>
      <w:lvlText w:val=""/>
      <w:lvlJc w:val="left"/>
      <w:pPr>
        <w:ind w:left="720" w:hanging="360"/>
      </w:pPr>
      <w:rPr>
        <w:rFonts w:ascii="Symbol" w:hAnsi="Symbol"/>
        <w:b w:val="0"/>
        <w:bCs w:val="0"/>
      </w:rPr>
    </w:lvl>
    <w:lvl w:ilvl="1" w:tplc="94E6A60A">
      <w:start w:val="1"/>
      <w:numFmt w:val="bullet"/>
      <w:lvlText w:val="o"/>
      <w:lvlJc w:val="left"/>
      <w:pPr>
        <w:tabs>
          <w:tab w:val="num" w:pos="1440"/>
        </w:tabs>
        <w:ind w:left="1440" w:hanging="360"/>
      </w:pPr>
      <w:rPr>
        <w:rFonts w:ascii="Courier New" w:hAnsi="Courier New"/>
      </w:rPr>
    </w:lvl>
    <w:lvl w:ilvl="2" w:tplc="58A62D68">
      <w:start w:val="1"/>
      <w:numFmt w:val="bullet"/>
      <w:lvlText w:val=""/>
      <w:lvlJc w:val="left"/>
      <w:pPr>
        <w:tabs>
          <w:tab w:val="num" w:pos="2160"/>
        </w:tabs>
        <w:ind w:left="2160" w:hanging="360"/>
      </w:pPr>
      <w:rPr>
        <w:rFonts w:ascii="Wingdings" w:hAnsi="Wingdings"/>
      </w:rPr>
    </w:lvl>
    <w:lvl w:ilvl="3" w:tplc="34063B90">
      <w:start w:val="1"/>
      <w:numFmt w:val="bullet"/>
      <w:lvlText w:val=""/>
      <w:lvlJc w:val="left"/>
      <w:pPr>
        <w:tabs>
          <w:tab w:val="num" w:pos="2880"/>
        </w:tabs>
        <w:ind w:left="2880" w:hanging="360"/>
      </w:pPr>
      <w:rPr>
        <w:rFonts w:ascii="Symbol" w:hAnsi="Symbol"/>
      </w:rPr>
    </w:lvl>
    <w:lvl w:ilvl="4" w:tplc="93940308">
      <w:start w:val="1"/>
      <w:numFmt w:val="bullet"/>
      <w:lvlText w:val="o"/>
      <w:lvlJc w:val="left"/>
      <w:pPr>
        <w:tabs>
          <w:tab w:val="num" w:pos="3600"/>
        </w:tabs>
        <w:ind w:left="3600" w:hanging="360"/>
      </w:pPr>
      <w:rPr>
        <w:rFonts w:ascii="Courier New" w:hAnsi="Courier New"/>
      </w:rPr>
    </w:lvl>
    <w:lvl w:ilvl="5" w:tplc="94249726">
      <w:start w:val="1"/>
      <w:numFmt w:val="bullet"/>
      <w:lvlText w:val=""/>
      <w:lvlJc w:val="left"/>
      <w:pPr>
        <w:tabs>
          <w:tab w:val="num" w:pos="4320"/>
        </w:tabs>
        <w:ind w:left="4320" w:hanging="360"/>
      </w:pPr>
      <w:rPr>
        <w:rFonts w:ascii="Wingdings" w:hAnsi="Wingdings"/>
      </w:rPr>
    </w:lvl>
    <w:lvl w:ilvl="6" w:tplc="03426536">
      <w:start w:val="1"/>
      <w:numFmt w:val="bullet"/>
      <w:lvlText w:val=""/>
      <w:lvlJc w:val="left"/>
      <w:pPr>
        <w:tabs>
          <w:tab w:val="num" w:pos="5040"/>
        </w:tabs>
        <w:ind w:left="5040" w:hanging="360"/>
      </w:pPr>
      <w:rPr>
        <w:rFonts w:ascii="Symbol" w:hAnsi="Symbol"/>
      </w:rPr>
    </w:lvl>
    <w:lvl w:ilvl="7" w:tplc="1EAE785A">
      <w:start w:val="1"/>
      <w:numFmt w:val="bullet"/>
      <w:lvlText w:val="o"/>
      <w:lvlJc w:val="left"/>
      <w:pPr>
        <w:tabs>
          <w:tab w:val="num" w:pos="5760"/>
        </w:tabs>
        <w:ind w:left="5760" w:hanging="360"/>
      </w:pPr>
      <w:rPr>
        <w:rFonts w:ascii="Courier New" w:hAnsi="Courier New"/>
      </w:rPr>
    </w:lvl>
    <w:lvl w:ilvl="8" w:tplc="81DE8FD8">
      <w:start w:val="1"/>
      <w:numFmt w:val="bullet"/>
      <w:lvlText w:val=""/>
      <w:lvlJc w:val="left"/>
      <w:pPr>
        <w:tabs>
          <w:tab w:val="num" w:pos="6480"/>
        </w:tabs>
        <w:ind w:left="6480" w:hanging="360"/>
      </w:pPr>
      <w:rPr>
        <w:rFonts w:ascii="Wingdings" w:hAnsi="Wingdings"/>
      </w:rPr>
    </w:lvl>
  </w:abstractNum>
  <w:abstractNum w:abstractNumId="32" w15:restartNumberingAfterBreak="0">
    <w:nsid w:val="00000021"/>
    <w:multiLevelType w:val="hybridMultilevel"/>
    <w:tmpl w:val="00000021"/>
    <w:lvl w:ilvl="0" w:tplc="BDF866E6">
      <w:start w:val="1"/>
      <w:numFmt w:val="bullet"/>
      <w:lvlText w:val=""/>
      <w:lvlJc w:val="left"/>
      <w:pPr>
        <w:ind w:left="720" w:hanging="360"/>
      </w:pPr>
      <w:rPr>
        <w:rFonts w:ascii="Symbol" w:hAnsi="Symbol"/>
        <w:b w:val="0"/>
        <w:bCs w:val="0"/>
      </w:rPr>
    </w:lvl>
    <w:lvl w:ilvl="1" w:tplc="FC76C2D6">
      <w:start w:val="1"/>
      <w:numFmt w:val="bullet"/>
      <w:lvlText w:val="o"/>
      <w:lvlJc w:val="left"/>
      <w:pPr>
        <w:tabs>
          <w:tab w:val="num" w:pos="1440"/>
        </w:tabs>
        <w:ind w:left="1440" w:hanging="360"/>
      </w:pPr>
      <w:rPr>
        <w:rFonts w:ascii="Courier New" w:hAnsi="Courier New"/>
      </w:rPr>
    </w:lvl>
    <w:lvl w:ilvl="2" w:tplc="FC8663CA">
      <w:start w:val="1"/>
      <w:numFmt w:val="bullet"/>
      <w:lvlText w:val=""/>
      <w:lvlJc w:val="left"/>
      <w:pPr>
        <w:tabs>
          <w:tab w:val="num" w:pos="2160"/>
        </w:tabs>
        <w:ind w:left="2160" w:hanging="360"/>
      </w:pPr>
      <w:rPr>
        <w:rFonts w:ascii="Wingdings" w:hAnsi="Wingdings"/>
      </w:rPr>
    </w:lvl>
    <w:lvl w:ilvl="3" w:tplc="D19A9F46">
      <w:start w:val="1"/>
      <w:numFmt w:val="bullet"/>
      <w:lvlText w:val=""/>
      <w:lvlJc w:val="left"/>
      <w:pPr>
        <w:tabs>
          <w:tab w:val="num" w:pos="2880"/>
        </w:tabs>
        <w:ind w:left="2880" w:hanging="360"/>
      </w:pPr>
      <w:rPr>
        <w:rFonts w:ascii="Symbol" w:hAnsi="Symbol"/>
      </w:rPr>
    </w:lvl>
    <w:lvl w:ilvl="4" w:tplc="B20024E0">
      <w:start w:val="1"/>
      <w:numFmt w:val="bullet"/>
      <w:lvlText w:val="o"/>
      <w:lvlJc w:val="left"/>
      <w:pPr>
        <w:tabs>
          <w:tab w:val="num" w:pos="3600"/>
        </w:tabs>
        <w:ind w:left="3600" w:hanging="360"/>
      </w:pPr>
      <w:rPr>
        <w:rFonts w:ascii="Courier New" w:hAnsi="Courier New"/>
      </w:rPr>
    </w:lvl>
    <w:lvl w:ilvl="5" w:tplc="2B3626D2">
      <w:start w:val="1"/>
      <w:numFmt w:val="bullet"/>
      <w:lvlText w:val=""/>
      <w:lvlJc w:val="left"/>
      <w:pPr>
        <w:tabs>
          <w:tab w:val="num" w:pos="4320"/>
        </w:tabs>
        <w:ind w:left="4320" w:hanging="360"/>
      </w:pPr>
      <w:rPr>
        <w:rFonts w:ascii="Wingdings" w:hAnsi="Wingdings"/>
      </w:rPr>
    </w:lvl>
    <w:lvl w:ilvl="6" w:tplc="B992C984">
      <w:start w:val="1"/>
      <w:numFmt w:val="bullet"/>
      <w:lvlText w:val=""/>
      <w:lvlJc w:val="left"/>
      <w:pPr>
        <w:tabs>
          <w:tab w:val="num" w:pos="5040"/>
        </w:tabs>
        <w:ind w:left="5040" w:hanging="360"/>
      </w:pPr>
      <w:rPr>
        <w:rFonts w:ascii="Symbol" w:hAnsi="Symbol"/>
      </w:rPr>
    </w:lvl>
    <w:lvl w:ilvl="7" w:tplc="64B86B0A">
      <w:start w:val="1"/>
      <w:numFmt w:val="bullet"/>
      <w:lvlText w:val="o"/>
      <w:lvlJc w:val="left"/>
      <w:pPr>
        <w:tabs>
          <w:tab w:val="num" w:pos="5760"/>
        </w:tabs>
        <w:ind w:left="5760" w:hanging="360"/>
      </w:pPr>
      <w:rPr>
        <w:rFonts w:ascii="Courier New" w:hAnsi="Courier New"/>
      </w:rPr>
    </w:lvl>
    <w:lvl w:ilvl="8" w:tplc="C98EF5C8">
      <w:start w:val="1"/>
      <w:numFmt w:val="bullet"/>
      <w:lvlText w:val=""/>
      <w:lvlJc w:val="left"/>
      <w:pPr>
        <w:tabs>
          <w:tab w:val="num" w:pos="6480"/>
        </w:tabs>
        <w:ind w:left="6480" w:hanging="360"/>
      </w:pPr>
      <w:rPr>
        <w:rFonts w:ascii="Wingdings" w:hAnsi="Wingdings"/>
      </w:rPr>
    </w:lvl>
  </w:abstractNum>
  <w:abstractNum w:abstractNumId="33" w15:restartNumberingAfterBreak="0">
    <w:nsid w:val="00000022"/>
    <w:multiLevelType w:val="hybridMultilevel"/>
    <w:tmpl w:val="00000022"/>
    <w:lvl w:ilvl="0" w:tplc="3FC60426">
      <w:start w:val="1"/>
      <w:numFmt w:val="bullet"/>
      <w:lvlText w:val=""/>
      <w:lvlJc w:val="left"/>
      <w:pPr>
        <w:ind w:left="720" w:hanging="360"/>
      </w:pPr>
      <w:rPr>
        <w:rFonts w:ascii="Symbol" w:hAnsi="Symbol"/>
        <w:b w:val="0"/>
        <w:bCs w:val="0"/>
      </w:rPr>
    </w:lvl>
    <w:lvl w:ilvl="1" w:tplc="65BEC5CC">
      <w:start w:val="1"/>
      <w:numFmt w:val="bullet"/>
      <w:lvlText w:val="o"/>
      <w:lvlJc w:val="left"/>
      <w:pPr>
        <w:tabs>
          <w:tab w:val="num" w:pos="1440"/>
        </w:tabs>
        <w:ind w:left="1440" w:hanging="360"/>
      </w:pPr>
      <w:rPr>
        <w:rFonts w:ascii="Courier New" w:hAnsi="Courier New"/>
      </w:rPr>
    </w:lvl>
    <w:lvl w:ilvl="2" w:tplc="B328B48E">
      <w:start w:val="1"/>
      <w:numFmt w:val="bullet"/>
      <w:lvlText w:val=""/>
      <w:lvlJc w:val="left"/>
      <w:pPr>
        <w:tabs>
          <w:tab w:val="num" w:pos="2160"/>
        </w:tabs>
        <w:ind w:left="2160" w:hanging="360"/>
      </w:pPr>
      <w:rPr>
        <w:rFonts w:ascii="Wingdings" w:hAnsi="Wingdings"/>
      </w:rPr>
    </w:lvl>
    <w:lvl w:ilvl="3" w:tplc="1BE2F452">
      <w:start w:val="1"/>
      <w:numFmt w:val="bullet"/>
      <w:lvlText w:val=""/>
      <w:lvlJc w:val="left"/>
      <w:pPr>
        <w:tabs>
          <w:tab w:val="num" w:pos="2880"/>
        </w:tabs>
        <w:ind w:left="2880" w:hanging="360"/>
      </w:pPr>
      <w:rPr>
        <w:rFonts w:ascii="Symbol" w:hAnsi="Symbol"/>
      </w:rPr>
    </w:lvl>
    <w:lvl w:ilvl="4" w:tplc="86BEC554">
      <w:start w:val="1"/>
      <w:numFmt w:val="bullet"/>
      <w:lvlText w:val="o"/>
      <w:lvlJc w:val="left"/>
      <w:pPr>
        <w:tabs>
          <w:tab w:val="num" w:pos="3600"/>
        </w:tabs>
        <w:ind w:left="3600" w:hanging="360"/>
      </w:pPr>
      <w:rPr>
        <w:rFonts w:ascii="Courier New" w:hAnsi="Courier New"/>
      </w:rPr>
    </w:lvl>
    <w:lvl w:ilvl="5" w:tplc="AA5AB304">
      <w:start w:val="1"/>
      <w:numFmt w:val="bullet"/>
      <w:lvlText w:val=""/>
      <w:lvlJc w:val="left"/>
      <w:pPr>
        <w:tabs>
          <w:tab w:val="num" w:pos="4320"/>
        </w:tabs>
        <w:ind w:left="4320" w:hanging="360"/>
      </w:pPr>
      <w:rPr>
        <w:rFonts w:ascii="Wingdings" w:hAnsi="Wingdings"/>
      </w:rPr>
    </w:lvl>
    <w:lvl w:ilvl="6" w:tplc="3F0E5396">
      <w:start w:val="1"/>
      <w:numFmt w:val="bullet"/>
      <w:lvlText w:val=""/>
      <w:lvlJc w:val="left"/>
      <w:pPr>
        <w:tabs>
          <w:tab w:val="num" w:pos="5040"/>
        </w:tabs>
        <w:ind w:left="5040" w:hanging="360"/>
      </w:pPr>
      <w:rPr>
        <w:rFonts w:ascii="Symbol" w:hAnsi="Symbol"/>
      </w:rPr>
    </w:lvl>
    <w:lvl w:ilvl="7" w:tplc="03901A78">
      <w:start w:val="1"/>
      <w:numFmt w:val="bullet"/>
      <w:lvlText w:val="o"/>
      <w:lvlJc w:val="left"/>
      <w:pPr>
        <w:tabs>
          <w:tab w:val="num" w:pos="5760"/>
        </w:tabs>
        <w:ind w:left="5760" w:hanging="360"/>
      </w:pPr>
      <w:rPr>
        <w:rFonts w:ascii="Courier New" w:hAnsi="Courier New"/>
      </w:rPr>
    </w:lvl>
    <w:lvl w:ilvl="8" w:tplc="E144ACA8">
      <w:start w:val="1"/>
      <w:numFmt w:val="bullet"/>
      <w:lvlText w:val=""/>
      <w:lvlJc w:val="left"/>
      <w:pPr>
        <w:tabs>
          <w:tab w:val="num" w:pos="6480"/>
        </w:tabs>
        <w:ind w:left="6480" w:hanging="360"/>
      </w:pPr>
      <w:rPr>
        <w:rFonts w:ascii="Wingdings" w:hAnsi="Wingdings"/>
      </w:rPr>
    </w:lvl>
  </w:abstractNum>
  <w:abstractNum w:abstractNumId="34" w15:restartNumberingAfterBreak="0">
    <w:nsid w:val="00000023"/>
    <w:multiLevelType w:val="hybridMultilevel"/>
    <w:tmpl w:val="00000023"/>
    <w:lvl w:ilvl="0" w:tplc="933CF708">
      <w:start w:val="1"/>
      <w:numFmt w:val="bullet"/>
      <w:lvlText w:val=""/>
      <w:lvlJc w:val="left"/>
      <w:pPr>
        <w:ind w:left="720" w:hanging="360"/>
      </w:pPr>
      <w:rPr>
        <w:rFonts w:ascii="Symbol" w:hAnsi="Symbol"/>
        <w:b w:val="0"/>
        <w:bCs w:val="0"/>
      </w:rPr>
    </w:lvl>
    <w:lvl w:ilvl="1" w:tplc="9972281C">
      <w:start w:val="1"/>
      <w:numFmt w:val="bullet"/>
      <w:lvlText w:val="o"/>
      <w:lvlJc w:val="left"/>
      <w:pPr>
        <w:tabs>
          <w:tab w:val="num" w:pos="1440"/>
        </w:tabs>
        <w:ind w:left="1440" w:hanging="360"/>
      </w:pPr>
      <w:rPr>
        <w:rFonts w:ascii="Courier New" w:hAnsi="Courier New"/>
      </w:rPr>
    </w:lvl>
    <w:lvl w:ilvl="2" w:tplc="1D9C5ED2">
      <w:start w:val="1"/>
      <w:numFmt w:val="bullet"/>
      <w:lvlText w:val=""/>
      <w:lvlJc w:val="left"/>
      <w:pPr>
        <w:tabs>
          <w:tab w:val="num" w:pos="2160"/>
        </w:tabs>
        <w:ind w:left="2160" w:hanging="360"/>
      </w:pPr>
      <w:rPr>
        <w:rFonts w:ascii="Wingdings" w:hAnsi="Wingdings"/>
      </w:rPr>
    </w:lvl>
    <w:lvl w:ilvl="3" w:tplc="2A36D4C2">
      <w:start w:val="1"/>
      <w:numFmt w:val="bullet"/>
      <w:lvlText w:val=""/>
      <w:lvlJc w:val="left"/>
      <w:pPr>
        <w:tabs>
          <w:tab w:val="num" w:pos="2880"/>
        </w:tabs>
        <w:ind w:left="2880" w:hanging="360"/>
      </w:pPr>
      <w:rPr>
        <w:rFonts w:ascii="Symbol" w:hAnsi="Symbol"/>
      </w:rPr>
    </w:lvl>
    <w:lvl w:ilvl="4" w:tplc="C954196A">
      <w:start w:val="1"/>
      <w:numFmt w:val="bullet"/>
      <w:lvlText w:val="o"/>
      <w:lvlJc w:val="left"/>
      <w:pPr>
        <w:tabs>
          <w:tab w:val="num" w:pos="3600"/>
        </w:tabs>
        <w:ind w:left="3600" w:hanging="360"/>
      </w:pPr>
      <w:rPr>
        <w:rFonts w:ascii="Courier New" w:hAnsi="Courier New"/>
      </w:rPr>
    </w:lvl>
    <w:lvl w:ilvl="5" w:tplc="61BCEF6E">
      <w:start w:val="1"/>
      <w:numFmt w:val="bullet"/>
      <w:lvlText w:val=""/>
      <w:lvlJc w:val="left"/>
      <w:pPr>
        <w:tabs>
          <w:tab w:val="num" w:pos="4320"/>
        </w:tabs>
        <w:ind w:left="4320" w:hanging="360"/>
      </w:pPr>
      <w:rPr>
        <w:rFonts w:ascii="Wingdings" w:hAnsi="Wingdings"/>
      </w:rPr>
    </w:lvl>
    <w:lvl w:ilvl="6" w:tplc="D932CC52">
      <w:start w:val="1"/>
      <w:numFmt w:val="bullet"/>
      <w:lvlText w:val=""/>
      <w:lvlJc w:val="left"/>
      <w:pPr>
        <w:tabs>
          <w:tab w:val="num" w:pos="5040"/>
        </w:tabs>
        <w:ind w:left="5040" w:hanging="360"/>
      </w:pPr>
      <w:rPr>
        <w:rFonts w:ascii="Symbol" w:hAnsi="Symbol"/>
      </w:rPr>
    </w:lvl>
    <w:lvl w:ilvl="7" w:tplc="210E6ADA">
      <w:start w:val="1"/>
      <w:numFmt w:val="bullet"/>
      <w:lvlText w:val="o"/>
      <w:lvlJc w:val="left"/>
      <w:pPr>
        <w:tabs>
          <w:tab w:val="num" w:pos="5760"/>
        </w:tabs>
        <w:ind w:left="5760" w:hanging="360"/>
      </w:pPr>
      <w:rPr>
        <w:rFonts w:ascii="Courier New" w:hAnsi="Courier New"/>
      </w:rPr>
    </w:lvl>
    <w:lvl w:ilvl="8" w:tplc="A330D986">
      <w:start w:val="1"/>
      <w:numFmt w:val="bullet"/>
      <w:lvlText w:val=""/>
      <w:lvlJc w:val="left"/>
      <w:pPr>
        <w:tabs>
          <w:tab w:val="num" w:pos="6480"/>
        </w:tabs>
        <w:ind w:left="6480" w:hanging="360"/>
      </w:pPr>
      <w:rPr>
        <w:rFonts w:ascii="Wingdings" w:hAnsi="Wingdings"/>
      </w:rPr>
    </w:lvl>
  </w:abstractNum>
  <w:abstractNum w:abstractNumId="35" w15:restartNumberingAfterBreak="0">
    <w:nsid w:val="00000024"/>
    <w:multiLevelType w:val="hybridMultilevel"/>
    <w:tmpl w:val="00000024"/>
    <w:lvl w:ilvl="0" w:tplc="00B4595A">
      <w:start w:val="1"/>
      <w:numFmt w:val="bullet"/>
      <w:lvlText w:val=""/>
      <w:lvlJc w:val="left"/>
      <w:pPr>
        <w:ind w:left="720" w:hanging="360"/>
      </w:pPr>
      <w:rPr>
        <w:rFonts w:ascii="Symbol" w:hAnsi="Symbol"/>
        <w:b w:val="0"/>
        <w:bCs w:val="0"/>
      </w:rPr>
    </w:lvl>
    <w:lvl w:ilvl="1" w:tplc="3B5A60B6">
      <w:start w:val="1"/>
      <w:numFmt w:val="bullet"/>
      <w:lvlText w:val="o"/>
      <w:lvlJc w:val="left"/>
      <w:pPr>
        <w:tabs>
          <w:tab w:val="num" w:pos="1440"/>
        </w:tabs>
        <w:ind w:left="1440" w:hanging="360"/>
      </w:pPr>
      <w:rPr>
        <w:rFonts w:ascii="Courier New" w:hAnsi="Courier New"/>
      </w:rPr>
    </w:lvl>
    <w:lvl w:ilvl="2" w:tplc="BED8E3BE">
      <w:start w:val="1"/>
      <w:numFmt w:val="bullet"/>
      <w:lvlText w:val=""/>
      <w:lvlJc w:val="left"/>
      <w:pPr>
        <w:tabs>
          <w:tab w:val="num" w:pos="2160"/>
        </w:tabs>
        <w:ind w:left="2160" w:hanging="360"/>
      </w:pPr>
      <w:rPr>
        <w:rFonts w:ascii="Wingdings" w:hAnsi="Wingdings"/>
      </w:rPr>
    </w:lvl>
    <w:lvl w:ilvl="3" w:tplc="A2EEFE4E">
      <w:start w:val="1"/>
      <w:numFmt w:val="bullet"/>
      <w:lvlText w:val=""/>
      <w:lvlJc w:val="left"/>
      <w:pPr>
        <w:tabs>
          <w:tab w:val="num" w:pos="2880"/>
        </w:tabs>
        <w:ind w:left="2880" w:hanging="360"/>
      </w:pPr>
      <w:rPr>
        <w:rFonts w:ascii="Symbol" w:hAnsi="Symbol"/>
      </w:rPr>
    </w:lvl>
    <w:lvl w:ilvl="4" w:tplc="ADFC2684">
      <w:start w:val="1"/>
      <w:numFmt w:val="bullet"/>
      <w:lvlText w:val="o"/>
      <w:lvlJc w:val="left"/>
      <w:pPr>
        <w:tabs>
          <w:tab w:val="num" w:pos="3600"/>
        </w:tabs>
        <w:ind w:left="3600" w:hanging="360"/>
      </w:pPr>
      <w:rPr>
        <w:rFonts w:ascii="Courier New" w:hAnsi="Courier New"/>
      </w:rPr>
    </w:lvl>
    <w:lvl w:ilvl="5" w:tplc="EA8A4F20">
      <w:start w:val="1"/>
      <w:numFmt w:val="bullet"/>
      <w:lvlText w:val=""/>
      <w:lvlJc w:val="left"/>
      <w:pPr>
        <w:tabs>
          <w:tab w:val="num" w:pos="4320"/>
        </w:tabs>
        <w:ind w:left="4320" w:hanging="360"/>
      </w:pPr>
      <w:rPr>
        <w:rFonts w:ascii="Wingdings" w:hAnsi="Wingdings"/>
      </w:rPr>
    </w:lvl>
    <w:lvl w:ilvl="6" w:tplc="04DCBCAA">
      <w:start w:val="1"/>
      <w:numFmt w:val="bullet"/>
      <w:lvlText w:val=""/>
      <w:lvlJc w:val="left"/>
      <w:pPr>
        <w:tabs>
          <w:tab w:val="num" w:pos="5040"/>
        </w:tabs>
        <w:ind w:left="5040" w:hanging="360"/>
      </w:pPr>
      <w:rPr>
        <w:rFonts w:ascii="Symbol" w:hAnsi="Symbol"/>
      </w:rPr>
    </w:lvl>
    <w:lvl w:ilvl="7" w:tplc="808AA622">
      <w:start w:val="1"/>
      <w:numFmt w:val="bullet"/>
      <w:lvlText w:val="o"/>
      <w:lvlJc w:val="left"/>
      <w:pPr>
        <w:tabs>
          <w:tab w:val="num" w:pos="5760"/>
        </w:tabs>
        <w:ind w:left="5760" w:hanging="360"/>
      </w:pPr>
      <w:rPr>
        <w:rFonts w:ascii="Courier New" w:hAnsi="Courier New"/>
      </w:rPr>
    </w:lvl>
    <w:lvl w:ilvl="8" w:tplc="1A6851C0">
      <w:start w:val="1"/>
      <w:numFmt w:val="bullet"/>
      <w:lvlText w:val=""/>
      <w:lvlJc w:val="left"/>
      <w:pPr>
        <w:tabs>
          <w:tab w:val="num" w:pos="6480"/>
        </w:tabs>
        <w:ind w:left="6480" w:hanging="360"/>
      </w:pPr>
      <w:rPr>
        <w:rFonts w:ascii="Wingdings" w:hAnsi="Wingdings"/>
      </w:rPr>
    </w:lvl>
  </w:abstractNum>
  <w:abstractNum w:abstractNumId="36" w15:restartNumberingAfterBreak="0">
    <w:nsid w:val="00000025"/>
    <w:multiLevelType w:val="hybridMultilevel"/>
    <w:tmpl w:val="00000025"/>
    <w:lvl w:ilvl="0" w:tplc="A70E4A7C">
      <w:start w:val="1"/>
      <w:numFmt w:val="bullet"/>
      <w:lvlText w:val=""/>
      <w:lvlJc w:val="left"/>
      <w:pPr>
        <w:ind w:left="720" w:hanging="360"/>
      </w:pPr>
      <w:rPr>
        <w:rFonts w:ascii="Symbol" w:hAnsi="Symbol"/>
        <w:b w:val="0"/>
        <w:bCs w:val="0"/>
      </w:rPr>
    </w:lvl>
    <w:lvl w:ilvl="1" w:tplc="006C889A">
      <w:start w:val="1"/>
      <w:numFmt w:val="bullet"/>
      <w:lvlText w:val="o"/>
      <w:lvlJc w:val="left"/>
      <w:pPr>
        <w:tabs>
          <w:tab w:val="num" w:pos="1440"/>
        </w:tabs>
        <w:ind w:left="1440" w:hanging="360"/>
      </w:pPr>
      <w:rPr>
        <w:rFonts w:ascii="Courier New" w:hAnsi="Courier New"/>
      </w:rPr>
    </w:lvl>
    <w:lvl w:ilvl="2" w:tplc="DD08387C">
      <w:start w:val="1"/>
      <w:numFmt w:val="bullet"/>
      <w:lvlText w:val=""/>
      <w:lvlJc w:val="left"/>
      <w:pPr>
        <w:tabs>
          <w:tab w:val="num" w:pos="2160"/>
        </w:tabs>
        <w:ind w:left="2160" w:hanging="360"/>
      </w:pPr>
      <w:rPr>
        <w:rFonts w:ascii="Wingdings" w:hAnsi="Wingdings"/>
      </w:rPr>
    </w:lvl>
    <w:lvl w:ilvl="3" w:tplc="76F897F6">
      <w:start w:val="1"/>
      <w:numFmt w:val="bullet"/>
      <w:lvlText w:val=""/>
      <w:lvlJc w:val="left"/>
      <w:pPr>
        <w:tabs>
          <w:tab w:val="num" w:pos="2880"/>
        </w:tabs>
        <w:ind w:left="2880" w:hanging="360"/>
      </w:pPr>
      <w:rPr>
        <w:rFonts w:ascii="Symbol" w:hAnsi="Symbol"/>
      </w:rPr>
    </w:lvl>
    <w:lvl w:ilvl="4" w:tplc="32BA6744">
      <w:start w:val="1"/>
      <w:numFmt w:val="bullet"/>
      <w:lvlText w:val="o"/>
      <w:lvlJc w:val="left"/>
      <w:pPr>
        <w:tabs>
          <w:tab w:val="num" w:pos="3600"/>
        </w:tabs>
        <w:ind w:left="3600" w:hanging="360"/>
      </w:pPr>
      <w:rPr>
        <w:rFonts w:ascii="Courier New" w:hAnsi="Courier New"/>
      </w:rPr>
    </w:lvl>
    <w:lvl w:ilvl="5" w:tplc="1AC42DD6">
      <w:start w:val="1"/>
      <w:numFmt w:val="bullet"/>
      <w:lvlText w:val=""/>
      <w:lvlJc w:val="left"/>
      <w:pPr>
        <w:tabs>
          <w:tab w:val="num" w:pos="4320"/>
        </w:tabs>
        <w:ind w:left="4320" w:hanging="360"/>
      </w:pPr>
      <w:rPr>
        <w:rFonts w:ascii="Wingdings" w:hAnsi="Wingdings"/>
      </w:rPr>
    </w:lvl>
    <w:lvl w:ilvl="6" w:tplc="D4AEBD88">
      <w:start w:val="1"/>
      <w:numFmt w:val="bullet"/>
      <w:lvlText w:val=""/>
      <w:lvlJc w:val="left"/>
      <w:pPr>
        <w:tabs>
          <w:tab w:val="num" w:pos="5040"/>
        </w:tabs>
        <w:ind w:left="5040" w:hanging="360"/>
      </w:pPr>
      <w:rPr>
        <w:rFonts w:ascii="Symbol" w:hAnsi="Symbol"/>
      </w:rPr>
    </w:lvl>
    <w:lvl w:ilvl="7" w:tplc="82709D20">
      <w:start w:val="1"/>
      <w:numFmt w:val="bullet"/>
      <w:lvlText w:val="o"/>
      <w:lvlJc w:val="left"/>
      <w:pPr>
        <w:tabs>
          <w:tab w:val="num" w:pos="5760"/>
        </w:tabs>
        <w:ind w:left="5760" w:hanging="360"/>
      </w:pPr>
      <w:rPr>
        <w:rFonts w:ascii="Courier New" w:hAnsi="Courier New"/>
      </w:rPr>
    </w:lvl>
    <w:lvl w:ilvl="8" w:tplc="65584FF4">
      <w:start w:val="1"/>
      <w:numFmt w:val="bullet"/>
      <w:lvlText w:val=""/>
      <w:lvlJc w:val="left"/>
      <w:pPr>
        <w:tabs>
          <w:tab w:val="num" w:pos="6480"/>
        </w:tabs>
        <w:ind w:left="6480" w:hanging="360"/>
      </w:pPr>
      <w:rPr>
        <w:rFonts w:ascii="Wingdings" w:hAnsi="Wingdings"/>
      </w:rPr>
    </w:lvl>
  </w:abstractNum>
  <w:abstractNum w:abstractNumId="37" w15:restartNumberingAfterBreak="0">
    <w:nsid w:val="00000026"/>
    <w:multiLevelType w:val="hybridMultilevel"/>
    <w:tmpl w:val="00000026"/>
    <w:lvl w:ilvl="0" w:tplc="4FF61E28">
      <w:start w:val="1"/>
      <w:numFmt w:val="bullet"/>
      <w:lvlText w:val=""/>
      <w:lvlJc w:val="left"/>
      <w:pPr>
        <w:ind w:left="720" w:hanging="360"/>
      </w:pPr>
      <w:rPr>
        <w:rFonts w:ascii="Symbol" w:hAnsi="Symbol"/>
        <w:b w:val="0"/>
        <w:bCs w:val="0"/>
      </w:rPr>
    </w:lvl>
    <w:lvl w:ilvl="1" w:tplc="438EF122">
      <w:start w:val="1"/>
      <w:numFmt w:val="bullet"/>
      <w:lvlText w:val="o"/>
      <w:lvlJc w:val="left"/>
      <w:pPr>
        <w:tabs>
          <w:tab w:val="num" w:pos="1440"/>
        </w:tabs>
        <w:ind w:left="1440" w:hanging="360"/>
      </w:pPr>
      <w:rPr>
        <w:rFonts w:ascii="Courier New" w:hAnsi="Courier New"/>
      </w:rPr>
    </w:lvl>
    <w:lvl w:ilvl="2" w:tplc="2EA6EA80">
      <w:start w:val="1"/>
      <w:numFmt w:val="bullet"/>
      <w:lvlText w:val=""/>
      <w:lvlJc w:val="left"/>
      <w:pPr>
        <w:tabs>
          <w:tab w:val="num" w:pos="2160"/>
        </w:tabs>
        <w:ind w:left="2160" w:hanging="360"/>
      </w:pPr>
      <w:rPr>
        <w:rFonts w:ascii="Wingdings" w:hAnsi="Wingdings"/>
      </w:rPr>
    </w:lvl>
    <w:lvl w:ilvl="3" w:tplc="D4DC864C">
      <w:start w:val="1"/>
      <w:numFmt w:val="bullet"/>
      <w:lvlText w:val=""/>
      <w:lvlJc w:val="left"/>
      <w:pPr>
        <w:tabs>
          <w:tab w:val="num" w:pos="2880"/>
        </w:tabs>
        <w:ind w:left="2880" w:hanging="360"/>
      </w:pPr>
      <w:rPr>
        <w:rFonts w:ascii="Symbol" w:hAnsi="Symbol"/>
      </w:rPr>
    </w:lvl>
    <w:lvl w:ilvl="4" w:tplc="8A82109A">
      <w:start w:val="1"/>
      <w:numFmt w:val="bullet"/>
      <w:lvlText w:val="o"/>
      <w:lvlJc w:val="left"/>
      <w:pPr>
        <w:tabs>
          <w:tab w:val="num" w:pos="3600"/>
        </w:tabs>
        <w:ind w:left="3600" w:hanging="360"/>
      </w:pPr>
      <w:rPr>
        <w:rFonts w:ascii="Courier New" w:hAnsi="Courier New"/>
      </w:rPr>
    </w:lvl>
    <w:lvl w:ilvl="5" w:tplc="480AF858">
      <w:start w:val="1"/>
      <w:numFmt w:val="bullet"/>
      <w:lvlText w:val=""/>
      <w:lvlJc w:val="left"/>
      <w:pPr>
        <w:tabs>
          <w:tab w:val="num" w:pos="4320"/>
        </w:tabs>
        <w:ind w:left="4320" w:hanging="360"/>
      </w:pPr>
      <w:rPr>
        <w:rFonts w:ascii="Wingdings" w:hAnsi="Wingdings"/>
      </w:rPr>
    </w:lvl>
    <w:lvl w:ilvl="6" w:tplc="EDAA57BC">
      <w:start w:val="1"/>
      <w:numFmt w:val="bullet"/>
      <w:lvlText w:val=""/>
      <w:lvlJc w:val="left"/>
      <w:pPr>
        <w:tabs>
          <w:tab w:val="num" w:pos="5040"/>
        </w:tabs>
        <w:ind w:left="5040" w:hanging="360"/>
      </w:pPr>
      <w:rPr>
        <w:rFonts w:ascii="Symbol" w:hAnsi="Symbol"/>
      </w:rPr>
    </w:lvl>
    <w:lvl w:ilvl="7" w:tplc="1CA43B56">
      <w:start w:val="1"/>
      <w:numFmt w:val="bullet"/>
      <w:lvlText w:val="o"/>
      <w:lvlJc w:val="left"/>
      <w:pPr>
        <w:tabs>
          <w:tab w:val="num" w:pos="5760"/>
        </w:tabs>
        <w:ind w:left="5760" w:hanging="360"/>
      </w:pPr>
      <w:rPr>
        <w:rFonts w:ascii="Courier New" w:hAnsi="Courier New"/>
      </w:rPr>
    </w:lvl>
    <w:lvl w:ilvl="8" w:tplc="9EA243C8">
      <w:start w:val="1"/>
      <w:numFmt w:val="bullet"/>
      <w:lvlText w:val=""/>
      <w:lvlJc w:val="left"/>
      <w:pPr>
        <w:tabs>
          <w:tab w:val="num" w:pos="6480"/>
        </w:tabs>
        <w:ind w:left="6480" w:hanging="360"/>
      </w:pPr>
      <w:rPr>
        <w:rFonts w:ascii="Wingdings" w:hAnsi="Wingdings"/>
      </w:rPr>
    </w:lvl>
  </w:abstractNum>
  <w:abstractNum w:abstractNumId="38" w15:restartNumberingAfterBreak="0">
    <w:nsid w:val="00000027"/>
    <w:multiLevelType w:val="hybridMultilevel"/>
    <w:tmpl w:val="00000027"/>
    <w:lvl w:ilvl="0" w:tplc="CDB6782A">
      <w:start w:val="1"/>
      <w:numFmt w:val="bullet"/>
      <w:lvlText w:val=""/>
      <w:lvlJc w:val="left"/>
      <w:pPr>
        <w:ind w:left="720" w:hanging="360"/>
      </w:pPr>
      <w:rPr>
        <w:rFonts w:ascii="Symbol" w:hAnsi="Symbol"/>
        <w:b w:val="0"/>
        <w:bCs w:val="0"/>
      </w:rPr>
    </w:lvl>
    <w:lvl w:ilvl="1" w:tplc="46242B8C">
      <w:start w:val="1"/>
      <w:numFmt w:val="bullet"/>
      <w:lvlText w:val="o"/>
      <w:lvlJc w:val="left"/>
      <w:pPr>
        <w:tabs>
          <w:tab w:val="num" w:pos="1440"/>
        </w:tabs>
        <w:ind w:left="1440" w:hanging="360"/>
      </w:pPr>
      <w:rPr>
        <w:rFonts w:ascii="Courier New" w:hAnsi="Courier New"/>
      </w:rPr>
    </w:lvl>
    <w:lvl w:ilvl="2" w:tplc="E7B487D4">
      <w:start w:val="1"/>
      <w:numFmt w:val="bullet"/>
      <w:lvlText w:val=""/>
      <w:lvlJc w:val="left"/>
      <w:pPr>
        <w:tabs>
          <w:tab w:val="num" w:pos="2160"/>
        </w:tabs>
        <w:ind w:left="2160" w:hanging="360"/>
      </w:pPr>
      <w:rPr>
        <w:rFonts w:ascii="Wingdings" w:hAnsi="Wingdings"/>
      </w:rPr>
    </w:lvl>
    <w:lvl w:ilvl="3" w:tplc="778A4624">
      <w:start w:val="1"/>
      <w:numFmt w:val="bullet"/>
      <w:lvlText w:val=""/>
      <w:lvlJc w:val="left"/>
      <w:pPr>
        <w:tabs>
          <w:tab w:val="num" w:pos="2880"/>
        </w:tabs>
        <w:ind w:left="2880" w:hanging="360"/>
      </w:pPr>
      <w:rPr>
        <w:rFonts w:ascii="Symbol" w:hAnsi="Symbol"/>
      </w:rPr>
    </w:lvl>
    <w:lvl w:ilvl="4" w:tplc="54F01716">
      <w:start w:val="1"/>
      <w:numFmt w:val="bullet"/>
      <w:lvlText w:val="o"/>
      <w:lvlJc w:val="left"/>
      <w:pPr>
        <w:tabs>
          <w:tab w:val="num" w:pos="3600"/>
        </w:tabs>
        <w:ind w:left="3600" w:hanging="360"/>
      </w:pPr>
      <w:rPr>
        <w:rFonts w:ascii="Courier New" w:hAnsi="Courier New"/>
      </w:rPr>
    </w:lvl>
    <w:lvl w:ilvl="5" w:tplc="F7A664CE">
      <w:start w:val="1"/>
      <w:numFmt w:val="bullet"/>
      <w:lvlText w:val=""/>
      <w:lvlJc w:val="left"/>
      <w:pPr>
        <w:tabs>
          <w:tab w:val="num" w:pos="4320"/>
        </w:tabs>
        <w:ind w:left="4320" w:hanging="360"/>
      </w:pPr>
      <w:rPr>
        <w:rFonts w:ascii="Wingdings" w:hAnsi="Wingdings"/>
      </w:rPr>
    </w:lvl>
    <w:lvl w:ilvl="6" w:tplc="D37CD112">
      <w:start w:val="1"/>
      <w:numFmt w:val="bullet"/>
      <w:lvlText w:val=""/>
      <w:lvlJc w:val="left"/>
      <w:pPr>
        <w:tabs>
          <w:tab w:val="num" w:pos="5040"/>
        </w:tabs>
        <w:ind w:left="5040" w:hanging="360"/>
      </w:pPr>
      <w:rPr>
        <w:rFonts w:ascii="Symbol" w:hAnsi="Symbol"/>
      </w:rPr>
    </w:lvl>
    <w:lvl w:ilvl="7" w:tplc="171CE3A4">
      <w:start w:val="1"/>
      <w:numFmt w:val="bullet"/>
      <w:lvlText w:val="o"/>
      <w:lvlJc w:val="left"/>
      <w:pPr>
        <w:tabs>
          <w:tab w:val="num" w:pos="5760"/>
        </w:tabs>
        <w:ind w:left="5760" w:hanging="360"/>
      </w:pPr>
      <w:rPr>
        <w:rFonts w:ascii="Courier New" w:hAnsi="Courier New"/>
      </w:rPr>
    </w:lvl>
    <w:lvl w:ilvl="8" w:tplc="A3F0D402">
      <w:start w:val="1"/>
      <w:numFmt w:val="bullet"/>
      <w:lvlText w:val=""/>
      <w:lvlJc w:val="left"/>
      <w:pPr>
        <w:tabs>
          <w:tab w:val="num" w:pos="6480"/>
        </w:tabs>
        <w:ind w:left="6480" w:hanging="360"/>
      </w:pPr>
      <w:rPr>
        <w:rFonts w:ascii="Wingdings" w:hAnsi="Wingdings"/>
      </w:rPr>
    </w:lvl>
  </w:abstractNum>
  <w:abstractNum w:abstractNumId="39" w15:restartNumberingAfterBreak="0">
    <w:nsid w:val="00000028"/>
    <w:multiLevelType w:val="hybridMultilevel"/>
    <w:tmpl w:val="00000028"/>
    <w:lvl w:ilvl="0" w:tplc="615EB036">
      <w:start w:val="1"/>
      <w:numFmt w:val="bullet"/>
      <w:lvlText w:val=""/>
      <w:lvlJc w:val="left"/>
      <w:pPr>
        <w:ind w:left="720" w:hanging="360"/>
      </w:pPr>
      <w:rPr>
        <w:rFonts w:ascii="Symbol" w:hAnsi="Symbol"/>
        <w:b w:val="0"/>
        <w:bCs w:val="0"/>
      </w:rPr>
    </w:lvl>
    <w:lvl w:ilvl="1" w:tplc="7BD2AE1A">
      <w:start w:val="1"/>
      <w:numFmt w:val="bullet"/>
      <w:lvlText w:val="o"/>
      <w:lvlJc w:val="left"/>
      <w:pPr>
        <w:tabs>
          <w:tab w:val="num" w:pos="1440"/>
        </w:tabs>
        <w:ind w:left="1440" w:hanging="360"/>
      </w:pPr>
      <w:rPr>
        <w:rFonts w:ascii="Courier New" w:hAnsi="Courier New"/>
      </w:rPr>
    </w:lvl>
    <w:lvl w:ilvl="2" w:tplc="B9E88644">
      <w:start w:val="1"/>
      <w:numFmt w:val="bullet"/>
      <w:lvlText w:val=""/>
      <w:lvlJc w:val="left"/>
      <w:pPr>
        <w:tabs>
          <w:tab w:val="num" w:pos="2160"/>
        </w:tabs>
        <w:ind w:left="2160" w:hanging="360"/>
      </w:pPr>
      <w:rPr>
        <w:rFonts w:ascii="Wingdings" w:hAnsi="Wingdings"/>
      </w:rPr>
    </w:lvl>
    <w:lvl w:ilvl="3" w:tplc="6658B604">
      <w:start w:val="1"/>
      <w:numFmt w:val="bullet"/>
      <w:lvlText w:val=""/>
      <w:lvlJc w:val="left"/>
      <w:pPr>
        <w:tabs>
          <w:tab w:val="num" w:pos="2880"/>
        </w:tabs>
        <w:ind w:left="2880" w:hanging="360"/>
      </w:pPr>
      <w:rPr>
        <w:rFonts w:ascii="Symbol" w:hAnsi="Symbol"/>
      </w:rPr>
    </w:lvl>
    <w:lvl w:ilvl="4" w:tplc="33D8443E">
      <w:start w:val="1"/>
      <w:numFmt w:val="bullet"/>
      <w:lvlText w:val="o"/>
      <w:lvlJc w:val="left"/>
      <w:pPr>
        <w:tabs>
          <w:tab w:val="num" w:pos="3600"/>
        </w:tabs>
        <w:ind w:left="3600" w:hanging="360"/>
      </w:pPr>
      <w:rPr>
        <w:rFonts w:ascii="Courier New" w:hAnsi="Courier New"/>
      </w:rPr>
    </w:lvl>
    <w:lvl w:ilvl="5" w:tplc="67DE49BE">
      <w:start w:val="1"/>
      <w:numFmt w:val="bullet"/>
      <w:lvlText w:val=""/>
      <w:lvlJc w:val="left"/>
      <w:pPr>
        <w:tabs>
          <w:tab w:val="num" w:pos="4320"/>
        </w:tabs>
        <w:ind w:left="4320" w:hanging="360"/>
      </w:pPr>
      <w:rPr>
        <w:rFonts w:ascii="Wingdings" w:hAnsi="Wingdings"/>
      </w:rPr>
    </w:lvl>
    <w:lvl w:ilvl="6" w:tplc="85742DD8">
      <w:start w:val="1"/>
      <w:numFmt w:val="bullet"/>
      <w:lvlText w:val=""/>
      <w:lvlJc w:val="left"/>
      <w:pPr>
        <w:tabs>
          <w:tab w:val="num" w:pos="5040"/>
        </w:tabs>
        <w:ind w:left="5040" w:hanging="360"/>
      </w:pPr>
      <w:rPr>
        <w:rFonts w:ascii="Symbol" w:hAnsi="Symbol"/>
      </w:rPr>
    </w:lvl>
    <w:lvl w:ilvl="7" w:tplc="23EA1528">
      <w:start w:val="1"/>
      <w:numFmt w:val="bullet"/>
      <w:lvlText w:val="o"/>
      <w:lvlJc w:val="left"/>
      <w:pPr>
        <w:tabs>
          <w:tab w:val="num" w:pos="5760"/>
        </w:tabs>
        <w:ind w:left="5760" w:hanging="360"/>
      </w:pPr>
      <w:rPr>
        <w:rFonts w:ascii="Courier New" w:hAnsi="Courier New"/>
      </w:rPr>
    </w:lvl>
    <w:lvl w:ilvl="8" w:tplc="27CADC72">
      <w:start w:val="1"/>
      <w:numFmt w:val="bullet"/>
      <w:lvlText w:val=""/>
      <w:lvlJc w:val="left"/>
      <w:pPr>
        <w:tabs>
          <w:tab w:val="num" w:pos="6480"/>
        </w:tabs>
        <w:ind w:left="6480" w:hanging="360"/>
      </w:pPr>
      <w:rPr>
        <w:rFonts w:ascii="Wingdings" w:hAnsi="Wingdings"/>
      </w:rPr>
    </w:lvl>
  </w:abstractNum>
  <w:abstractNum w:abstractNumId="40" w15:restartNumberingAfterBreak="0">
    <w:nsid w:val="00000029"/>
    <w:multiLevelType w:val="hybridMultilevel"/>
    <w:tmpl w:val="00000029"/>
    <w:lvl w:ilvl="0" w:tplc="75F8252E">
      <w:start w:val="1"/>
      <w:numFmt w:val="bullet"/>
      <w:lvlText w:val=""/>
      <w:lvlJc w:val="left"/>
      <w:pPr>
        <w:ind w:left="720" w:hanging="360"/>
      </w:pPr>
      <w:rPr>
        <w:rFonts w:ascii="Symbol" w:hAnsi="Symbol"/>
        <w:b w:val="0"/>
        <w:bCs w:val="0"/>
      </w:rPr>
    </w:lvl>
    <w:lvl w:ilvl="1" w:tplc="A2B801CA">
      <w:start w:val="1"/>
      <w:numFmt w:val="bullet"/>
      <w:lvlText w:val="o"/>
      <w:lvlJc w:val="left"/>
      <w:pPr>
        <w:tabs>
          <w:tab w:val="num" w:pos="1440"/>
        </w:tabs>
        <w:ind w:left="1440" w:hanging="360"/>
      </w:pPr>
      <w:rPr>
        <w:rFonts w:ascii="Courier New" w:hAnsi="Courier New"/>
      </w:rPr>
    </w:lvl>
    <w:lvl w:ilvl="2" w:tplc="EA9608B4">
      <w:start w:val="1"/>
      <w:numFmt w:val="bullet"/>
      <w:lvlText w:val=""/>
      <w:lvlJc w:val="left"/>
      <w:pPr>
        <w:tabs>
          <w:tab w:val="num" w:pos="2160"/>
        </w:tabs>
        <w:ind w:left="2160" w:hanging="360"/>
      </w:pPr>
      <w:rPr>
        <w:rFonts w:ascii="Wingdings" w:hAnsi="Wingdings"/>
      </w:rPr>
    </w:lvl>
    <w:lvl w:ilvl="3" w:tplc="4ADC4FDE">
      <w:start w:val="1"/>
      <w:numFmt w:val="bullet"/>
      <w:lvlText w:val=""/>
      <w:lvlJc w:val="left"/>
      <w:pPr>
        <w:tabs>
          <w:tab w:val="num" w:pos="2880"/>
        </w:tabs>
        <w:ind w:left="2880" w:hanging="360"/>
      </w:pPr>
      <w:rPr>
        <w:rFonts w:ascii="Symbol" w:hAnsi="Symbol"/>
      </w:rPr>
    </w:lvl>
    <w:lvl w:ilvl="4" w:tplc="8E361C0A">
      <w:start w:val="1"/>
      <w:numFmt w:val="bullet"/>
      <w:lvlText w:val="o"/>
      <w:lvlJc w:val="left"/>
      <w:pPr>
        <w:tabs>
          <w:tab w:val="num" w:pos="3600"/>
        </w:tabs>
        <w:ind w:left="3600" w:hanging="360"/>
      </w:pPr>
      <w:rPr>
        <w:rFonts w:ascii="Courier New" w:hAnsi="Courier New"/>
      </w:rPr>
    </w:lvl>
    <w:lvl w:ilvl="5" w:tplc="19DEB802">
      <w:start w:val="1"/>
      <w:numFmt w:val="bullet"/>
      <w:lvlText w:val=""/>
      <w:lvlJc w:val="left"/>
      <w:pPr>
        <w:tabs>
          <w:tab w:val="num" w:pos="4320"/>
        </w:tabs>
        <w:ind w:left="4320" w:hanging="360"/>
      </w:pPr>
      <w:rPr>
        <w:rFonts w:ascii="Wingdings" w:hAnsi="Wingdings"/>
      </w:rPr>
    </w:lvl>
    <w:lvl w:ilvl="6" w:tplc="C896DC26">
      <w:start w:val="1"/>
      <w:numFmt w:val="bullet"/>
      <w:lvlText w:val=""/>
      <w:lvlJc w:val="left"/>
      <w:pPr>
        <w:tabs>
          <w:tab w:val="num" w:pos="5040"/>
        </w:tabs>
        <w:ind w:left="5040" w:hanging="360"/>
      </w:pPr>
      <w:rPr>
        <w:rFonts w:ascii="Symbol" w:hAnsi="Symbol"/>
      </w:rPr>
    </w:lvl>
    <w:lvl w:ilvl="7" w:tplc="189687DE">
      <w:start w:val="1"/>
      <w:numFmt w:val="bullet"/>
      <w:lvlText w:val="o"/>
      <w:lvlJc w:val="left"/>
      <w:pPr>
        <w:tabs>
          <w:tab w:val="num" w:pos="5760"/>
        </w:tabs>
        <w:ind w:left="5760" w:hanging="360"/>
      </w:pPr>
      <w:rPr>
        <w:rFonts w:ascii="Courier New" w:hAnsi="Courier New"/>
      </w:rPr>
    </w:lvl>
    <w:lvl w:ilvl="8" w:tplc="E0A2490E">
      <w:start w:val="1"/>
      <w:numFmt w:val="bullet"/>
      <w:lvlText w:val=""/>
      <w:lvlJc w:val="left"/>
      <w:pPr>
        <w:tabs>
          <w:tab w:val="num" w:pos="6480"/>
        </w:tabs>
        <w:ind w:left="6480" w:hanging="360"/>
      </w:pPr>
      <w:rPr>
        <w:rFonts w:ascii="Wingdings" w:hAnsi="Wingdings"/>
      </w:rPr>
    </w:lvl>
  </w:abstractNum>
  <w:abstractNum w:abstractNumId="41" w15:restartNumberingAfterBreak="0">
    <w:nsid w:val="0000002A"/>
    <w:multiLevelType w:val="multilevel"/>
    <w:tmpl w:val="0000002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0000002B"/>
    <w:multiLevelType w:val="hybridMultilevel"/>
    <w:tmpl w:val="0000002B"/>
    <w:lvl w:ilvl="0" w:tplc="73FE7AC2">
      <w:start w:val="1"/>
      <w:numFmt w:val="bullet"/>
      <w:lvlText w:val=""/>
      <w:lvlJc w:val="left"/>
      <w:pPr>
        <w:ind w:left="720" w:hanging="360"/>
      </w:pPr>
      <w:rPr>
        <w:rFonts w:ascii="Trebuchet MS" w:hAnsi="Trebuchet MS"/>
        <w:b w:val="0"/>
        <w:bCs w:val="0"/>
      </w:rPr>
    </w:lvl>
    <w:lvl w:ilvl="1" w:tplc="CE90EFA6">
      <w:start w:val="1"/>
      <w:numFmt w:val="bullet"/>
      <w:lvlText w:val="o"/>
      <w:lvlJc w:val="left"/>
      <w:pPr>
        <w:tabs>
          <w:tab w:val="num" w:pos="1440"/>
        </w:tabs>
        <w:ind w:left="1440" w:hanging="360"/>
      </w:pPr>
      <w:rPr>
        <w:rFonts w:ascii="Courier New" w:hAnsi="Courier New"/>
      </w:rPr>
    </w:lvl>
    <w:lvl w:ilvl="2" w:tplc="7DA82AC0">
      <w:start w:val="1"/>
      <w:numFmt w:val="bullet"/>
      <w:lvlText w:val=""/>
      <w:lvlJc w:val="left"/>
      <w:pPr>
        <w:tabs>
          <w:tab w:val="num" w:pos="2160"/>
        </w:tabs>
        <w:ind w:left="2160" w:hanging="360"/>
      </w:pPr>
      <w:rPr>
        <w:rFonts w:ascii="Wingdings" w:hAnsi="Wingdings"/>
      </w:rPr>
    </w:lvl>
    <w:lvl w:ilvl="3" w:tplc="6DA23CFA">
      <w:start w:val="1"/>
      <w:numFmt w:val="bullet"/>
      <w:lvlText w:val=""/>
      <w:lvlJc w:val="left"/>
      <w:pPr>
        <w:tabs>
          <w:tab w:val="num" w:pos="2880"/>
        </w:tabs>
        <w:ind w:left="2880" w:hanging="360"/>
      </w:pPr>
      <w:rPr>
        <w:rFonts w:ascii="Symbol" w:hAnsi="Symbol"/>
      </w:rPr>
    </w:lvl>
    <w:lvl w:ilvl="4" w:tplc="AC84E20A">
      <w:start w:val="1"/>
      <w:numFmt w:val="bullet"/>
      <w:lvlText w:val="o"/>
      <w:lvlJc w:val="left"/>
      <w:pPr>
        <w:tabs>
          <w:tab w:val="num" w:pos="3600"/>
        </w:tabs>
        <w:ind w:left="3600" w:hanging="360"/>
      </w:pPr>
      <w:rPr>
        <w:rFonts w:ascii="Courier New" w:hAnsi="Courier New"/>
      </w:rPr>
    </w:lvl>
    <w:lvl w:ilvl="5" w:tplc="5046FB0A">
      <w:start w:val="1"/>
      <w:numFmt w:val="bullet"/>
      <w:lvlText w:val=""/>
      <w:lvlJc w:val="left"/>
      <w:pPr>
        <w:tabs>
          <w:tab w:val="num" w:pos="4320"/>
        </w:tabs>
        <w:ind w:left="4320" w:hanging="360"/>
      </w:pPr>
      <w:rPr>
        <w:rFonts w:ascii="Wingdings" w:hAnsi="Wingdings"/>
      </w:rPr>
    </w:lvl>
    <w:lvl w:ilvl="6" w:tplc="3FEE05E4">
      <w:start w:val="1"/>
      <w:numFmt w:val="bullet"/>
      <w:lvlText w:val=""/>
      <w:lvlJc w:val="left"/>
      <w:pPr>
        <w:tabs>
          <w:tab w:val="num" w:pos="5040"/>
        </w:tabs>
        <w:ind w:left="5040" w:hanging="360"/>
      </w:pPr>
      <w:rPr>
        <w:rFonts w:ascii="Symbol" w:hAnsi="Symbol"/>
      </w:rPr>
    </w:lvl>
    <w:lvl w:ilvl="7" w:tplc="67DCCEAC">
      <w:start w:val="1"/>
      <w:numFmt w:val="bullet"/>
      <w:lvlText w:val="o"/>
      <w:lvlJc w:val="left"/>
      <w:pPr>
        <w:tabs>
          <w:tab w:val="num" w:pos="5760"/>
        </w:tabs>
        <w:ind w:left="5760" w:hanging="360"/>
      </w:pPr>
      <w:rPr>
        <w:rFonts w:ascii="Courier New" w:hAnsi="Courier New"/>
      </w:rPr>
    </w:lvl>
    <w:lvl w:ilvl="8" w:tplc="4488704C">
      <w:start w:val="1"/>
      <w:numFmt w:val="bullet"/>
      <w:lvlText w:val=""/>
      <w:lvlJc w:val="left"/>
      <w:pPr>
        <w:tabs>
          <w:tab w:val="num" w:pos="6480"/>
        </w:tabs>
        <w:ind w:left="6480" w:hanging="360"/>
      </w:pPr>
      <w:rPr>
        <w:rFonts w:ascii="Wingdings" w:hAnsi="Wingdings"/>
      </w:rPr>
    </w:lvl>
  </w:abstractNum>
  <w:abstractNum w:abstractNumId="43" w15:restartNumberingAfterBreak="0">
    <w:nsid w:val="0000002C"/>
    <w:multiLevelType w:val="hybridMultilevel"/>
    <w:tmpl w:val="0000002C"/>
    <w:lvl w:ilvl="0" w:tplc="2C0A0674">
      <w:start w:val="1"/>
      <w:numFmt w:val="bullet"/>
      <w:lvlText w:val=""/>
      <w:lvlJc w:val="left"/>
      <w:pPr>
        <w:ind w:left="720" w:hanging="360"/>
      </w:pPr>
      <w:rPr>
        <w:rFonts w:ascii="Trebuchet MS" w:hAnsi="Trebuchet MS"/>
        <w:b w:val="0"/>
        <w:bCs w:val="0"/>
      </w:rPr>
    </w:lvl>
    <w:lvl w:ilvl="1" w:tplc="FDD2210A">
      <w:start w:val="1"/>
      <w:numFmt w:val="bullet"/>
      <w:lvlText w:val="o"/>
      <w:lvlJc w:val="left"/>
      <w:pPr>
        <w:tabs>
          <w:tab w:val="num" w:pos="1440"/>
        </w:tabs>
        <w:ind w:left="1440" w:hanging="360"/>
      </w:pPr>
      <w:rPr>
        <w:rFonts w:ascii="Courier New" w:hAnsi="Courier New"/>
      </w:rPr>
    </w:lvl>
    <w:lvl w:ilvl="2" w:tplc="0230464C">
      <w:start w:val="1"/>
      <w:numFmt w:val="bullet"/>
      <w:lvlText w:val=""/>
      <w:lvlJc w:val="left"/>
      <w:pPr>
        <w:tabs>
          <w:tab w:val="num" w:pos="2160"/>
        </w:tabs>
        <w:ind w:left="2160" w:hanging="360"/>
      </w:pPr>
      <w:rPr>
        <w:rFonts w:ascii="Wingdings" w:hAnsi="Wingdings"/>
      </w:rPr>
    </w:lvl>
    <w:lvl w:ilvl="3" w:tplc="4DCCDC4E">
      <w:start w:val="1"/>
      <w:numFmt w:val="bullet"/>
      <w:lvlText w:val=""/>
      <w:lvlJc w:val="left"/>
      <w:pPr>
        <w:tabs>
          <w:tab w:val="num" w:pos="2880"/>
        </w:tabs>
        <w:ind w:left="2880" w:hanging="360"/>
      </w:pPr>
      <w:rPr>
        <w:rFonts w:ascii="Symbol" w:hAnsi="Symbol"/>
      </w:rPr>
    </w:lvl>
    <w:lvl w:ilvl="4" w:tplc="3D66D970">
      <w:start w:val="1"/>
      <w:numFmt w:val="bullet"/>
      <w:lvlText w:val="o"/>
      <w:lvlJc w:val="left"/>
      <w:pPr>
        <w:tabs>
          <w:tab w:val="num" w:pos="3600"/>
        </w:tabs>
        <w:ind w:left="3600" w:hanging="360"/>
      </w:pPr>
      <w:rPr>
        <w:rFonts w:ascii="Courier New" w:hAnsi="Courier New"/>
      </w:rPr>
    </w:lvl>
    <w:lvl w:ilvl="5" w:tplc="1DD826A8">
      <w:start w:val="1"/>
      <w:numFmt w:val="bullet"/>
      <w:lvlText w:val=""/>
      <w:lvlJc w:val="left"/>
      <w:pPr>
        <w:tabs>
          <w:tab w:val="num" w:pos="4320"/>
        </w:tabs>
        <w:ind w:left="4320" w:hanging="360"/>
      </w:pPr>
      <w:rPr>
        <w:rFonts w:ascii="Wingdings" w:hAnsi="Wingdings"/>
      </w:rPr>
    </w:lvl>
    <w:lvl w:ilvl="6" w:tplc="83828F74">
      <w:start w:val="1"/>
      <w:numFmt w:val="bullet"/>
      <w:lvlText w:val=""/>
      <w:lvlJc w:val="left"/>
      <w:pPr>
        <w:tabs>
          <w:tab w:val="num" w:pos="5040"/>
        </w:tabs>
        <w:ind w:left="5040" w:hanging="360"/>
      </w:pPr>
      <w:rPr>
        <w:rFonts w:ascii="Symbol" w:hAnsi="Symbol"/>
      </w:rPr>
    </w:lvl>
    <w:lvl w:ilvl="7" w:tplc="EA9CF922">
      <w:start w:val="1"/>
      <w:numFmt w:val="bullet"/>
      <w:lvlText w:val="o"/>
      <w:lvlJc w:val="left"/>
      <w:pPr>
        <w:tabs>
          <w:tab w:val="num" w:pos="5760"/>
        </w:tabs>
        <w:ind w:left="5760" w:hanging="360"/>
      </w:pPr>
      <w:rPr>
        <w:rFonts w:ascii="Courier New" w:hAnsi="Courier New"/>
      </w:rPr>
    </w:lvl>
    <w:lvl w:ilvl="8" w:tplc="177C3CE6">
      <w:start w:val="1"/>
      <w:numFmt w:val="bullet"/>
      <w:lvlText w:val=""/>
      <w:lvlJc w:val="left"/>
      <w:pPr>
        <w:tabs>
          <w:tab w:val="num" w:pos="6480"/>
        </w:tabs>
        <w:ind w:left="6480" w:hanging="360"/>
      </w:pPr>
      <w:rPr>
        <w:rFonts w:ascii="Wingdings" w:hAnsi="Wingdings"/>
      </w:rPr>
    </w:lvl>
  </w:abstractNum>
  <w:abstractNum w:abstractNumId="44" w15:restartNumberingAfterBreak="0">
    <w:nsid w:val="13DA4B4A"/>
    <w:multiLevelType w:val="hybridMultilevel"/>
    <w:tmpl w:val="1758DFAE"/>
    <w:lvl w:ilvl="0" w:tplc="1A1ADBF4">
      <w:start w:val="1"/>
      <w:numFmt w:val="lowerRoman"/>
      <w:lvlText w:val="(%1)"/>
      <w:lvlJc w:val="left"/>
      <w:pPr>
        <w:tabs>
          <w:tab w:val="num" w:pos="1440"/>
        </w:tabs>
        <w:ind w:left="1440" w:hanging="720"/>
      </w:pPr>
      <w:rPr>
        <w:rFonts w:hint="default"/>
      </w:rPr>
    </w:lvl>
    <w:lvl w:ilvl="1" w:tplc="A492057E">
      <w:start w:val="1"/>
      <w:numFmt w:val="lowerLetter"/>
      <w:lvlText w:val="%2."/>
      <w:lvlJc w:val="left"/>
      <w:pPr>
        <w:tabs>
          <w:tab w:val="num" w:pos="1800"/>
        </w:tabs>
        <w:ind w:left="1800" w:hanging="360"/>
      </w:pPr>
      <w:rPr>
        <w:rFont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45" w15:restartNumberingAfterBreak="0">
    <w:nsid w:val="39E842BE"/>
    <w:multiLevelType w:val="hybridMultilevel"/>
    <w:tmpl w:val="570CC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40FA7EC2"/>
    <w:multiLevelType w:val="hybridMultilevel"/>
    <w:tmpl w:val="5D202E0A"/>
    <w:lvl w:ilvl="0" w:tplc="5320500E">
      <w:start w:val="1"/>
      <w:numFmt w:val="bullet"/>
      <w:lvlText w:val=""/>
      <w:lvlJc w:val="left"/>
      <w:pPr>
        <w:ind w:left="1440" w:hanging="360"/>
      </w:pPr>
      <w:rPr>
        <w:rFonts w:ascii="Symbol" w:hAnsi="Symbol" w:hint="default"/>
        <w:b w:val="0"/>
        <w:bCs w:val="0"/>
        <w:color w:val="0070C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6"/>
  </w:num>
  <w:num w:numId="4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4"/>
  </w:num>
  <w:num w:numId="4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C29"/>
    <w:rsid w:val="00007F84"/>
    <w:rsid w:val="000703C3"/>
    <w:rsid w:val="00085F37"/>
    <w:rsid w:val="000B2F38"/>
    <w:rsid w:val="000B6964"/>
    <w:rsid w:val="000B6F89"/>
    <w:rsid w:val="000E4E63"/>
    <w:rsid w:val="00115642"/>
    <w:rsid w:val="00117569"/>
    <w:rsid w:val="00126A66"/>
    <w:rsid w:val="001326D7"/>
    <w:rsid w:val="00156304"/>
    <w:rsid w:val="0017197A"/>
    <w:rsid w:val="0017441C"/>
    <w:rsid w:val="0017524F"/>
    <w:rsid w:val="00185300"/>
    <w:rsid w:val="001B49DA"/>
    <w:rsid w:val="00211D58"/>
    <w:rsid w:val="00225164"/>
    <w:rsid w:val="00242A1D"/>
    <w:rsid w:val="002457F7"/>
    <w:rsid w:val="0025265E"/>
    <w:rsid w:val="00257143"/>
    <w:rsid w:val="00262268"/>
    <w:rsid w:val="00263806"/>
    <w:rsid w:val="00280993"/>
    <w:rsid w:val="00283DEC"/>
    <w:rsid w:val="00293580"/>
    <w:rsid w:val="002D2EC1"/>
    <w:rsid w:val="00307766"/>
    <w:rsid w:val="003771B5"/>
    <w:rsid w:val="003A4CEA"/>
    <w:rsid w:val="003B5105"/>
    <w:rsid w:val="00432479"/>
    <w:rsid w:val="00445939"/>
    <w:rsid w:val="00455036"/>
    <w:rsid w:val="0048296D"/>
    <w:rsid w:val="004A1875"/>
    <w:rsid w:val="004A37EE"/>
    <w:rsid w:val="004B44D9"/>
    <w:rsid w:val="004F0CEF"/>
    <w:rsid w:val="00530A26"/>
    <w:rsid w:val="00541AF3"/>
    <w:rsid w:val="00546C68"/>
    <w:rsid w:val="00560F7E"/>
    <w:rsid w:val="00585E2B"/>
    <w:rsid w:val="00592C29"/>
    <w:rsid w:val="00593846"/>
    <w:rsid w:val="005A3F6A"/>
    <w:rsid w:val="005B5B70"/>
    <w:rsid w:val="005C7AFF"/>
    <w:rsid w:val="005E0C82"/>
    <w:rsid w:val="005E403C"/>
    <w:rsid w:val="005E4A9A"/>
    <w:rsid w:val="00630EF8"/>
    <w:rsid w:val="00633638"/>
    <w:rsid w:val="00674CE7"/>
    <w:rsid w:val="006B1F10"/>
    <w:rsid w:val="006B4A33"/>
    <w:rsid w:val="006C6238"/>
    <w:rsid w:val="006E7804"/>
    <w:rsid w:val="00701B2E"/>
    <w:rsid w:val="00716601"/>
    <w:rsid w:val="007567CA"/>
    <w:rsid w:val="007B2CD6"/>
    <w:rsid w:val="007B7A82"/>
    <w:rsid w:val="007F46C0"/>
    <w:rsid w:val="008844DD"/>
    <w:rsid w:val="008A194E"/>
    <w:rsid w:val="008C4D9F"/>
    <w:rsid w:val="008C69A2"/>
    <w:rsid w:val="008D7066"/>
    <w:rsid w:val="008F13BF"/>
    <w:rsid w:val="00941F4B"/>
    <w:rsid w:val="00962131"/>
    <w:rsid w:val="00981BF4"/>
    <w:rsid w:val="00984C20"/>
    <w:rsid w:val="009950D2"/>
    <w:rsid w:val="009B6101"/>
    <w:rsid w:val="009D4E34"/>
    <w:rsid w:val="009E5E40"/>
    <w:rsid w:val="00A024E0"/>
    <w:rsid w:val="00A06FD4"/>
    <w:rsid w:val="00A47347"/>
    <w:rsid w:val="00A676FA"/>
    <w:rsid w:val="00A86E6E"/>
    <w:rsid w:val="00AA0436"/>
    <w:rsid w:val="00AB53D2"/>
    <w:rsid w:val="00B0372E"/>
    <w:rsid w:val="00B04CB2"/>
    <w:rsid w:val="00B44623"/>
    <w:rsid w:val="00B7796A"/>
    <w:rsid w:val="00B91A3D"/>
    <w:rsid w:val="00B92BB2"/>
    <w:rsid w:val="00BD1431"/>
    <w:rsid w:val="00C27DE8"/>
    <w:rsid w:val="00CB5697"/>
    <w:rsid w:val="00CC0221"/>
    <w:rsid w:val="00D30BFF"/>
    <w:rsid w:val="00D46EAE"/>
    <w:rsid w:val="00D6560D"/>
    <w:rsid w:val="00D87B22"/>
    <w:rsid w:val="00DC263A"/>
    <w:rsid w:val="00E05C25"/>
    <w:rsid w:val="00E106A3"/>
    <w:rsid w:val="00E32F44"/>
    <w:rsid w:val="00E5633A"/>
    <w:rsid w:val="00E70C08"/>
    <w:rsid w:val="00EA436C"/>
    <w:rsid w:val="00ED6793"/>
    <w:rsid w:val="00EE01F1"/>
    <w:rsid w:val="00F07DBF"/>
    <w:rsid w:val="00F54CA2"/>
    <w:rsid w:val="00F83CE7"/>
    <w:rsid w:val="00FB1F1F"/>
    <w:rsid w:val="00FD6918"/>
    <w:rsid w:val="00FE2161"/>
    <w:rsid w:val="00FE6544"/>
    <w:rsid w:val="00FF6A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5A6E52"/>
  <w15:docId w15:val="{B262151A-829F-4BA5-A49B-78256FF9D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ceholderText1">
    <w:name w:val="Placeholder Text1"/>
    <w:basedOn w:val="DefaultParagraphFont"/>
    <w:uiPriority w:val="99"/>
    <w:semiHidden/>
    <w:rPr>
      <w:color w:val="808080"/>
    </w:rPr>
  </w:style>
  <w:style w:type="character" w:styleId="CommentReference">
    <w:name w:val="annotation reference"/>
    <w:basedOn w:val="DefaultParagraphFont"/>
    <w:rsid w:val="00805BCE"/>
    <w:rPr>
      <w:sz w:val="16"/>
      <w:szCs w:val="16"/>
    </w:rPr>
  </w:style>
  <w:style w:type="character" w:styleId="FootnoteReference">
    <w:name w:val="footnote reference"/>
    <w:basedOn w:val="DefaultParagraphFont"/>
    <w:rsid w:val="00805BCE"/>
    <w:rPr>
      <w:vertAlign w:val="superscript"/>
    </w:rPr>
  </w:style>
  <w:style w:type="paragraph" w:styleId="FootnoteText">
    <w:name w:val="footnote text"/>
    <w:basedOn w:val="Normal"/>
    <w:rsid w:val="00805BCE"/>
    <w:rPr>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paragraph" w:styleId="BalloonText">
    <w:name w:val="Balloon Text"/>
    <w:basedOn w:val="Normal"/>
    <w:link w:val="BalloonTextChar"/>
    <w:uiPriority w:val="99"/>
    <w:semiHidden/>
    <w:unhideWhenUsed/>
    <w:rsid w:val="004829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96D"/>
    <w:rPr>
      <w:rFonts w:ascii="Segoe UI" w:hAnsi="Segoe UI" w:cs="Segoe UI"/>
      <w:sz w:val="18"/>
      <w:szCs w:val="18"/>
    </w:rPr>
  </w:style>
  <w:style w:type="paragraph" w:styleId="Header">
    <w:name w:val="header"/>
    <w:basedOn w:val="Normal"/>
    <w:link w:val="HeaderChar"/>
    <w:uiPriority w:val="99"/>
    <w:unhideWhenUsed/>
    <w:rsid w:val="0048296D"/>
    <w:pPr>
      <w:tabs>
        <w:tab w:val="center" w:pos="4513"/>
        <w:tab w:val="right" w:pos="9026"/>
      </w:tabs>
    </w:pPr>
  </w:style>
  <w:style w:type="character" w:customStyle="1" w:styleId="HeaderChar">
    <w:name w:val="Header Char"/>
    <w:basedOn w:val="DefaultParagraphFont"/>
    <w:link w:val="Header"/>
    <w:uiPriority w:val="99"/>
    <w:rsid w:val="0048296D"/>
    <w:rPr>
      <w:sz w:val="24"/>
      <w:szCs w:val="24"/>
    </w:rPr>
  </w:style>
  <w:style w:type="paragraph" w:styleId="Footer">
    <w:name w:val="footer"/>
    <w:basedOn w:val="Normal"/>
    <w:link w:val="FooterChar"/>
    <w:uiPriority w:val="99"/>
    <w:unhideWhenUsed/>
    <w:rsid w:val="0048296D"/>
    <w:pPr>
      <w:tabs>
        <w:tab w:val="center" w:pos="4513"/>
        <w:tab w:val="right" w:pos="9026"/>
      </w:tabs>
    </w:pPr>
  </w:style>
  <w:style w:type="character" w:customStyle="1" w:styleId="FooterChar">
    <w:name w:val="Footer Char"/>
    <w:basedOn w:val="DefaultParagraphFont"/>
    <w:link w:val="Footer"/>
    <w:uiPriority w:val="99"/>
    <w:rsid w:val="0048296D"/>
    <w:rPr>
      <w:sz w:val="24"/>
      <w:szCs w:val="24"/>
    </w:rPr>
  </w:style>
  <w:style w:type="character" w:styleId="Hyperlink">
    <w:name w:val="Hyperlink"/>
    <w:basedOn w:val="DefaultParagraphFont"/>
    <w:uiPriority w:val="99"/>
    <w:unhideWhenUsed/>
    <w:rsid w:val="006B4A33"/>
    <w:rPr>
      <w:color w:val="0563C1" w:themeColor="hyperlink"/>
      <w:u w:val="single"/>
    </w:rPr>
  </w:style>
  <w:style w:type="character" w:styleId="UnresolvedMention">
    <w:name w:val="Unresolved Mention"/>
    <w:basedOn w:val="DefaultParagraphFont"/>
    <w:uiPriority w:val="99"/>
    <w:semiHidden/>
    <w:unhideWhenUsed/>
    <w:rsid w:val="006B4A33"/>
    <w:rPr>
      <w:color w:val="605E5C"/>
      <w:shd w:val="clear" w:color="auto" w:fill="E1DFDD"/>
    </w:rPr>
  </w:style>
  <w:style w:type="paragraph" w:styleId="ListParagraph">
    <w:name w:val="List Paragraph"/>
    <w:basedOn w:val="Normal"/>
    <w:link w:val="ListParagraphChar"/>
    <w:uiPriority w:val="34"/>
    <w:qFormat/>
    <w:rsid w:val="00CB5697"/>
    <w:pPr>
      <w:ind w:left="720"/>
      <w:contextualSpacing/>
    </w:pPr>
  </w:style>
  <w:style w:type="table" w:styleId="TableGrid">
    <w:name w:val="Table Grid"/>
    <w:basedOn w:val="TableNormal"/>
    <w:uiPriority w:val="59"/>
    <w:unhideWhenUsed/>
    <w:rsid w:val="00DC26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RBodyTextIndent">
    <w:name w:val="MRBodyTextIndent"/>
    <w:basedOn w:val="Normal"/>
    <w:rsid w:val="00962131"/>
    <w:pPr>
      <w:spacing w:before="120"/>
      <w:ind w:left="720"/>
      <w:jc w:val="both"/>
    </w:pPr>
    <w:rPr>
      <w:rFonts w:ascii="Arial" w:hAnsi="Arial" w:cs="Arial"/>
      <w:sz w:val="22"/>
      <w:szCs w:val="22"/>
      <w:lang w:val="en-GB"/>
    </w:rPr>
  </w:style>
  <w:style w:type="paragraph" w:customStyle="1" w:styleId="MRTableText">
    <w:name w:val="MRTableText"/>
    <w:basedOn w:val="Normal"/>
    <w:rsid w:val="00432479"/>
    <w:pPr>
      <w:spacing w:before="20"/>
    </w:pPr>
    <w:rPr>
      <w:rFonts w:ascii="Arial" w:hAnsi="Arial" w:cs="Arial"/>
      <w:snapToGrid w:val="0"/>
      <w:sz w:val="20"/>
      <w:szCs w:val="20"/>
      <w:lang w:val="en-GB"/>
    </w:rPr>
  </w:style>
  <w:style w:type="character" w:customStyle="1" w:styleId="ListParagraphChar">
    <w:name w:val="List Paragraph Char"/>
    <w:link w:val="ListParagraph"/>
    <w:uiPriority w:val="34"/>
    <w:locked/>
    <w:rsid w:val="004B44D9"/>
    <w:rPr>
      <w:sz w:val="24"/>
      <w:szCs w:val="24"/>
    </w:rPr>
  </w:style>
  <w:style w:type="paragraph" w:styleId="TOCHeading">
    <w:name w:val="TOC Heading"/>
    <w:basedOn w:val="Heading1"/>
    <w:next w:val="Normal"/>
    <w:uiPriority w:val="39"/>
    <w:unhideWhenUsed/>
    <w:qFormat/>
    <w:rsid w:val="005B5B70"/>
    <w:pPr>
      <w:keepLines/>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5B5B70"/>
    <w:pPr>
      <w:spacing w:after="100"/>
    </w:pPr>
  </w:style>
  <w:style w:type="paragraph" w:styleId="TOC2">
    <w:name w:val="toc 2"/>
    <w:basedOn w:val="Normal"/>
    <w:next w:val="Normal"/>
    <w:autoRedefine/>
    <w:uiPriority w:val="39"/>
    <w:unhideWhenUsed/>
    <w:rsid w:val="005B5B70"/>
    <w:pPr>
      <w:spacing w:after="100"/>
      <w:ind w:left="240"/>
    </w:pPr>
  </w:style>
  <w:style w:type="character" w:styleId="FollowedHyperlink">
    <w:name w:val="FollowedHyperlink"/>
    <w:basedOn w:val="DefaultParagraphFont"/>
    <w:uiPriority w:val="99"/>
    <w:semiHidden/>
    <w:unhideWhenUsed/>
    <w:rsid w:val="006E78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mailto:chris.buer@liiba.co.uk" TargetMode="External"/><Relationship Id="rId18" Type="http://schemas.openxmlformats.org/officeDocument/2006/relationships/hyperlink" Target="http://www.lloydswordings.com" TargetMode="External"/><Relationship Id="rId26" Type="http://schemas.openxmlformats.org/officeDocument/2006/relationships/hyperlink" Target="http://www.lloydswordings.com" TargetMode="External"/><Relationship Id="rId39"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www.lloydswordings.com" TargetMode="External"/><Relationship Id="rId34" Type="http://schemas.openxmlformats.org/officeDocument/2006/relationships/hyperlink" Target="mailto:Broker.Contact@xyzbroker.co.uk" TargetMode="External"/><Relationship Id="rId42" Type="http://schemas.openxmlformats.org/officeDocument/2006/relationships/hyperlink" Target="mailto:Broker.Contact@xyzbroker.co.uk" TargetMode="External"/><Relationship Id="rId47" Type="http://schemas.openxmlformats.org/officeDocument/2006/relationships/image" Target="media/image9.png"/><Relationship Id="rId50" Type="http://schemas.openxmlformats.org/officeDocument/2006/relationships/hyperlink" Target="https://lmg.london/" TargetMode="External"/><Relationship Id="rId7" Type="http://schemas.openxmlformats.org/officeDocument/2006/relationships/endnotes" Target="endnotes.xml"/><Relationship Id="rId12" Type="http://schemas.openxmlformats.org/officeDocument/2006/relationships/hyperlink" Target="mailto:alison.colver@lmalloyds.com" TargetMode="External"/><Relationship Id="rId17" Type="http://schemas.openxmlformats.org/officeDocument/2006/relationships/hyperlink" Target="https://www.lloyds.com/tools-and-systems/risk-locator" TargetMode="External"/><Relationship Id="rId25" Type="http://schemas.openxmlformats.org/officeDocument/2006/relationships/hyperlink" Target="http://www.lloydswordings.com" TargetMode="External"/><Relationship Id="rId33" Type="http://schemas.openxmlformats.org/officeDocument/2006/relationships/hyperlink" Target="https://www.lloyds.com/tools-and-systems/crystal" TargetMode="External"/><Relationship Id="rId38" Type="http://schemas.openxmlformats.org/officeDocument/2006/relationships/image" Target="media/image4.png"/><Relationship Id="rId46"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www.lloyds.com/tools-and-systems/crystal%20" TargetMode="External"/><Relationship Id="rId20" Type="http://schemas.openxmlformats.org/officeDocument/2006/relationships/hyperlink" Target="http://www.lloyds.com" TargetMode="External"/><Relationship Id="rId29" Type="http://schemas.openxmlformats.org/officeDocument/2006/relationships/hyperlink" Target="http://www.nbb.be" TargetMode="Externa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loyds.com/tools-and-systems/crystal" TargetMode="External"/><Relationship Id="rId24" Type="http://schemas.openxmlformats.org/officeDocument/2006/relationships/hyperlink" Target="www.lloyds.com/tools-and-systems/crystal" TargetMode="External"/><Relationship Id="rId32" Type="http://schemas.openxmlformats.org/officeDocument/2006/relationships/hyperlink" Target="https://www.lloyds.com/tools-and-systems/risk-locator" TargetMode="External"/><Relationship Id="rId37" Type="http://schemas.openxmlformats.org/officeDocument/2006/relationships/image" Target="media/image3.jpeg"/><Relationship Id="rId40" Type="http://schemas.openxmlformats.org/officeDocument/2006/relationships/image" Target="media/image6.png"/><Relationship Id="rId45" Type="http://schemas.openxmlformats.org/officeDocument/2006/relationships/hyperlink" Target="www.lloydswordings.com" TargetMode="External"/><Relationship Id="rId5" Type="http://schemas.openxmlformats.org/officeDocument/2006/relationships/webSettings" Target="webSettings.xml"/><Relationship Id="rId15" Type="http://schemas.openxmlformats.org/officeDocument/2006/relationships/hyperlink" Target="https://crystal.lloyds.com/SearchResults?mc=676&amp;c=02004070060500705008050090201102012040130401404015060260502802029060320303702048050490305004051050520605402057080610506308065050660706706070030750507704078050800708107082070840608606087050880127701278012790128001281012820128301284012850128601287012880128901290012910129201293012940129501296012960129801299&amp;d=1&amp;qr=2&amp;t=2" TargetMode="External"/><Relationship Id="rId23" Type="http://schemas.openxmlformats.org/officeDocument/2006/relationships/hyperlink" Target="http://www.lloydswordings.com" TargetMode="External"/><Relationship Id="rId28" Type="http://schemas.openxmlformats.org/officeDocument/2006/relationships/hyperlink" Target="https://crystal.lloyds.com/SearchResults?mc=676&amp;c=0201102012020290200402048020570303703050030750401304014040150405104078050280504905052050630506605007050770500805080050880500906026060320605406070060860608707006070670708107082070840806108065&amp;d=1&amp;qr=3&amp;t=2&amp;authorisationDisplay=lloyds" TargetMode="External"/><Relationship Id="rId36" Type="http://schemas.openxmlformats.org/officeDocument/2006/relationships/hyperlink" Target="mailto:aviationnoc@xyzbrokers.co.uk" TargetMode="External"/><Relationship Id="rId49" Type="http://schemas.openxmlformats.org/officeDocument/2006/relationships/hyperlink" Target="https://crystal.lloyds.com/SearchResults?mc=676&amp;c=0201102012020290200402048020570303703050030750401304014040150405104078050280504905052050630506605007050770500805080050880500906026060320605406070060860608707006070670708107082070840806108065&amp;d=1&amp;qr=3&amp;t=2&amp;authorisationDisplay=lloyds" TargetMode="External"/><Relationship Id="rId10" Type="http://schemas.openxmlformats.org/officeDocument/2006/relationships/hyperlink" Target="mailto:lloydsbrussels@lloyds.com" TargetMode="External"/><Relationship Id="rId19" Type="http://schemas.openxmlformats.org/officeDocument/2006/relationships/hyperlink" Target="www.lloyds.com/tools-and-systems/crystal" TargetMode="External"/><Relationship Id="rId31" Type="http://schemas.openxmlformats.org/officeDocument/2006/relationships/hyperlink" Target="mailto:enquiries.lloydsbrussels@lloyds.com" TargetMode="External"/><Relationship Id="rId44" Type="http://schemas.openxmlformats.org/officeDocument/2006/relationships/hyperlink" Target="mailto:aviationnoc@xyzbrokers.co.uk"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lloyds.com/tools-and-systems/crystal" TargetMode="External"/><Relationship Id="rId22" Type="http://schemas.openxmlformats.org/officeDocument/2006/relationships/hyperlink" Target="http://www.lloyds.com" TargetMode="External"/><Relationship Id="rId27" Type="http://schemas.openxmlformats.org/officeDocument/2006/relationships/image" Target="media/image2.png"/><Relationship Id="rId30" Type="http://schemas.openxmlformats.org/officeDocument/2006/relationships/hyperlink" Target="http://www.lloyds.com/brussels" TargetMode="External"/><Relationship Id="rId35" Type="http://schemas.openxmlformats.org/officeDocument/2006/relationships/hyperlink" Target="mailto:Compliance.Contact@xyzbroker.co.uk" TargetMode="External"/><Relationship Id="rId43" Type="http://schemas.openxmlformats.org/officeDocument/2006/relationships/hyperlink" Target="mailto:Compliance.Contact@xyzbroker.co.uk" TargetMode="External"/><Relationship Id="rId48" Type="http://schemas.openxmlformats.org/officeDocument/2006/relationships/image" Target="media/image10.png"/><Relationship Id="rId8" Type="http://schemas.openxmlformats.org/officeDocument/2006/relationships/footer" Target="footer1.xml"/><Relationship Id="rId51"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6BE8C-2468-4E14-98AA-98A13CDAF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79</Pages>
  <Words>20387</Words>
  <Characters>116207</Characters>
  <Application>Microsoft Office Word</Application>
  <DocSecurity>0</DocSecurity>
  <Lines>968</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Alison Colver</cp:lastModifiedBy>
  <cp:revision>97</cp:revision>
  <dcterms:created xsi:type="dcterms:W3CDTF">2020-01-31T15:40:00Z</dcterms:created>
  <dcterms:modified xsi:type="dcterms:W3CDTF">2020-02-03T10:22:00Z</dcterms:modified>
</cp:coreProperties>
</file>