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shd w:val="clear" w:color="auto" w:fill="E6E0E8"/>
        <w:tblCellMar>
          <w:left w:w="0" w:type="dxa"/>
          <w:right w:w="0" w:type="dxa"/>
        </w:tblCellMar>
        <w:tblLook w:val="04A0" w:firstRow="1" w:lastRow="0" w:firstColumn="1" w:lastColumn="0" w:noHBand="0" w:noVBand="1"/>
      </w:tblPr>
      <w:tblGrid>
        <w:gridCol w:w="5596"/>
        <w:gridCol w:w="3731"/>
      </w:tblGrid>
      <w:tr w:rsidR="00961F4D" w:rsidTr="00961F4D">
        <w:trPr>
          <w:tblCellSpacing w:w="0" w:type="dxa"/>
        </w:trPr>
        <w:tc>
          <w:tcPr>
            <w:tcW w:w="0" w:type="auto"/>
            <w:shd w:val="clear" w:color="auto" w:fill="E6E0E8"/>
            <w:tcMar>
              <w:top w:w="150" w:type="dxa"/>
              <w:left w:w="150" w:type="dxa"/>
              <w:bottom w:w="150" w:type="dxa"/>
              <w:right w:w="150" w:type="dxa"/>
            </w:tcMar>
            <w:hideMark/>
          </w:tcPr>
          <w:p w:rsidR="00961F4D" w:rsidRDefault="00961F4D">
            <w:pPr>
              <w:pStyle w:val="NormalWeb"/>
            </w:pPr>
            <w:r>
              <w:rPr>
                <w:rStyle w:val="Strong"/>
                <w:rFonts w:ascii="Trebuchet MS" w:hAnsi="Trebuchet MS"/>
                <w:color w:val="000000"/>
                <w:sz w:val="20"/>
                <w:szCs w:val="20"/>
              </w:rPr>
              <w:t>To: all underwriters, claims, wordings, legal and compliance personnel   </w:t>
            </w:r>
          </w:p>
        </w:tc>
        <w:tc>
          <w:tcPr>
            <w:tcW w:w="2000" w:type="pct"/>
            <w:shd w:val="clear" w:color="auto" w:fill="E6E0E8"/>
            <w:tcMar>
              <w:top w:w="150" w:type="dxa"/>
              <w:left w:w="150" w:type="dxa"/>
              <w:bottom w:w="150" w:type="dxa"/>
              <w:right w:w="150" w:type="dxa"/>
            </w:tcMar>
            <w:hideMark/>
          </w:tcPr>
          <w:p w:rsidR="00961F4D" w:rsidRDefault="00961F4D">
            <w:pPr>
              <w:jc w:val="right"/>
            </w:pPr>
            <w:r>
              <w:rPr>
                <w:rFonts w:ascii="Trebuchet MS" w:hAnsi="Trebuchet MS"/>
                <w:color w:val="000000"/>
                <w:sz w:val="20"/>
                <w:szCs w:val="20"/>
              </w:rPr>
              <w:t>LMA20-006-AC  |  03 February 2020</w:t>
            </w:r>
          </w:p>
        </w:tc>
      </w:tr>
      <w:tr w:rsidR="00961F4D" w:rsidTr="00961F4D">
        <w:trPr>
          <w:tblCellSpacing w:w="0" w:type="dxa"/>
        </w:trPr>
        <w:tc>
          <w:tcPr>
            <w:tcW w:w="5000" w:type="pct"/>
            <w:gridSpan w:val="2"/>
            <w:shd w:val="clear" w:color="auto" w:fill="E6E0E8"/>
            <w:tcMar>
              <w:top w:w="150" w:type="dxa"/>
              <w:left w:w="150" w:type="dxa"/>
              <w:bottom w:w="150" w:type="dxa"/>
              <w:right w:w="150" w:type="dxa"/>
            </w:tcMar>
            <w:hideMark/>
          </w:tcPr>
          <w:p w:rsidR="00961F4D" w:rsidRDefault="00961F4D">
            <w:pPr>
              <w:pStyle w:val="NormalWeb"/>
            </w:pPr>
            <w:r>
              <w:rPr>
                <w:rStyle w:val="Strong"/>
                <w:rFonts w:ascii="Trebuchet MS" w:hAnsi="Trebuchet MS"/>
                <w:color w:val="000000"/>
                <w:sz w:val="28"/>
                <w:szCs w:val="28"/>
              </w:rPr>
              <w:t>Market Reform Contract Guidance </w:t>
            </w:r>
          </w:p>
          <w:p w:rsidR="00961F4D" w:rsidRDefault="00961F4D">
            <w:pPr>
              <w:pStyle w:val="NormalWeb"/>
            </w:pPr>
            <w:r>
              <w:rPr>
                <w:rStyle w:val="Strong"/>
                <w:rFonts w:ascii="Trebuchet MS" w:hAnsi="Trebuchet MS"/>
                <w:color w:val="000000"/>
                <w:sz w:val="20"/>
                <w:szCs w:val="20"/>
              </w:rPr>
              <w:t>Market Reform Contract (Open Market) Guidance - new version 2.0</w:t>
            </w:r>
            <w:r>
              <w:rPr>
                <w:rFonts w:ascii="Trebuchet MS" w:hAnsi="Trebuchet MS"/>
                <w:color w:val="000000"/>
                <w:sz w:val="20"/>
                <w:szCs w:val="20"/>
              </w:rPr>
              <w:t xml:space="preserve"> </w:t>
            </w:r>
          </w:p>
          <w:p w:rsidR="00961F4D" w:rsidRDefault="00961F4D">
            <w:pPr>
              <w:pStyle w:val="NormalWeb"/>
            </w:pPr>
            <w:r>
              <w:rPr>
                <w:rFonts w:ascii="Trebuchet MS" w:hAnsi="Trebuchet MS"/>
                <w:color w:val="000000"/>
                <w:sz w:val="20"/>
                <w:szCs w:val="20"/>
              </w:rPr>
              <w:t>In accordance with previous practice, a cross-market group has carried out the annual review of the Market Reform Contract (Open Market) Guidance. This has resulted in the publication of a new version (v 2.0) of the Guidance.</w:t>
            </w:r>
          </w:p>
          <w:p w:rsidR="00961F4D" w:rsidRDefault="00961F4D">
            <w:pPr>
              <w:pStyle w:val="NormalWeb"/>
            </w:pPr>
            <w:r>
              <w:rPr>
                <w:rFonts w:ascii="Trebuchet MS" w:hAnsi="Trebuchet MS"/>
                <w:color w:val="000000"/>
                <w:sz w:val="20"/>
                <w:szCs w:val="20"/>
              </w:rPr>
              <w:t xml:space="preserve">The whole structure/order of the MRC Guidance Document has been amended, in summary: </w:t>
            </w:r>
          </w:p>
          <w:p w:rsidR="00961F4D" w:rsidRDefault="00961F4D" w:rsidP="00961F4D">
            <w:pPr>
              <w:numPr>
                <w:ilvl w:val="0"/>
                <w:numId w:val="41"/>
              </w:numPr>
              <w:spacing w:before="100" w:beforeAutospacing="1" w:after="100" w:afterAutospacing="1"/>
              <w:rPr>
                <w:rFonts w:eastAsia="Times New Roman"/>
              </w:rPr>
            </w:pPr>
            <w:r>
              <w:rPr>
                <w:rFonts w:ascii="Trebuchet MS" w:eastAsia="Times New Roman" w:hAnsi="Trebuchet MS"/>
                <w:color w:val="000000"/>
                <w:sz w:val="20"/>
                <w:szCs w:val="20"/>
              </w:rPr>
              <w:t xml:space="preserve">guidance for each MRC Heading in each of the 6 parts of the MRC brought from the “Appendices” to the front of the document </w:t>
            </w:r>
          </w:p>
          <w:p w:rsidR="00961F4D" w:rsidRDefault="00961F4D" w:rsidP="00961F4D">
            <w:pPr>
              <w:numPr>
                <w:ilvl w:val="0"/>
                <w:numId w:val="41"/>
              </w:numPr>
              <w:spacing w:before="100" w:beforeAutospacing="1" w:after="100" w:afterAutospacing="1"/>
              <w:rPr>
                <w:rFonts w:eastAsia="Times New Roman"/>
              </w:rPr>
            </w:pPr>
            <w:r>
              <w:rPr>
                <w:rFonts w:ascii="Trebuchet MS" w:eastAsia="Times New Roman" w:hAnsi="Trebuchet MS"/>
                <w:color w:val="000000"/>
                <w:sz w:val="20"/>
                <w:szCs w:val="20"/>
              </w:rPr>
              <w:t xml:space="preserve">guidance on RISK DETAILS Usage of Headings moved to Appendix 1 </w:t>
            </w:r>
          </w:p>
          <w:p w:rsidR="00961F4D" w:rsidRDefault="00961F4D" w:rsidP="00961F4D">
            <w:pPr>
              <w:numPr>
                <w:ilvl w:val="0"/>
                <w:numId w:val="41"/>
              </w:numPr>
              <w:spacing w:before="100" w:beforeAutospacing="1" w:after="100" w:afterAutospacing="1"/>
              <w:rPr>
                <w:rFonts w:eastAsia="Times New Roman"/>
              </w:rPr>
            </w:pPr>
            <w:r>
              <w:rPr>
                <w:rFonts w:ascii="Trebuchet MS" w:eastAsia="Times New Roman" w:hAnsi="Trebuchet MS"/>
                <w:color w:val="000000"/>
                <w:sz w:val="20"/>
                <w:szCs w:val="20"/>
              </w:rPr>
              <w:t xml:space="preserve">MRC Examples moved to Appendix 2 </w:t>
            </w:r>
          </w:p>
          <w:p w:rsidR="00961F4D" w:rsidRDefault="00961F4D" w:rsidP="00961F4D">
            <w:pPr>
              <w:numPr>
                <w:ilvl w:val="0"/>
                <w:numId w:val="41"/>
              </w:numPr>
              <w:spacing w:before="100" w:beforeAutospacing="1" w:after="100" w:afterAutospacing="1"/>
              <w:rPr>
                <w:rFonts w:eastAsia="Times New Roman"/>
              </w:rPr>
            </w:pPr>
            <w:r>
              <w:rPr>
                <w:rFonts w:ascii="Trebuchet MS" w:eastAsia="Times New Roman" w:hAnsi="Trebuchet MS"/>
                <w:color w:val="000000"/>
                <w:sz w:val="20"/>
                <w:szCs w:val="20"/>
              </w:rPr>
              <w:t>document Revision / Change History moved to Appendix 4</w:t>
            </w:r>
          </w:p>
          <w:p w:rsidR="00961F4D" w:rsidRDefault="00961F4D" w:rsidP="00961F4D">
            <w:pPr>
              <w:numPr>
                <w:ilvl w:val="0"/>
                <w:numId w:val="41"/>
              </w:numPr>
              <w:spacing w:before="100" w:beforeAutospacing="1" w:after="100" w:afterAutospacing="1"/>
              <w:rPr>
                <w:rFonts w:eastAsia="Times New Roman"/>
              </w:rPr>
            </w:pPr>
            <w:r>
              <w:rPr>
                <w:rFonts w:ascii="Trebuchet MS" w:eastAsia="Times New Roman" w:hAnsi="Trebuchet MS"/>
                <w:color w:val="000000"/>
                <w:sz w:val="20"/>
                <w:szCs w:val="20"/>
              </w:rPr>
              <w:t>index moved from Appendix G to become Appendix 5.</w:t>
            </w:r>
          </w:p>
          <w:p w:rsidR="00961F4D" w:rsidRDefault="00961F4D">
            <w:pPr>
              <w:pStyle w:val="NormalWeb"/>
            </w:pPr>
            <w:r>
              <w:rPr>
                <w:rFonts w:ascii="Trebuchet MS" w:hAnsi="Trebuchet MS"/>
                <w:color w:val="000000"/>
                <w:sz w:val="20"/>
                <w:szCs w:val="20"/>
              </w:rPr>
              <w:t>The following changes/clarifications to Guidance have been applied:</w:t>
            </w:r>
          </w:p>
          <w:p w:rsidR="00961F4D" w:rsidRDefault="00961F4D" w:rsidP="00961F4D">
            <w:pPr>
              <w:numPr>
                <w:ilvl w:val="0"/>
                <w:numId w:val="42"/>
              </w:numPr>
              <w:spacing w:before="100" w:beforeAutospacing="1" w:after="100" w:afterAutospacing="1"/>
              <w:rPr>
                <w:rFonts w:eastAsia="Times New Roman"/>
              </w:rPr>
            </w:pPr>
            <w:r>
              <w:rPr>
                <w:rFonts w:ascii="Trebuchet MS" w:eastAsia="Times New Roman" w:hAnsi="Trebuchet MS"/>
                <w:color w:val="000000"/>
                <w:sz w:val="20"/>
                <w:szCs w:val="20"/>
              </w:rPr>
              <w:t>amended the General Guidance related to “Considerations When Using Electronic Placing”</w:t>
            </w:r>
          </w:p>
          <w:p w:rsidR="00961F4D" w:rsidRDefault="00961F4D" w:rsidP="00961F4D">
            <w:pPr>
              <w:numPr>
                <w:ilvl w:val="0"/>
                <w:numId w:val="42"/>
              </w:numPr>
              <w:spacing w:before="100" w:beforeAutospacing="1" w:after="100" w:afterAutospacing="1"/>
              <w:rPr>
                <w:rFonts w:eastAsia="Times New Roman"/>
              </w:rPr>
            </w:pPr>
            <w:r>
              <w:rPr>
                <w:rFonts w:ascii="Trebuchet MS" w:eastAsia="Times New Roman" w:hAnsi="Trebuchet MS"/>
                <w:color w:val="000000"/>
                <w:sz w:val="20"/>
                <w:szCs w:val="20"/>
              </w:rPr>
              <w:t xml:space="preserve">expanded the Guidance on the mandatory “Regulatory Risk Location” Heading under FISCAL &amp; REGULATORY </w:t>
            </w:r>
          </w:p>
          <w:p w:rsidR="00961F4D" w:rsidRDefault="00961F4D" w:rsidP="00961F4D">
            <w:pPr>
              <w:numPr>
                <w:ilvl w:val="0"/>
                <w:numId w:val="42"/>
              </w:numPr>
              <w:spacing w:before="100" w:beforeAutospacing="1" w:after="100" w:afterAutospacing="1"/>
              <w:rPr>
                <w:rFonts w:eastAsia="Times New Roman"/>
              </w:rPr>
            </w:pPr>
            <w:r>
              <w:rPr>
                <w:rFonts w:ascii="Trebuchet MS" w:eastAsia="Times New Roman" w:hAnsi="Trebuchet MS"/>
                <w:color w:val="000000"/>
                <w:sz w:val="20"/>
                <w:szCs w:val="20"/>
              </w:rPr>
              <w:t xml:space="preserve">updated the “Regulatory Client Classification” Heading under FISCAL &amp; REGULATORY </w:t>
            </w:r>
          </w:p>
          <w:p w:rsidR="00961F4D" w:rsidRDefault="00961F4D" w:rsidP="00961F4D">
            <w:pPr>
              <w:numPr>
                <w:ilvl w:val="0"/>
                <w:numId w:val="42"/>
              </w:numPr>
              <w:spacing w:before="100" w:beforeAutospacing="1" w:after="100" w:afterAutospacing="1"/>
              <w:rPr>
                <w:rFonts w:eastAsia="Times New Roman"/>
              </w:rPr>
            </w:pPr>
            <w:r>
              <w:rPr>
                <w:rFonts w:ascii="Trebuchet MS" w:eastAsia="Times New Roman" w:hAnsi="Trebuchet MS"/>
                <w:color w:val="000000"/>
                <w:sz w:val="20"/>
                <w:szCs w:val="20"/>
              </w:rPr>
              <w:t xml:space="preserve">amendments made to the various tax headings </w:t>
            </w:r>
          </w:p>
          <w:p w:rsidR="00961F4D" w:rsidRDefault="00961F4D" w:rsidP="00961F4D">
            <w:pPr>
              <w:numPr>
                <w:ilvl w:val="0"/>
                <w:numId w:val="42"/>
              </w:numPr>
              <w:spacing w:before="100" w:beforeAutospacing="1" w:after="100" w:afterAutospacing="1"/>
              <w:rPr>
                <w:rFonts w:eastAsia="Times New Roman"/>
              </w:rPr>
            </w:pPr>
            <w:r>
              <w:rPr>
                <w:rFonts w:ascii="Trebuchet MS" w:eastAsia="Times New Roman" w:hAnsi="Trebuchet MS"/>
                <w:color w:val="000000"/>
                <w:sz w:val="20"/>
                <w:szCs w:val="20"/>
              </w:rPr>
              <w:t>updated the MRC Examples contained in the Guidance, now located in Appendix 2, and cross referenced them against the specific guidance as to the use of headings in each of the 6 parts of the MRC.</w:t>
            </w:r>
          </w:p>
          <w:p w:rsidR="00961F4D" w:rsidRDefault="00961F4D">
            <w:pPr>
              <w:pStyle w:val="NormalWeb"/>
            </w:pPr>
            <w:r>
              <w:rPr>
                <w:rFonts w:ascii="Trebuchet MS" w:hAnsi="Trebuchet MS"/>
                <w:color w:val="000000"/>
                <w:sz w:val="20"/>
                <w:szCs w:val="20"/>
              </w:rPr>
              <w:t xml:space="preserve">The revised Guidance can be used immediately but may also be phased in over a four-month period, hence becoming the required standard for new and renewal business from 01 June 2020. </w:t>
            </w:r>
          </w:p>
          <w:p w:rsidR="00961F4D" w:rsidRDefault="00961F4D">
            <w:pPr>
              <w:pStyle w:val="NormalWeb"/>
            </w:pPr>
            <w:r>
              <w:rPr>
                <w:rStyle w:val="Strong"/>
                <w:rFonts w:ascii="Trebuchet MS" w:hAnsi="Trebuchet MS"/>
                <w:color w:val="000000"/>
                <w:sz w:val="20"/>
                <w:szCs w:val="20"/>
              </w:rPr>
              <w:t xml:space="preserve">Market Reform Contract (Open Market) Guidance – Lloyd’s Brussels Supplementary Addendum </w:t>
            </w:r>
          </w:p>
          <w:p w:rsidR="00961F4D" w:rsidRDefault="00961F4D">
            <w:pPr>
              <w:pStyle w:val="NormalWeb"/>
            </w:pPr>
            <w:r>
              <w:rPr>
                <w:rFonts w:ascii="Trebuchet MS" w:hAnsi="Trebuchet MS"/>
                <w:color w:val="000000"/>
                <w:sz w:val="20"/>
                <w:szCs w:val="20"/>
              </w:rPr>
              <w:t xml:space="preserve">Lloyd’s established a new insurance company based in Brussels (Lloyd’s Insurance Company S.A., known as Lloyd’s Brussels), to underwrite non-life insurance and facultative reinsurance risks located in EEA countries with effect from 01 January 2019. From that date, placements that include risks in countries where Lloyd’s Brussels is unlicensed must be priced separately and the MRC needs to be split, or have separate sections, for EEA/non-EEA risks accordingly. Lloyd’s Brussels has mandated that all risks placed in the London market on their behalf, must be placed using an MRC. </w:t>
            </w:r>
          </w:p>
          <w:p w:rsidR="00961F4D" w:rsidRDefault="00961F4D">
            <w:pPr>
              <w:pStyle w:val="NormalWeb"/>
            </w:pPr>
            <w:r>
              <w:rPr>
                <w:rFonts w:ascii="Trebuchet MS" w:hAnsi="Trebuchet MS"/>
                <w:color w:val="000000"/>
                <w:sz w:val="20"/>
                <w:szCs w:val="20"/>
              </w:rPr>
              <w:t xml:space="preserve">Lloyd’s, in conjunction with the Lloyd’s Market Association (LMA), has therefore produced an updated Lloyd’s Brussels Supplementary Addendum (v 2.0) to the main MRC Guidance, to assist the market with the creation of such split/sectionalised Open Market MRCs in respect of risks located in the EEA (underwritten by Lloyd’s Brussels) and non-EEA countries. </w:t>
            </w:r>
          </w:p>
          <w:p w:rsidR="00961F4D" w:rsidRDefault="00961F4D">
            <w:pPr>
              <w:pStyle w:val="NormalWeb"/>
            </w:pPr>
            <w:r>
              <w:rPr>
                <w:rFonts w:ascii="Trebuchet MS" w:hAnsi="Trebuchet MS"/>
                <w:color w:val="000000"/>
                <w:sz w:val="20"/>
                <w:szCs w:val="20"/>
              </w:rPr>
              <w:t xml:space="preserve">The Lloyd’s Brussels Supplementary Addendum does not seek to repeat the content of the ‘Market Reform Contract Open Market Implementation Guide’ (v 2.0) which is already in existence to define the MRC standard, including the layout and content of a standard form, but should be read alongside it. The numbering used, e.g. for paragraph headings, in this document therefore replicates the numbering system within the revised ‘Market Reform Contract Open Market </w:t>
            </w:r>
            <w:r>
              <w:rPr>
                <w:rFonts w:ascii="Trebuchet MS" w:hAnsi="Trebuchet MS"/>
                <w:color w:val="000000"/>
                <w:sz w:val="20"/>
                <w:szCs w:val="20"/>
              </w:rPr>
              <w:lastRenderedPageBreak/>
              <w:t xml:space="preserve">Implementation Guide’ (v 2.0). </w:t>
            </w:r>
          </w:p>
          <w:p w:rsidR="00961F4D" w:rsidRDefault="00961F4D">
            <w:pPr>
              <w:pStyle w:val="NormalWeb"/>
            </w:pPr>
            <w:r>
              <w:rPr>
                <w:rStyle w:val="Strong"/>
                <w:rFonts w:ascii="Trebuchet MS" w:hAnsi="Trebuchet MS"/>
                <w:color w:val="000000"/>
                <w:sz w:val="20"/>
                <w:szCs w:val="20"/>
              </w:rPr>
              <w:t>Download now:</w:t>
            </w:r>
          </w:p>
          <w:p w:rsidR="00961F4D" w:rsidRDefault="00961F4D">
            <w:pPr>
              <w:pStyle w:val="NormalWeb"/>
            </w:pPr>
            <w:r>
              <w:rPr>
                <w:rFonts w:ascii="Trebuchet MS" w:hAnsi="Trebuchet MS"/>
                <w:color w:val="000000"/>
                <w:sz w:val="20"/>
                <w:szCs w:val="20"/>
              </w:rPr>
              <w:t xml:space="preserve">All MRC publications are available to access on the LMG website under “Market Standards” </w:t>
            </w:r>
            <w:hyperlink r:id="rId7" w:tgtFrame="_blank" w:history="1">
              <w:r>
                <w:rPr>
                  <w:rStyle w:val="Hyperlink"/>
                  <w:rFonts w:ascii="Trebuchet MS" w:hAnsi="Trebuchet MS"/>
                  <w:sz w:val="20"/>
                  <w:szCs w:val="20"/>
                </w:rPr>
                <w:t>b</w:t>
              </w:r>
              <w:bookmarkStart w:id="0" w:name="_GoBack"/>
              <w:bookmarkEnd w:id="0"/>
              <w:r>
                <w:rPr>
                  <w:rStyle w:val="Hyperlink"/>
                  <w:rFonts w:ascii="Trebuchet MS" w:hAnsi="Trebuchet MS"/>
                  <w:sz w:val="20"/>
                  <w:szCs w:val="20"/>
                </w:rPr>
                <w:t>y</w:t>
              </w:r>
              <w:r>
                <w:rPr>
                  <w:rStyle w:val="Hyperlink"/>
                  <w:rFonts w:ascii="Trebuchet MS" w:hAnsi="Trebuchet MS"/>
                  <w:sz w:val="20"/>
                  <w:szCs w:val="20"/>
                </w:rPr>
                <w:t xml:space="preserve"> clicking here</w:t>
              </w:r>
            </w:hyperlink>
            <w:r>
              <w:rPr>
                <w:rFonts w:ascii="Trebuchet MS" w:hAnsi="Trebuchet MS"/>
                <w:color w:val="000000"/>
                <w:sz w:val="20"/>
                <w:szCs w:val="20"/>
              </w:rPr>
              <w:t>. </w:t>
            </w:r>
          </w:p>
          <w:p w:rsidR="00961F4D" w:rsidRDefault="00961F4D">
            <w:pPr>
              <w:pStyle w:val="NormalWeb"/>
            </w:pPr>
            <w:r>
              <w:rPr>
                <w:rFonts w:ascii="Trebuchet MS" w:hAnsi="Trebuchet MS"/>
                <w:color w:val="000000"/>
                <w:sz w:val="20"/>
                <w:szCs w:val="20"/>
              </w:rPr>
              <w:t xml:space="preserve">All managing agents’ queries arising from these documents, should be directed to Alison </w:t>
            </w:r>
            <w:proofErr w:type="spellStart"/>
            <w:r>
              <w:rPr>
                <w:rFonts w:ascii="Trebuchet MS" w:hAnsi="Trebuchet MS"/>
                <w:color w:val="000000"/>
                <w:sz w:val="20"/>
                <w:szCs w:val="20"/>
              </w:rPr>
              <w:t>Colver</w:t>
            </w:r>
            <w:proofErr w:type="spellEnd"/>
            <w:r>
              <w:rPr>
                <w:rFonts w:ascii="Trebuchet MS" w:hAnsi="Trebuchet MS"/>
                <w:color w:val="000000"/>
                <w:sz w:val="20"/>
                <w:szCs w:val="20"/>
              </w:rPr>
              <w:t xml:space="preserve"> (</w:t>
            </w:r>
            <w:hyperlink r:id="rId8" w:tgtFrame="_blank" w:history="1">
              <w:r>
                <w:rPr>
                  <w:rStyle w:val="Hyperlink"/>
                  <w:rFonts w:ascii="Trebuchet MS" w:hAnsi="Trebuchet MS"/>
                  <w:sz w:val="20"/>
                  <w:szCs w:val="20"/>
                </w:rPr>
                <w:t>alison.colver@lmalloyds.com</w:t>
              </w:r>
            </w:hyperlink>
            <w:r>
              <w:rPr>
                <w:rFonts w:ascii="Trebuchet MS" w:hAnsi="Trebuchet MS"/>
                <w:color w:val="000000"/>
                <w:sz w:val="20"/>
                <w:szCs w:val="20"/>
              </w:rPr>
              <w:t>).</w:t>
            </w:r>
          </w:p>
          <w:p w:rsidR="00961F4D" w:rsidRDefault="00961F4D">
            <w:pPr>
              <w:pStyle w:val="NormalWeb"/>
            </w:pPr>
            <w:r>
              <w:rPr>
                <w:rStyle w:val="Strong"/>
                <w:rFonts w:ascii="Trebuchet MS" w:hAnsi="Trebuchet MS"/>
                <w:color w:val="000000"/>
                <w:sz w:val="20"/>
                <w:szCs w:val="20"/>
              </w:rPr>
              <w:t xml:space="preserve">Alison </w:t>
            </w:r>
            <w:proofErr w:type="spellStart"/>
            <w:r>
              <w:rPr>
                <w:rStyle w:val="Strong"/>
                <w:rFonts w:ascii="Trebuchet MS" w:hAnsi="Trebuchet MS"/>
                <w:color w:val="000000"/>
                <w:sz w:val="20"/>
                <w:szCs w:val="20"/>
              </w:rPr>
              <w:t>Colver</w:t>
            </w:r>
            <w:proofErr w:type="spellEnd"/>
            <w:r>
              <w:rPr>
                <w:rFonts w:ascii="Trebuchet MS" w:hAnsi="Trebuchet MS"/>
                <w:color w:val="000000"/>
                <w:sz w:val="20"/>
                <w:szCs w:val="20"/>
              </w:rPr>
              <w:br/>
              <w:t xml:space="preserve">Head of Contract Wordings </w:t>
            </w:r>
          </w:p>
        </w:tc>
      </w:tr>
    </w:tbl>
    <w:p w:rsidR="006D5A56" w:rsidRPr="00367701" w:rsidRDefault="006D5A56" w:rsidP="005D3768">
      <w:pPr>
        <w:rPr>
          <w:rFonts w:ascii="Arial" w:hAnsi="Arial" w:cs="Arial"/>
        </w:rPr>
      </w:pPr>
    </w:p>
    <w:sectPr w:rsidR="006D5A56" w:rsidRPr="00367701">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F4D" w:rsidRDefault="00961F4D" w:rsidP="00961F4D">
      <w:r>
        <w:separator/>
      </w:r>
    </w:p>
  </w:endnote>
  <w:endnote w:type="continuationSeparator" w:id="0">
    <w:p w:rsidR="00961F4D" w:rsidRDefault="00961F4D" w:rsidP="0096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4D" w:rsidRDefault="00961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4D" w:rsidRDefault="00961F4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10236200</wp:posOffset>
              </wp:positionV>
              <wp:extent cx="7560945" cy="266700"/>
              <wp:effectExtent l="0" t="0" r="0" b="0"/>
              <wp:wrapNone/>
              <wp:docPr id="1" name="MSIPCMe4ea44a99ed277f5adaadbb0" descr="{&quot;HashCode&quot;:-829928686,&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1F4D" w:rsidRPr="00961F4D" w:rsidRDefault="00961F4D" w:rsidP="00961F4D">
                          <w:pPr>
                            <w:jc w:val="center"/>
                            <w:rPr>
                              <w:color w:val="000000"/>
                              <w:sz w:val="20"/>
                            </w:rPr>
                          </w:pPr>
                          <w:r w:rsidRPr="00961F4D">
                            <w:rPr>
                              <w:color w:val="000000"/>
                              <w:sz w:val="20"/>
                            </w:rPr>
                            <w:t>Classification: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4ea44a99ed277f5adaadbb0" o:spid="_x0000_s1026" type="#_x0000_t202" alt="{&quot;HashCode&quot;:-829928686,&quot;Height&quot;:842.0,&quot;Width&quot;:595.0,&quot;Placement&quot;:&quot;Footer&quot;,&quot;Index&quot;:&quot;Primary&quot;,&quot;Section&quot;:1,&quot;Top&quot;:0.0,&quot;Left&quot;:0.0}" style="position:absolute;margin-left:0;margin-top:806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" o:allowincell="f" filled="f" stroked="f" strokeweight=".5pt">
              <v:fill o:detectmouseclick="t"/>
              <v:textbox inset=",0,,0">
                <w:txbxContent>
                  <w:p w:rsidR="00961F4D" w:rsidRPr="00961F4D" w:rsidRDefault="00961F4D" w:rsidP="00961F4D">
                    <w:pPr>
                      <w:jc w:val="center"/>
                      <w:rPr>
                        <w:color w:val="000000"/>
                        <w:sz w:val="20"/>
                      </w:rPr>
                    </w:pPr>
                    <w:r w:rsidRPr="00961F4D">
                      <w:rPr>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4D" w:rsidRDefault="00961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F4D" w:rsidRDefault="00961F4D" w:rsidP="00961F4D">
      <w:r>
        <w:separator/>
      </w:r>
    </w:p>
  </w:footnote>
  <w:footnote w:type="continuationSeparator" w:id="0">
    <w:p w:rsidR="00961F4D" w:rsidRDefault="00961F4D" w:rsidP="00961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4D" w:rsidRDefault="00961F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4D" w:rsidRDefault="00961F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F4D" w:rsidRDefault="00961F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A36FBC6"/>
    <w:lvl w:ilvl="0">
      <w:start w:val="1"/>
      <w:numFmt w:val="decimal"/>
      <w:pStyle w:val="NumberList"/>
      <w:lvlText w:val="%1)"/>
      <w:lvlJc w:val="left"/>
      <w:pPr>
        <w:tabs>
          <w:tab w:val="num" w:pos="1440"/>
        </w:tabs>
        <w:ind w:left="1440" w:hanging="720"/>
      </w:pPr>
    </w:lvl>
  </w:abstractNum>
  <w:abstractNum w:abstractNumId="1" w15:restartNumberingAfterBreak="0">
    <w:nsid w:val="FFFFFF89"/>
    <w:multiLevelType w:val="singleLevel"/>
    <w:tmpl w:val="29DADB6A"/>
    <w:lvl w:ilvl="0">
      <w:start w:val="1"/>
      <w:numFmt w:val="bullet"/>
      <w:pStyle w:val="ListBullet"/>
      <w:lvlText w:val=""/>
      <w:lvlJc w:val="left"/>
      <w:pPr>
        <w:tabs>
          <w:tab w:val="num" w:pos="1440"/>
        </w:tabs>
        <w:ind w:left="1440" w:hanging="720"/>
      </w:pPr>
      <w:rPr>
        <w:rFonts w:ascii="Symbol" w:hAnsi="Symbol" w:hint="default"/>
      </w:rPr>
    </w:lvl>
  </w:abstractNum>
  <w:abstractNum w:abstractNumId="2" w15:restartNumberingAfterBreak="0">
    <w:nsid w:val="112C7D92"/>
    <w:multiLevelType w:val="multilevel"/>
    <w:tmpl w:val="7CB6C27E"/>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F6B72D2"/>
    <w:multiLevelType w:val="singleLevel"/>
    <w:tmpl w:val="199E23D8"/>
    <w:lvl w:ilvl="0">
      <w:start w:val="1"/>
      <w:numFmt w:val="lowerLetter"/>
      <w:pStyle w:val="LetterList"/>
      <w:lvlText w:val="%1)"/>
      <w:lvlJc w:val="left"/>
      <w:pPr>
        <w:tabs>
          <w:tab w:val="num" w:pos="1440"/>
        </w:tabs>
        <w:ind w:left="1440" w:hanging="720"/>
      </w:pPr>
    </w:lvl>
  </w:abstractNum>
  <w:abstractNum w:abstractNumId="4" w15:restartNumberingAfterBreak="0">
    <w:nsid w:val="58A738E4"/>
    <w:multiLevelType w:val="multilevel"/>
    <w:tmpl w:val="847C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0200D"/>
    <w:multiLevelType w:val="multilevel"/>
    <w:tmpl w:val="AE38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238D2"/>
    <w:multiLevelType w:val="singleLevel"/>
    <w:tmpl w:val="8C761928"/>
    <w:lvl w:ilvl="0">
      <w:start w:val="1"/>
      <w:numFmt w:val="lowerRoman"/>
      <w:pStyle w:val="numerallist"/>
      <w:lvlText w:val="%1)"/>
      <w:lvlJc w:val="left"/>
      <w:pPr>
        <w:tabs>
          <w:tab w:val="num" w:pos="1440"/>
        </w:tabs>
        <w:ind w:left="1440" w:hanging="720"/>
      </w:pPr>
      <w:rPr>
        <w:caps w:val="0"/>
      </w:rPr>
    </w:lvl>
  </w:abstractNum>
  <w:num w:numId="1">
    <w:abstractNumId w:val="2"/>
  </w:num>
  <w:num w:numId="2">
    <w:abstractNumId w:val="2"/>
  </w:num>
  <w:num w:numId="3">
    <w:abstractNumId w:val="2"/>
  </w:num>
  <w:num w:numId="4">
    <w:abstractNumId w:val="6"/>
  </w:num>
  <w:num w:numId="5">
    <w:abstractNumId w:val="3"/>
  </w:num>
  <w:num w:numId="6">
    <w:abstractNumId w:val="1"/>
  </w:num>
  <w:num w:numId="7">
    <w:abstractNumId w:val="1"/>
  </w:num>
  <w:num w:numId="8">
    <w:abstractNumId w:val="0"/>
  </w:num>
  <w:num w:numId="9">
    <w:abstractNumId w:val="2"/>
  </w:num>
  <w:num w:numId="10">
    <w:abstractNumId w:val="3"/>
  </w:num>
  <w:num w:numId="11">
    <w:abstractNumId w:val="0"/>
  </w:num>
  <w:num w:numId="12">
    <w:abstractNumId w:val="6"/>
  </w:num>
  <w:num w:numId="13">
    <w:abstractNumId w:val="1"/>
  </w:num>
  <w:num w:numId="14">
    <w:abstractNumId w:val="1"/>
  </w:num>
  <w:num w:numId="15">
    <w:abstractNumId w:val="0"/>
  </w:num>
  <w:num w:numId="16">
    <w:abstractNumId w:val="6"/>
  </w:num>
  <w:num w:numId="17">
    <w:abstractNumId w:val="2"/>
  </w:num>
  <w:num w:numId="18">
    <w:abstractNumId w:val="2"/>
  </w:num>
  <w:num w:numId="19">
    <w:abstractNumId w:val="2"/>
  </w:num>
  <w:num w:numId="20">
    <w:abstractNumId w:val="0"/>
  </w:num>
  <w:num w:numId="21">
    <w:abstractNumId w:val="6"/>
  </w:num>
  <w:num w:numId="22">
    <w:abstractNumId w:val="6"/>
  </w:num>
  <w:num w:numId="23">
    <w:abstractNumId w:val="3"/>
  </w:num>
  <w:num w:numId="24">
    <w:abstractNumId w:val="3"/>
  </w:num>
  <w:num w:numId="25">
    <w:abstractNumId w:val="1"/>
  </w:num>
  <w:num w:numId="26">
    <w:abstractNumId w:val="3"/>
  </w:num>
  <w:num w:numId="27">
    <w:abstractNumId w:val="1"/>
  </w:num>
  <w:num w:numId="28">
    <w:abstractNumId w:val="0"/>
  </w:num>
  <w:num w:numId="29">
    <w:abstractNumId w:val="6"/>
  </w:num>
  <w:num w:numId="30">
    <w:abstractNumId w:val="2"/>
  </w:num>
  <w:num w:numId="31">
    <w:abstractNumId w:val="2"/>
  </w:num>
  <w:num w:numId="32">
    <w:abstractNumId w:val="2"/>
  </w:num>
  <w:num w:numId="33">
    <w:abstractNumId w:val="3"/>
  </w:num>
  <w:num w:numId="34">
    <w:abstractNumId w:val="3"/>
  </w:num>
  <w:num w:numId="35">
    <w:abstractNumId w:val="1"/>
  </w:num>
  <w:num w:numId="36">
    <w:abstractNumId w:val="0"/>
  </w:num>
  <w:num w:numId="37">
    <w:abstractNumId w:val="6"/>
  </w:num>
  <w:num w:numId="38">
    <w:abstractNumId w:val="6"/>
  </w:num>
  <w:num w:numId="39">
    <w:abstractNumId w:val="6"/>
  </w:num>
  <w:num w:numId="40">
    <w:abstractNumId w:val="6"/>
  </w:num>
  <w:num w:numId="41">
    <w:abstractNumId w:val="4"/>
    <w:lvlOverride w:ilvl="0"/>
    <w:lvlOverride w:ilvl="1"/>
    <w:lvlOverride w:ilvl="2"/>
    <w:lvlOverride w:ilvl="3"/>
    <w:lvlOverride w:ilvl="4"/>
    <w:lvlOverride w:ilvl="5"/>
    <w:lvlOverride w:ilvl="6"/>
    <w:lvlOverride w:ilvl="7"/>
    <w:lvlOverride w:ilvl="8"/>
  </w:num>
  <w:num w:numId="4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4D"/>
    <w:rsid w:val="00367701"/>
    <w:rsid w:val="005D3768"/>
    <w:rsid w:val="006D5A56"/>
    <w:rsid w:val="007D45D8"/>
    <w:rsid w:val="008334BB"/>
    <w:rsid w:val="00902D48"/>
    <w:rsid w:val="0091465A"/>
    <w:rsid w:val="00961F4D"/>
    <w:rsid w:val="00A51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5E0B45-D53F-4D5D-A18B-6E7FF6E1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F4D"/>
    <w:rPr>
      <w:rFonts w:ascii="Calibri" w:eastAsiaTheme="minorHAnsi" w:hAnsi="Calibri" w:cs="Calibri"/>
      <w:sz w:val="22"/>
      <w:szCs w:val="22"/>
    </w:rPr>
  </w:style>
  <w:style w:type="paragraph" w:styleId="Heading1">
    <w:name w:val="heading 1"/>
    <w:basedOn w:val="Normal"/>
    <w:next w:val="Heading2"/>
    <w:qFormat/>
    <w:pPr>
      <w:numPr>
        <w:numId w:val="32"/>
      </w:numPr>
      <w:spacing w:before="240"/>
      <w:outlineLvl w:val="0"/>
    </w:pPr>
    <w:rPr>
      <w:b/>
      <w:kern w:val="28"/>
    </w:rPr>
  </w:style>
  <w:style w:type="paragraph" w:styleId="Heading2">
    <w:name w:val="heading 2"/>
    <w:basedOn w:val="Normal"/>
    <w:qFormat/>
    <w:pPr>
      <w:numPr>
        <w:ilvl w:val="1"/>
        <w:numId w:val="32"/>
      </w:numPr>
      <w:spacing w:before="240"/>
      <w:outlineLvl w:val="1"/>
    </w:pPr>
  </w:style>
  <w:style w:type="paragraph" w:styleId="Heading3">
    <w:name w:val="heading 3"/>
    <w:basedOn w:val="Normal"/>
    <w:qFormat/>
    <w:pPr>
      <w:numPr>
        <w:ilvl w:val="2"/>
        <w:numId w:val="32"/>
      </w:numPr>
      <w:spacing w:before="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erallist">
    <w:name w:val="numeral list"/>
    <w:basedOn w:val="LetterList"/>
    <w:pPr>
      <w:numPr>
        <w:numId w:val="40"/>
      </w:numPr>
    </w:pPr>
  </w:style>
  <w:style w:type="paragraph" w:customStyle="1" w:styleId="LetterList">
    <w:name w:val="Letter List"/>
    <w:basedOn w:val="Heading1"/>
    <w:pPr>
      <w:numPr>
        <w:numId w:val="34"/>
      </w:numPr>
    </w:pPr>
    <w:rPr>
      <w:b w:val="0"/>
    </w:rPr>
  </w:style>
  <w:style w:type="paragraph" w:styleId="List">
    <w:name w:val="List"/>
    <w:basedOn w:val="Normal"/>
    <w:pPr>
      <w:ind w:left="283" w:hanging="283"/>
    </w:pPr>
  </w:style>
  <w:style w:type="paragraph" w:styleId="ListBullet">
    <w:name w:val="List Bullet"/>
    <w:basedOn w:val="LetterList"/>
    <w:pPr>
      <w:numPr>
        <w:numId w:val="35"/>
      </w:numPr>
    </w:pPr>
  </w:style>
  <w:style w:type="paragraph" w:customStyle="1" w:styleId="NumberList">
    <w:name w:val="Number List"/>
    <w:basedOn w:val="LetterList"/>
    <w:pPr>
      <w:numPr>
        <w:numId w:val="36"/>
      </w:numPr>
    </w:pPr>
  </w:style>
  <w:style w:type="character" w:styleId="Hyperlink">
    <w:name w:val="Hyperlink"/>
    <w:basedOn w:val="DefaultParagraphFont"/>
    <w:uiPriority w:val="99"/>
    <w:semiHidden/>
    <w:unhideWhenUsed/>
    <w:rsid w:val="00961F4D"/>
    <w:rPr>
      <w:color w:val="0000FF"/>
      <w:u w:val="single"/>
    </w:rPr>
  </w:style>
  <w:style w:type="paragraph" w:styleId="NormalWeb">
    <w:name w:val="Normal (Web)"/>
    <w:basedOn w:val="Normal"/>
    <w:uiPriority w:val="99"/>
    <w:semiHidden/>
    <w:unhideWhenUsed/>
    <w:rsid w:val="00961F4D"/>
    <w:pPr>
      <w:spacing w:before="100" w:beforeAutospacing="1" w:after="100" w:afterAutospacing="1"/>
    </w:pPr>
  </w:style>
  <w:style w:type="character" w:styleId="Strong">
    <w:name w:val="Strong"/>
    <w:basedOn w:val="DefaultParagraphFont"/>
    <w:uiPriority w:val="22"/>
    <w:qFormat/>
    <w:rsid w:val="00961F4D"/>
    <w:rPr>
      <w:b/>
      <w:bCs/>
    </w:rPr>
  </w:style>
  <w:style w:type="character" w:styleId="FollowedHyperlink">
    <w:name w:val="FollowedHyperlink"/>
    <w:basedOn w:val="DefaultParagraphFont"/>
    <w:uiPriority w:val="99"/>
    <w:semiHidden/>
    <w:unhideWhenUsed/>
    <w:rsid w:val="00961F4D"/>
    <w:rPr>
      <w:color w:val="800080" w:themeColor="followedHyperlink"/>
      <w:u w:val="single"/>
    </w:rPr>
  </w:style>
  <w:style w:type="paragraph" w:styleId="Header">
    <w:name w:val="header"/>
    <w:basedOn w:val="Normal"/>
    <w:link w:val="HeaderChar"/>
    <w:uiPriority w:val="99"/>
    <w:unhideWhenUsed/>
    <w:rsid w:val="00961F4D"/>
    <w:pPr>
      <w:tabs>
        <w:tab w:val="center" w:pos="4513"/>
        <w:tab w:val="right" w:pos="9026"/>
      </w:tabs>
    </w:pPr>
  </w:style>
  <w:style w:type="character" w:customStyle="1" w:styleId="HeaderChar">
    <w:name w:val="Header Char"/>
    <w:basedOn w:val="DefaultParagraphFont"/>
    <w:link w:val="Header"/>
    <w:uiPriority w:val="99"/>
    <w:rsid w:val="00961F4D"/>
    <w:rPr>
      <w:rFonts w:ascii="Calibri" w:eastAsiaTheme="minorHAnsi" w:hAnsi="Calibri" w:cs="Calibri"/>
      <w:sz w:val="22"/>
      <w:szCs w:val="22"/>
    </w:rPr>
  </w:style>
  <w:style w:type="paragraph" w:styleId="Footer">
    <w:name w:val="footer"/>
    <w:basedOn w:val="Normal"/>
    <w:link w:val="FooterChar"/>
    <w:uiPriority w:val="99"/>
    <w:unhideWhenUsed/>
    <w:rsid w:val="00961F4D"/>
    <w:pPr>
      <w:tabs>
        <w:tab w:val="center" w:pos="4513"/>
        <w:tab w:val="right" w:pos="9026"/>
      </w:tabs>
    </w:pPr>
  </w:style>
  <w:style w:type="character" w:customStyle="1" w:styleId="FooterChar">
    <w:name w:val="Footer Char"/>
    <w:basedOn w:val="DefaultParagraphFont"/>
    <w:link w:val="Footer"/>
    <w:uiPriority w:val="99"/>
    <w:rsid w:val="00961F4D"/>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son.colver@lmalloyd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urldefense.proofpoint.com/v2/url?u=http-3A__LMA.informz.ca_z_cjUucD9taT0xMTY3MDk0JnA9MSZ1PTkyMjQzOTM0MiZsaT0xNzI3NjUzMA_index.html&amp;d=DwMGaQ&amp;c=ZnH9XQkNJ63hboBolvM4BvMHpqa6cbGvlWggJ5lnW8w&amp;r=zgM6jPh6vaYZgGij6SN8r9OoIHf0QaSJKiCe6dMFKSg&amp;m=Bi2zL9QSr2wMqtsGfpXnu_xEfLspULOnS3DoSg6b93k&amp;s=tCS5Jb-plGnBw5GU4YKRfmPDcS4QYK9giL3dz2ddX44&amp;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DAC8AC7F</Template>
  <TotalTime>2</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Lloyds</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Global Corporation Template</dc:subject>
  <dc:creator>Sarcina, Roberta</dc:creator>
  <cp:keywords/>
  <dc:description/>
  <cp:lastModifiedBy>Sarcina, Roberta</cp:lastModifiedBy>
  <cp:revision>1</cp:revision>
  <dcterms:created xsi:type="dcterms:W3CDTF">2020-02-04T12:01:00Z</dcterms:created>
  <dcterms:modified xsi:type="dcterms:W3CDTF">2020-02-04T12:03:00Z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b4ac1b-ad46-41e5-bbef-cfcc59b99d32_Enabled">
    <vt:lpwstr>True</vt:lpwstr>
  </property>
  <property fmtid="{D5CDD505-2E9C-101B-9397-08002B2CF9AE}" pid="3" name="MSIP_Label_b3b4ac1b-ad46-41e5-bbef-cfcc59b99d32_SiteId">
    <vt:lpwstr>8df4b91e-bf72-411d-9902-5ecc8f1e6c11</vt:lpwstr>
  </property>
  <property fmtid="{D5CDD505-2E9C-101B-9397-08002B2CF9AE}" pid="4" name="MSIP_Label_b3b4ac1b-ad46-41e5-bbef-cfcc59b99d32_Owner">
    <vt:lpwstr>SarcinaR@lloyds.com</vt:lpwstr>
  </property>
  <property fmtid="{D5CDD505-2E9C-101B-9397-08002B2CF9AE}" pid="5" name="MSIP_Label_b3b4ac1b-ad46-41e5-bbef-cfcc59b99d32_SetDate">
    <vt:lpwstr>2020-02-04T12:02:51.3786898Z</vt:lpwstr>
  </property>
  <property fmtid="{D5CDD505-2E9C-101B-9397-08002B2CF9AE}" pid="6" name="MSIP_Label_b3b4ac1b-ad46-41e5-bbef-cfcc59b99d32_Name">
    <vt:lpwstr>Confidential</vt:lpwstr>
  </property>
  <property fmtid="{D5CDD505-2E9C-101B-9397-08002B2CF9AE}" pid="7" name="MSIP_Label_b3b4ac1b-ad46-41e5-bbef-cfcc59b99d32_Application">
    <vt:lpwstr>Microsoft Azure Information Protection</vt:lpwstr>
  </property>
  <property fmtid="{D5CDD505-2E9C-101B-9397-08002B2CF9AE}" pid="8" name="MSIP_Label_b3b4ac1b-ad46-41e5-bbef-cfcc59b99d32_ActionId">
    <vt:lpwstr>8bf522f5-89e0-4ae6-94e9-77f273554612</vt:lpwstr>
  </property>
  <property fmtid="{D5CDD505-2E9C-101B-9397-08002B2CF9AE}" pid="9" name="MSIP_Label_b3b4ac1b-ad46-41e5-bbef-cfcc59b99d32_Extended_MSFT_Method">
    <vt:lpwstr>Automatic</vt:lpwstr>
  </property>
  <property fmtid="{D5CDD505-2E9C-101B-9397-08002B2CF9AE}" pid="10" name="Sensitivity">
    <vt:lpwstr>Confidential</vt:lpwstr>
  </property>
</Properties>
</file>