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after="360"/>
        <w:jc w:val="center"/>
      </w:pPr>
      <w:r>
        <w:rPr>
          <w:rFonts w:ascii="Times New Roman" w:hAnsi="Times New Roman"/>
          <w:color w:val="173B4F"/>
          <w:sz w:val="56"/>
        </w:rPr>
        <w:t>KubeView</w:t>
      </w:r>
    </w:p>
    <w:p>
      <w:pPr>
        <w:jc w:val="center"/>
      </w:pPr>
      <w:r>
        <w:rPr>
          <w:rFonts w:ascii="Times New Roman" w:hAnsi="Times New Roman"/>
          <w:color w:val="2E5E78"/>
          <w:sz w:val="36"/>
        </w:rPr>
        <w:t>Final project report</w:t>
      </w:r>
    </w:p>
    <w:p>
      <w:pPr>
        <w:spacing w:before="360"/>
        <w:jc w:val="center"/>
      </w:pPr>
      <w:r>
        <w:rPr>
          <w:rFonts w:ascii="Times New Roman" w:hAnsi="Times New Roman"/>
          <w:color w:val="5D6870"/>
          <w:sz w:val="22"/>
        </w:rPr>
        <w:t>Submitted in partial fulfilment of the requirements for</w:t>
      </w:r>
    </w:p>
    <w:p>
      <w:pPr>
        <w:jc w:val="center"/>
      </w:pPr>
      <w:r>
        <w:rPr>
          <w:rFonts w:ascii="Times New Roman" w:hAnsi="Times New Roman"/>
          <w:color w:val="202529"/>
          <w:sz w:val="26"/>
        </w:rPr>
        <w:t>BSc Computer Science (Online Mode)</w:t>
      </w:r>
    </w:p>
    <w:p>
      <w:pPr>
        <w:jc w:val="center"/>
      </w:pPr>
      <w:r>
        <w:rPr>
          <w:rFonts w:ascii="Times New Roman" w:hAnsi="Times New Roman"/>
          <w:color w:val="202529"/>
          <w:sz w:val="24"/>
        </w:rPr>
        <w:t>Birla Institute of Technology and Science, Pilani</w:t>
      </w:r>
    </w:p>
    <w:p>
      <w:pPr>
        <w:spacing w:after="60"/>
        <w:jc w:val="center"/>
      </w:pPr>
      <w:r>
        <w:rPr>
          <w:rFonts w:ascii="Times New Roman" w:hAnsi="Times New Roman"/>
          <w:b/>
          <w:color w:val="5D6870"/>
          <w:sz w:val="22"/>
        </w:rPr>
        <w:t xml:space="preserve">Student: </w:t>
      </w:r>
      <w:r>
        <w:rPr>
          <w:rFonts w:ascii="Times New Roman" w:hAnsi="Times New Roman"/>
          <w:color w:val="202529"/>
          <w:sz w:val="22"/>
        </w:rPr>
        <w:t>Ankur Kalita | 2023EBCS782</w:t>
      </w:r>
    </w:p>
    <w:p>
      <w:pPr>
        <w:spacing w:after="60"/>
        <w:jc w:val="center"/>
      </w:pPr>
      <w:r>
        <w:rPr>
          <w:rFonts w:ascii="Times New Roman" w:hAnsi="Times New Roman"/>
          <w:b/>
          <w:color w:val="5D6870"/>
          <w:sz w:val="22"/>
        </w:rPr>
        <w:t xml:space="preserve">Student: </w:t>
      </w:r>
      <w:r>
        <w:rPr>
          <w:rFonts w:ascii="Times New Roman" w:hAnsi="Times New Roman"/>
          <w:color w:val="202529"/>
          <w:sz w:val="22"/>
        </w:rPr>
        <w:t>Pradyut Fogla | 2023EBCS788</w:t>
      </w:r>
    </w:p>
    <w:p>
      <w:pPr>
        <w:spacing w:after="60"/>
        <w:jc w:val="center"/>
      </w:pPr>
      <w:r>
        <w:rPr>
          <w:rFonts w:ascii="Times New Roman" w:hAnsi="Times New Roman"/>
          <w:b/>
          <w:color w:val="5D6870"/>
          <w:sz w:val="22"/>
        </w:rPr>
        <w:t xml:space="preserve">Student: </w:t>
      </w:r>
      <w:r>
        <w:rPr>
          <w:rFonts w:ascii="Times New Roman" w:hAnsi="Times New Roman"/>
          <w:color w:val="202529"/>
          <w:sz w:val="22"/>
        </w:rPr>
        <w:t>Varun Deep Saini | 2023EBCS663</w:t>
      </w:r>
    </w:p>
    <w:p>
      <w:pPr>
        <w:spacing w:after="60"/>
        <w:jc w:val="center"/>
      </w:pPr>
      <w:r>
        <w:rPr>
          <w:rFonts w:ascii="Times New Roman" w:hAnsi="Times New Roman"/>
          <w:b/>
          <w:color w:val="5D6870"/>
          <w:sz w:val="22"/>
        </w:rPr>
        <w:t xml:space="preserve">Supervisor: </w:t>
      </w:r>
      <w:r>
        <w:rPr>
          <w:rFonts w:ascii="Times New Roman" w:hAnsi="Times New Roman"/>
          <w:b/>
          <w:color w:val="8A2D1F"/>
          <w:sz w:val="22"/>
          <w:highlight w:val="yellow"/>
        </w:rPr>
        <w:t>[PLACEHOLDER: supervisor name, designation and organization]</w:t>
      </w:r>
    </w:p>
    <w:p>
      <w:pPr>
        <w:spacing w:after="60"/>
        <w:jc w:val="center"/>
      </w:pPr>
      <w:r>
        <w:rPr>
          <w:rFonts w:ascii="Times New Roman" w:hAnsi="Times New Roman"/>
          <w:b/>
          <w:color w:val="5D6870"/>
          <w:sz w:val="22"/>
        </w:rPr>
        <w:t xml:space="preserve">Semester: </w:t>
      </w:r>
      <w:r>
        <w:rPr>
          <w:rFonts w:ascii="Times New Roman" w:hAnsi="Times New Roman"/>
          <w:b/>
          <w:color w:val="8A2D1F"/>
          <w:sz w:val="22"/>
          <w:highlight w:val="yellow"/>
        </w:rPr>
        <w:t>[PLACEHOLDER: semester and academic year]</w:t>
      </w:r>
    </w:p>
    <w:p>
      <w:pPr>
        <w:spacing w:after="60"/>
        <w:jc w:val="center"/>
      </w:pPr>
      <w:r>
        <w:rPr>
          <w:rFonts w:ascii="Times New Roman" w:hAnsi="Times New Roman"/>
          <w:b/>
          <w:color w:val="5D6870"/>
          <w:sz w:val="22"/>
        </w:rPr>
        <w:t xml:space="preserve">Submission date: </w:t>
      </w:r>
      <w:r>
        <w:rPr>
          <w:rFonts w:ascii="Times New Roman" w:hAnsi="Times New Roman"/>
          <w:b/>
          <w:color w:val="8A2D1F"/>
          <w:sz w:val="22"/>
          <w:highlight w:val="yellow"/>
        </w:rPr>
        <w:t>[PLACEHOLDER: submission date]</w:t>
      </w:r>
    </w:p>
    <w:p>
      <w:pPr>
        <w:spacing w:before="560"/>
        <w:jc w:val="center"/>
        <w:shd w:fill="FFF2CC"/>
      </w:pPr>
      <w:r>
        <w:rPr>
          <w:rFonts w:ascii="Times New Roman" w:hAnsi="Times New Roman"/>
          <w:b/>
          <w:color w:val="8A5A00"/>
          <w:sz w:val="20"/>
        </w:rPr>
        <w:t>SUPERVISOR REVIEW COPY | PLACEHOLDERS REMAIN | SOURCE BASELINE 8ee601c</w:t>
      </w:r>
    </w:p>
    <w:p>
      <w:r>
        <w:br w:type="page"/>
      </w:r>
    </w:p>
    <w:p>
      <w:pPr>
        <w:pStyle w:val="Heading1"/>
      </w:pPr>
      <w:r>
        <w:t>Supervisor certificate</w:t>
      </w:r>
    </w:p>
    <w:p>
      <w:r>
        <w:rPr>
          <w:rFonts w:ascii="Times New Roman" w:hAnsi="Times New Roman"/>
          <w:b/>
          <w:color w:val="8A2D1F"/>
          <w:highlight w:val="yellow"/>
        </w:rPr>
        <w:t>[PLACEHOLDER: insert the institution-approved certificate text]</w:t>
      </w:r>
    </w:p>
    <w:p>
      <w:r>
        <w:rPr>
          <w:rFonts w:ascii="Times New Roman" w:hAnsi="Times New Roman"/>
          <w:color w:val="202529"/>
        </w:rPr>
        <w:t xml:space="preserve">Supervisor signature: </w:t>
      </w:r>
      <w:r>
        <w:rPr>
          <w:rFonts w:ascii="Times New Roman" w:hAnsi="Times New Roman"/>
          <w:b/>
          <w:color w:val="8A2D1F"/>
          <w:highlight w:val="yellow"/>
        </w:rPr>
        <w:t>[PLACEHOLDER: wet or approved digital signature]</w:t>
      </w:r>
    </w:p>
    <w:p>
      <w:r>
        <w:rPr>
          <w:rFonts w:ascii="Times New Roman" w:hAnsi="Times New Roman"/>
          <w:color w:val="202529"/>
        </w:rPr>
        <w:t xml:space="preserve">Date: </w:t>
      </w:r>
      <w:r>
        <w:rPr>
          <w:rFonts w:ascii="Times New Roman" w:hAnsi="Times New Roman"/>
          <w:b/>
          <w:color w:val="8A2D1F"/>
          <w:highlight w:val="yellow"/>
        </w:rPr>
        <w:t>[PLACEHOLDER: signature date]</w:t>
      </w:r>
    </w:p>
    <w:p>
      <w:pPr>
        <w:pStyle w:val="Heading1"/>
      </w:pPr>
      <w:r>
        <w:t>Student declaration</w:t>
      </w:r>
    </w:p>
    <w:p>
      <w:r>
        <w:rPr>
          <w:rFonts w:ascii="Times New Roman" w:hAnsi="Times New Roman"/>
          <w:color w:val="202529"/>
        </w:rPr>
        <w:t>We hereby declare that this capstone project titled "KubeView" is an original work carried out by us and has not been submitted to any other university or institution for the award of any degree.</w:t>
      </w:r>
    </w:p>
    <w:p>
      <w:r>
        <w:rPr>
          <w:rFonts w:ascii="Times New Roman" w:hAnsi="Times New Roman"/>
          <w:color w:val="202529"/>
        </w:rPr>
        <w:t>This wording comes from the supplied capstone report format. The supervisor or institution may replace it if a separate prescribed declaration is required.</w:t>
      </w:r>
    </w:p>
    <w:p>
      <w:r>
        <w:rPr>
          <w:rFonts w:ascii="Times New Roman" w:hAnsi="Times New Roman"/>
          <w:color w:val="202529"/>
        </w:rPr>
        <w:t xml:space="preserve">The contribution and assistance statement must classify every repository contributor and disclose AI assistance according to institutional policy. The working evidence appears in </w:t>
      </w:r>
      <w:r>
        <w:rPr>
          <w:rFonts w:ascii="Consolas" w:hAnsi="Consolas"/>
          <w:color w:val="173B4F"/>
          <w:sz w:val="21"/>
        </w:rPr>
        <w:t>submission/inventories/CONTRIBUTION_SUMMARY.md</w:t>
      </w:r>
      <w:r>
        <w:rPr>
          <w:rFonts w:ascii="Times New Roman" w:hAnsi="Times New Roman"/>
          <w:color w:val="202529"/>
        </w:rPr>
        <w:t xml:space="preserve"> and </w:t>
      </w:r>
      <w:r>
        <w:rPr>
          <w:rFonts w:ascii="Consolas" w:hAnsi="Consolas"/>
          <w:color w:val="173B4F"/>
          <w:sz w:val="21"/>
        </w:rPr>
        <w:t>submission/drafts/COMPLIANCE_AND_ATTRIBUTION.md</w:t>
      </w:r>
      <w:r>
        <w:rPr>
          <w:rFonts w:ascii="Times New Roman" w:hAnsi="Times New Roman"/>
          <w:color w:val="202529"/>
        </w:rPr>
        <w:t>.</w:t>
      </w:r>
    </w:p>
    <w:p>
      <w:pPr>
        <w:pStyle w:val="Heading1"/>
      </w:pPr>
      <w:r>
        <w:t>Originality and compliance status</w:t>
      </w:r>
    </w:p>
    <w:p>
      <w:r>
        <w:rPr>
          <w:rFonts w:ascii="Times New Roman" w:hAnsi="Times New Roman"/>
          <w:color w:val="202529"/>
        </w:rPr>
        <w:t xml:space="preserve">An internal provenance audit was run on 28 August 2026 against source commit </w:t>
      </w:r>
      <w:r>
        <w:rPr>
          <w:rFonts w:ascii="Consolas" w:hAnsi="Consolas"/>
          <w:color w:val="173B4F"/>
          <w:sz w:val="21"/>
        </w:rPr>
        <w:t>8ee601c</w:t>
      </w:r>
      <w:r>
        <w:rPr>
          <w:rFonts w:ascii="Times New Roman" w:hAnsi="Times New Roman"/>
          <w:color w:val="202529"/>
        </w:rPr>
        <w:t xml:space="preserve"> and the current report draft. This is a preparation check, not an institution-approved plagiarism certificate.</w:t>
      </w:r>
    </w:p>
    <w:tbl>
      <w:tblPr>
        <w:tblStyle w:val="TableGrid"/>
        <w:tblW w:type="dxa" w:w="9360"/>
        <w:tblLayout w:type="fixed"/>
        <w:tblLook w:firstColumn="1" w:firstRow="1" w:lastColumn="0" w:lastRow="0" w:noHBand="0" w:noVBand="1" w:val="04A0"/>
        <w:jc w:val="left"/>
        <w:tblInd w:w="120" w:type="dxa"/>
      </w:tblPr>
      <w:tblGrid>
        <w:gridCol w:w="3370"/>
        <w:gridCol w:w="5990"/>
      </w:tblGrid>
      <w:tr>
        <w:trPr>
          <w:tblHeader w:val="true"/>
          <w:cantSplit/>
        </w:trPr>
        <w:tc>
          <w:tcPr>
            <w:tcW w:type="dxa" w:w="3370"/>
            <w:tcMar>
              <w:top w:w="80" w:type="dxa"/>
              <w:start w:w="120" w:type="dxa"/>
              <w:bottom w:w="80" w:type="dxa"/>
              <w:end w:w="120" w:type="dxa"/>
            </w:tcMar>
            <w:vAlign w:val="center"/>
            <w:shd w:fill="E8F0F4"/>
          </w:tcPr>
          <w:p>
            <w:pPr>
              <w:jc w:val="center"/>
            </w:pPr>
            <w:r>
              <w:rPr>
                <w:rFonts w:ascii="Times New Roman" w:hAnsi="Times New Roman"/>
                <w:b/>
                <w:color w:val="173B4F"/>
                <w:sz w:val="17"/>
              </w:rPr>
              <w:t>Internal check</w:t>
            </w:r>
          </w:p>
        </w:tc>
        <w:tc>
          <w:tcPr>
            <w:tcW w:type="dxa" w:w="5990"/>
            <w:tcMar>
              <w:top w:w="80" w:type="dxa"/>
              <w:start w:w="120" w:type="dxa"/>
              <w:bottom w:w="80" w:type="dxa"/>
              <w:end w:w="120" w:type="dxa"/>
            </w:tcMar>
            <w:vAlign w:val="center"/>
            <w:shd w:fill="E8F0F4"/>
          </w:tcPr>
          <w:p>
            <w:pPr>
              <w:jc w:val="center"/>
            </w:pPr>
            <w:r>
              <w:rPr>
                <w:rFonts w:ascii="Times New Roman" w:hAnsi="Times New Roman"/>
                <w:b/>
                <w:color w:val="173B4F"/>
                <w:sz w:val="17"/>
              </w:rPr>
              <w:t>Recorded result</w:t>
            </w:r>
          </w:p>
        </w:tc>
      </w:tr>
      <w:tr>
        <w:trPr>
          <w:cantSplit/>
        </w:trPr>
        <w:tc>
          <w:tcPr>
            <w:tcW w:type="dxa" w:w="3370"/>
            <w:tcMar>
              <w:top w:w="80" w:type="dxa"/>
              <w:start w:w="120" w:type="dxa"/>
              <w:bottom w:w="80" w:type="dxa"/>
              <w:end w:w="120" w:type="dxa"/>
            </w:tcMar>
            <w:vAlign w:val="center"/>
          </w:tcPr>
          <w:p>
            <w:pPr>
              <w:jc w:val="left"/>
            </w:pPr>
            <w:r>
              <w:rPr>
                <w:rFonts w:ascii="Times New Roman" w:hAnsi="Times New Roman"/>
                <w:color w:val="202529"/>
                <w:sz w:val="17"/>
              </w:rPr>
              <w:t>Frozen source scope</w:t>
            </w:r>
          </w:p>
        </w:tc>
        <w:tc>
          <w:tcPr>
            <w:tcW w:type="dxa" w:w="5990"/>
            <w:tcMar>
              <w:top w:w="80" w:type="dxa"/>
              <w:start w:w="120" w:type="dxa"/>
              <w:bottom w:w="80" w:type="dxa"/>
              <w:end w:w="120" w:type="dxa"/>
            </w:tcMar>
            <w:vAlign w:val="center"/>
          </w:tcPr>
          <w:p>
            <w:pPr>
              <w:jc w:val="left"/>
            </w:pPr>
            <w:r>
              <w:rPr>
                <w:rFonts w:ascii="Times New Roman" w:hAnsi="Times New Roman"/>
                <w:color w:val="202529"/>
                <w:sz w:val="17"/>
              </w:rPr>
              <w:t>127 Git-tracked files</w:t>
            </w:r>
          </w:p>
        </w:tc>
      </w:tr>
      <w:tr>
        <w:trPr>
          <w:cantSplit/>
        </w:trPr>
        <w:tc>
          <w:tcPr>
            <w:tcW w:type="dxa" w:w="3370"/>
            <w:tcMar>
              <w:top w:w="80" w:type="dxa"/>
              <w:start w:w="120" w:type="dxa"/>
              <w:bottom w:w="80" w:type="dxa"/>
              <w:end w:w="120" w:type="dxa"/>
            </w:tcMar>
            <w:vAlign w:val="center"/>
          </w:tcPr>
          <w:p>
            <w:pPr>
              <w:jc w:val="left"/>
            </w:pPr>
            <w:r>
              <w:rPr>
                <w:rFonts w:ascii="Times New Roman" w:hAnsi="Times New Roman"/>
                <w:color w:val="202529"/>
                <w:sz w:val="17"/>
              </w:rPr>
              <w:t>Git history</w:t>
            </w:r>
          </w:p>
        </w:tc>
        <w:tc>
          <w:tcPr>
            <w:tcW w:type="dxa" w:w="5990"/>
            <w:tcMar>
              <w:top w:w="80" w:type="dxa"/>
              <w:start w:w="120" w:type="dxa"/>
              <w:bottom w:w="80" w:type="dxa"/>
              <w:end w:w="120" w:type="dxa"/>
            </w:tcMar>
            <w:vAlign w:val="center"/>
          </w:tcPr>
          <w:p>
            <w:pPr>
              <w:jc w:val="left"/>
            </w:pPr>
            <w:r>
              <w:rPr>
                <w:rFonts w:ascii="Times New Roman" w:hAnsi="Times New Roman"/>
                <w:color w:val="202529"/>
                <w:sz w:val="17"/>
              </w:rPr>
              <w:t>27 commits and six recorded author identities or aliases</w:t>
            </w:r>
          </w:p>
        </w:tc>
      </w:tr>
      <w:tr>
        <w:trPr>
          <w:cantSplit/>
        </w:trPr>
        <w:tc>
          <w:tcPr>
            <w:tcW w:type="dxa" w:w="3370"/>
            <w:tcMar>
              <w:top w:w="80" w:type="dxa"/>
              <w:start w:w="120" w:type="dxa"/>
              <w:bottom w:w="80" w:type="dxa"/>
              <w:end w:w="120" w:type="dxa"/>
            </w:tcMar>
            <w:vAlign w:val="center"/>
          </w:tcPr>
          <w:p>
            <w:pPr>
              <w:jc w:val="left"/>
            </w:pPr>
            <w:r>
              <w:rPr>
                <w:rFonts w:ascii="Times New Roman" w:hAnsi="Times New Roman"/>
                <w:color w:val="202529"/>
                <w:sz w:val="17"/>
              </w:rPr>
              <w:t>Dependency inventory</w:t>
            </w:r>
          </w:p>
        </w:tc>
        <w:tc>
          <w:tcPr>
            <w:tcW w:type="dxa" w:w="5990"/>
            <w:tcMar>
              <w:top w:w="80" w:type="dxa"/>
              <w:start w:w="120" w:type="dxa"/>
              <w:bottom w:w="80" w:type="dxa"/>
              <w:end w:w="120" w:type="dxa"/>
            </w:tcMar>
            <w:vAlign w:val="center"/>
          </w:tcPr>
          <w:p>
            <w:pPr>
              <w:jc w:val="left"/>
            </w:pPr>
            <w:r>
              <w:rPr>
                <w:rFonts w:ascii="Times New Roman" w:hAnsi="Times New Roman"/>
                <w:color w:val="202529"/>
                <w:sz w:val="17"/>
              </w:rPr>
              <w:t>591 Go and npm package installation rows</w:t>
            </w:r>
          </w:p>
        </w:tc>
      </w:tr>
      <w:tr>
        <w:trPr>
          <w:cantSplit/>
        </w:trPr>
        <w:tc>
          <w:tcPr>
            <w:tcW w:type="dxa" w:w="3370"/>
            <w:tcMar>
              <w:top w:w="80" w:type="dxa"/>
              <w:start w:w="120" w:type="dxa"/>
              <w:bottom w:w="80" w:type="dxa"/>
              <w:end w:w="120" w:type="dxa"/>
            </w:tcMar>
            <w:vAlign w:val="center"/>
          </w:tcPr>
          <w:p>
            <w:pPr>
              <w:jc w:val="left"/>
            </w:pPr>
            <w:r>
              <w:rPr>
                <w:rFonts w:ascii="Times New Roman" w:hAnsi="Times New Roman"/>
                <w:color w:val="202529"/>
                <w:sz w:val="17"/>
              </w:rPr>
              <w:t>Attribution-marker scan</w:t>
            </w:r>
          </w:p>
        </w:tc>
        <w:tc>
          <w:tcPr>
            <w:tcW w:type="dxa" w:w="5990"/>
            <w:tcMar>
              <w:top w:w="80" w:type="dxa"/>
              <w:start w:w="120" w:type="dxa"/>
              <w:bottom w:w="80" w:type="dxa"/>
              <w:end w:w="120" w:type="dxa"/>
            </w:tcMar>
            <w:vAlign w:val="center"/>
          </w:tcPr>
          <w:p>
            <w:pPr>
              <w:jc w:val="left"/>
            </w:pPr>
            <w:r>
              <w:rPr>
                <w:rFonts w:ascii="Times New Roman" w:hAnsi="Times New Roman"/>
                <w:color w:val="202529"/>
                <w:sz w:val="17"/>
              </w:rPr>
              <w:t>No embedded copyright, generated-code, or copied/adapted-source marker found outside dependency metadata</w:t>
            </w:r>
          </w:p>
        </w:tc>
      </w:tr>
      <w:tr>
        <w:trPr>
          <w:cantSplit/>
        </w:trPr>
        <w:tc>
          <w:tcPr>
            <w:tcW w:type="dxa" w:w="3370"/>
            <w:tcMar>
              <w:top w:w="80" w:type="dxa"/>
              <w:start w:w="120" w:type="dxa"/>
              <w:bottom w:w="80" w:type="dxa"/>
              <w:end w:w="120" w:type="dxa"/>
            </w:tcMar>
            <w:vAlign w:val="center"/>
          </w:tcPr>
          <w:p>
            <w:pPr>
              <w:jc w:val="left"/>
            </w:pPr>
            <w:r>
              <w:rPr>
                <w:rFonts w:ascii="Times New Roman" w:hAnsi="Times New Roman"/>
                <w:color w:val="202529"/>
                <w:sz w:val="17"/>
              </w:rPr>
              <w:t>Exact long-paragraph comparison</w:t>
            </w:r>
          </w:p>
        </w:tc>
        <w:tc>
          <w:tcPr>
            <w:tcW w:type="dxa" w:w="5990"/>
            <w:tcMar>
              <w:top w:w="80" w:type="dxa"/>
              <w:start w:w="120" w:type="dxa"/>
              <w:bottom w:w="80" w:type="dxa"/>
              <w:end w:w="120" w:type="dxa"/>
            </w:tcMar>
            <w:vAlign w:val="center"/>
          </w:tcPr>
          <w:p>
            <w:pPr>
              <w:jc w:val="left"/>
            </w:pPr>
            <w:r>
              <w:rPr>
                <w:rFonts w:ascii="Times New Roman" w:hAnsi="Times New Roman"/>
                <w:color w:val="202529"/>
                <w:sz w:val="17"/>
              </w:rPr>
              <w:t>One repeated paragraph, the stated UVP shared by this report and the project summary</w:t>
            </w:r>
          </w:p>
        </w:tc>
      </w:tr>
      <w:tr>
        <w:trPr>
          <w:cantSplit/>
        </w:trPr>
        <w:tc>
          <w:tcPr>
            <w:tcW w:type="dxa" w:w="3370"/>
            <w:tcMar>
              <w:top w:w="80" w:type="dxa"/>
              <w:start w:w="120" w:type="dxa"/>
              <w:bottom w:w="80" w:type="dxa"/>
              <w:end w:w="120" w:type="dxa"/>
            </w:tcMar>
            <w:vAlign w:val="center"/>
          </w:tcPr>
          <w:p>
            <w:pPr>
              <w:jc w:val="left"/>
            </w:pPr>
            <w:r>
              <w:rPr>
                <w:rFonts w:ascii="Times New Roman" w:hAnsi="Times New Roman"/>
                <w:color w:val="202529"/>
                <w:sz w:val="17"/>
              </w:rPr>
              <w:t>Numbered references in this report</w:t>
            </w:r>
          </w:p>
        </w:tc>
        <w:tc>
          <w:tcPr>
            <w:tcW w:type="dxa" w:w="5990"/>
            <w:tcMar>
              <w:top w:w="80" w:type="dxa"/>
              <w:start w:w="120" w:type="dxa"/>
              <w:bottom w:w="80" w:type="dxa"/>
              <w:end w:w="120" w:type="dxa"/>
            </w:tcMar>
            <w:vAlign w:val="center"/>
          </w:tcPr>
          <w:p>
            <w:pPr>
              <w:jc w:val="left"/>
            </w:pPr>
            <w:r>
              <w:rPr>
                <w:rFonts w:ascii="Times New Roman" w:hAnsi="Times New Roman"/>
                <w:color w:val="202529"/>
                <w:sz w:val="17"/>
              </w:rPr>
              <w:t>17</w:t>
            </w:r>
          </w:p>
        </w:tc>
      </w:tr>
      <w:tr>
        <w:trPr>
          <w:cantSplit/>
        </w:trPr>
        <w:tc>
          <w:tcPr>
            <w:tcW w:type="dxa" w:w="3370"/>
            <w:tcMar>
              <w:top w:w="80" w:type="dxa"/>
              <w:start w:w="120" w:type="dxa"/>
              <w:bottom w:w="80" w:type="dxa"/>
              <w:end w:w="120" w:type="dxa"/>
            </w:tcMar>
            <w:vAlign w:val="center"/>
          </w:tcPr>
          <w:p>
            <w:pPr>
              <w:jc w:val="left"/>
            </w:pPr>
            <w:r>
              <w:rPr>
                <w:rFonts w:ascii="Times New Roman" w:hAnsi="Times New Roman"/>
                <w:color w:val="202529"/>
                <w:sz w:val="17"/>
              </w:rPr>
              <w:t>Top-level project licence</w:t>
            </w:r>
          </w:p>
        </w:tc>
        <w:tc>
          <w:tcPr>
            <w:tcW w:type="dxa" w:w="5990"/>
            <w:tcMar>
              <w:top w:w="80" w:type="dxa"/>
              <w:start w:w="120" w:type="dxa"/>
              <w:bottom w:w="80" w:type="dxa"/>
              <w:end w:w="120" w:type="dxa"/>
            </w:tcMar>
            <w:vAlign w:val="center"/>
          </w:tcPr>
          <w:p>
            <w:pPr>
              <w:jc w:val="left"/>
            </w:pPr>
            <w:r>
              <w:rPr>
                <w:rFonts w:ascii="Times New Roman" w:hAnsi="Times New Roman"/>
                <w:color w:val="202529"/>
                <w:sz w:val="17"/>
              </w:rPr>
              <w:t>Absent at the frozen commit</w:t>
            </w:r>
          </w:p>
        </w:tc>
      </w:tr>
    </w:tbl>
    <w:p>
      <w:pPr>
        <w:spacing w:after="0"/>
      </w:pPr>
    </w:p>
    <w:p>
      <w:r>
        <w:rPr>
          <w:rFonts w:ascii="Times New Roman" w:hAnsi="Times New Roman"/>
          <w:color w:val="202529"/>
        </w:rPr>
        <w:t xml:space="preserve">The scan cannot establish originality against publications, websites, private repositories, or institutional databases. The five unused SVG starter assets under </w:t>
      </w:r>
      <w:r>
        <w:rPr>
          <w:rFonts w:ascii="Consolas" w:hAnsi="Consolas"/>
          <w:color w:val="173B4F"/>
          <w:sz w:val="21"/>
        </w:rPr>
        <w:t>kubeview-frontend/public/</w:t>
      </w:r>
      <w:r>
        <w:rPr>
          <w:rFonts w:ascii="Times New Roman" w:hAnsi="Times New Roman"/>
          <w:color w:val="202529"/>
        </w:rPr>
        <w:t xml:space="preserve"> must be removed before release or attributed if retained. Contributor roles and project distribution terms also remain open.</w:t>
      </w:r>
    </w:p>
    <w:tbl>
      <w:tblPr>
        <w:tblStyle w:val="TableGrid"/>
        <w:tblW w:type="dxa" w:w="9360"/>
        <w:tblLayout w:type="fixed"/>
        <w:tblLook w:firstColumn="1" w:firstRow="1" w:lastColumn="0" w:lastRow="0" w:noHBand="0" w:noVBand="1" w:val="04A0"/>
        <w:jc w:val="left"/>
        <w:tblInd w:w="120" w:type="dxa"/>
      </w:tblPr>
      <w:tblGrid>
        <w:gridCol w:w="3370"/>
        <w:gridCol w:w="5990"/>
      </w:tblGrid>
      <w:tr>
        <w:trPr>
          <w:tblHeader w:val="true"/>
          <w:cantSplit/>
        </w:trPr>
        <w:tc>
          <w:tcPr>
            <w:tcW w:type="dxa" w:w="3370"/>
            <w:tcMar>
              <w:top w:w="80" w:type="dxa"/>
              <w:start w:w="120" w:type="dxa"/>
              <w:bottom w:w="80" w:type="dxa"/>
              <w:end w:w="120" w:type="dxa"/>
            </w:tcMar>
            <w:vAlign w:val="center"/>
            <w:shd w:fill="E8F0F4"/>
          </w:tcPr>
          <w:p>
            <w:pPr>
              <w:jc w:val="center"/>
            </w:pPr>
            <w:r>
              <w:rPr>
                <w:rFonts w:ascii="Times New Roman" w:hAnsi="Times New Roman"/>
                <w:b/>
                <w:color w:val="173B4F"/>
                <w:sz w:val="17"/>
              </w:rPr>
              <w:t>Required external result</w:t>
            </w:r>
          </w:p>
        </w:tc>
        <w:tc>
          <w:tcPr>
            <w:tcW w:type="dxa" w:w="5990"/>
            <w:tcMar>
              <w:top w:w="80" w:type="dxa"/>
              <w:start w:w="120" w:type="dxa"/>
              <w:bottom w:w="80" w:type="dxa"/>
              <w:end w:w="120" w:type="dxa"/>
            </w:tcMar>
            <w:vAlign w:val="center"/>
            <w:shd w:fill="E8F0F4"/>
          </w:tcPr>
          <w:p>
            <w:pPr>
              <w:jc w:val="center"/>
            </w:pPr>
            <w:r>
              <w:rPr>
                <w:rFonts w:ascii="Times New Roman" w:hAnsi="Times New Roman"/>
                <w:b/>
                <w:color w:val="173B4F"/>
                <w:sz w:val="17"/>
              </w:rPr>
              <w:t>Value for supervisor review</w:t>
            </w:r>
          </w:p>
        </w:tc>
      </w:tr>
      <w:tr>
        <w:trPr>
          <w:cantSplit/>
        </w:trPr>
        <w:tc>
          <w:tcPr>
            <w:tcW w:type="dxa" w:w="3370"/>
            <w:tcMar>
              <w:top w:w="80" w:type="dxa"/>
              <w:start w:w="120" w:type="dxa"/>
              <w:bottom w:w="80" w:type="dxa"/>
              <w:end w:w="120" w:type="dxa"/>
            </w:tcMar>
            <w:vAlign w:val="center"/>
          </w:tcPr>
          <w:p>
            <w:pPr>
              <w:jc w:val="left"/>
            </w:pPr>
            <w:r>
              <w:rPr>
                <w:rFonts w:ascii="Times New Roman" w:hAnsi="Times New Roman"/>
                <w:color w:val="202529"/>
                <w:sz w:val="17"/>
              </w:rPr>
              <w:t>Institution-approved document similarity tool</w:t>
            </w:r>
          </w:p>
        </w:tc>
        <w:tc>
          <w:tcPr>
            <w:tcW w:type="dxa" w:w="5990"/>
            <w:tcMar>
              <w:top w:w="80" w:type="dxa"/>
              <w:start w:w="120" w:type="dxa"/>
              <w:bottom w:w="80" w:type="dxa"/>
              <w:end w:w="120" w:type="dxa"/>
            </w:tcMar>
            <w:vAlign w:val="center"/>
          </w:tcPr>
          <w:p>
            <w:pPr>
              <w:jc w:val="left"/>
            </w:pPr>
            <w:r>
              <w:rPr>
                <w:rFonts w:ascii="Times New Roman" w:hAnsi="Times New Roman"/>
                <w:b/>
                <w:color w:val="8A2D1F"/>
                <w:sz w:val="17"/>
                <w:highlight w:val="yellow"/>
              </w:rPr>
              <w:t>[PLACEHOLDER: tool and version]</w:t>
            </w:r>
          </w:p>
        </w:tc>
      </w:tr>
      <w:tr>
        <w:trPr>
          <w:cantSplit/>
        </w:trPr>
        <w:tc>
          <w:tcPr>
            <w:tcW w:type="dxa" w:w="3370"/>
            <w:tcMar>
              <w:top w:w="80" w:type="dxa"/>
              <w:start w:w="120" w:type="dxa"/>
              <w:bottom w:w="80" w:type="dxa"/>
              <w:end w:w="120" w:type="dxa"/>
            </w:tcMar>
            <w:vAlign w:val="center"/>
          </w:tcPr>
          <w:p>
            <w:pPr>
              <w:jc w:val="left"/>
            </w:pPr>
            <w:r>
              <w:rPr>
                <w:rFonts w:ascii="Times New Roman" w:hAnsi="Times New Roman"/>
                <w:color w:val="202529"/>
                <w:sz w:val="17"/>
              </w:rPr>
              <w:t>Document similarity result</w:t>
            </w:r>
          </w:p>
        </w:tc>
        <w:tc>
          <w:tcPr>
            <w:tcW w:type="dxa" w:w="5990"/>
            <w:tcMar>
              <w:top w:w="80" w:type="dxa"/>
              <w:start w:w="120" w:type="dxa"/>
              <w:bottom w:w="80" w:type="dxa"/>
              <w:end w:w="120" w:type="dxa"/>
            </w:tcMar>
            <w:vAlign w:val="center"/>
          </w:tcPr>
          <w:p>
            <w:pPr>
              <w:jc w:val="left"/>
            </w:pPr>
            <w:r>
              <w:rPr>
                <w:rFonts w:ascii="Times New Roman" w:hAnsi="Times New Roman"/>
                <w:b/>
                <w:color w:val="8A2D1F"/>
                <w:sz w:val="17"/>
                <w:highlight w:val="yellow"/>
              </w:rPr>
              <w:t>[PLACEHOLDER: percentage, date and report filename]</w:t>
            </w:r>
          </w:p>
        </w:tc>
      </w:tr>
      <w:tr>
        <w:trPr>
          <w:cantSplit/>
        </w:trPr>
        <w:tc>
          <w:tcPr>
            <w:tcW w:type="dxa" w:w="3370"/>
            <w:tcMar>
              <w:top w:w="80" w:type="dxa"/>
              <w:start w:w="120" w:type="dxa"/>
              <w:bottom w:w="80" w:type="dxa"/>
              <w:end w:w="120" w:type="dxa"/>
            </w:tcMar>
            <w:vAlign w:val="center"/>
          </w:tcPr>
          <w:p>
            <w:pPr>
              <w:jc w:val="left"/>
            </w:pPr>
            <w:r>
              <w:rPr>
                <w:rFonts w:ascii="Times New Roman" w:hAnsi="Times New Roman"/>
                <w:color w:val="202529"/>
                <w:sz w:val="17"/>
              </w:rPr>
              <w:t>Institution-approved code compliance method</w:t>
            </w:r>
          </w:p>
        </w:tc>
        <w:tc>
          <w:tcPr>
            <w:tcW w:type="dxa" w:w="5990"/>
            <w:tcMar>
              <w:top w:w="80" w:type="dxa"/>
              <w:start w:w="120" w:type="dxa"/>
              <w:bottom w:w="80" w:type="dxa"/>
              <w:end w:w="120" w:type="dxa"/>
            </w:tcMar>
            <w:vAlign w:val="center"/>
          </w:tcPr>
          <w:p>
            <w:pPr>
              <w:jc w:val="left"/>
            </w:pPr>
            <w:r>
              <w:rPr>
                <w:rFonts w:ascii="Times New Roman" w:hAnsi="Times New Roman"/>
                <w:b/>
                <w:color w:val="8A2D1F"/>
                <w:sz w:val="17"/>
                <w:highlight w:val="yellow"/>
              </w:rPr>
              <w:t>[PLACEHOLDER: tool, process or declaration]</w:t>
            </w:r>
          </w:p>
        </w:tc>
      </w:tr>
      <w:tr>
        <w:trPr>
          <w:cantSplit/>
        </w:trPr>
        <w:tc>
          <w:tcPr>
            <w:tcW w:type="dxa" w:w="3370"/>
            <w:tcMar>
              <w:top w:w="80" w:type="dxa"/>
              <w:start w:w="120" w:type="dxa"/>
              <w:bottom w:w="80" w:type="dxa"/>
              <w:end w:w="120" w:type="dxa"/>
            </w:tcMar>
            <w:vAlign w:val="center"/>
          </w:tcPr>
          <w:p>
            <w:pPr>
              <w:jc w:val="left"/>
            </w:pPr>
            <w:r>
              <w:rPr>
                <w:rFonts w:ascii="Times New Roman" w:hAnsi="Times New Roman"/>
                <w:color w:val="202529"/>
                <w:sz w:val="17"/>
              </w:rPr>
              <w:t>Code similarity or compliance result</w:t>
            </w:r>
          </w:p>
        </w:tc>
        <w:tc>
          <w:tcPr>
            <w:tcW w:type="dxa" w:w="5990"/>
            <w:tcMar>
              <w:top w:w="80" w:type="dxa"/>
              <w:start w:w="120" w:type="dxa"/>
              <w:bottom w:w="80" w:type="dxa"/>
              <w:end w:w="120" w:type="dxa"/>
            </w:tcMar>
            <w:vAlign w:val="center"/>
          </w:tcPr>
          <w:p>
            <w:pPr>
              <w:jc w:val="left"/>
            </w:pPr>
            <w:r>
              <w:rPr>
                <w:rFonts w:ascii="Times New Roman" w:hAnsi="Times New Roman"/>
                <w:b/>
                <w:color w:val="8A2D1F"/>
                <w:sz w:val="17"/>
                <w:highlight w:val="yellow"/>
              </w:rPr>
              <w:t>[PLACEHOLDER: result, date and report filename]</w:t>
            </w:r>
          </w:p>
        </w:tc>
      </w:tr>
      <w:tr>
        <w:trPr>
          <w:cantSplit/>
        </w:trPr>
        <w:tc>
          <w:tcPr>
            <w:tcW w:type="dxa" w:w="3370"/>
            <w:tcMar>
              <w:top w:w="80" w:type="dxa"/>
              <w:start w:w="120" w:type="dxa"/>
              <w:bottom w:w="80" w:type="dxa"/>
              <w:end w:w="120" w:type="dxa"/>
            </w:tcMar>
            <w:vAlign w:val="center"/>
          </w:tcPr>
          <w:p>
            <w:pPr>
              <w:jc w:val="left"/>
            </w:pPr>
            <w:r>
              <w:rPr>
                <w:rFonts w:ascii="Times New Roman" w:hAnsi="Times New Roman"/>
                <w:color w:val="202529"/>
                <w:sz w:val="17"/>
              </w:rPr>
              <w:t>Explanation of legitimate matches</w:t>
            </w:r>
          </w:p>
        </w:tc>
        <w:tc>
          <w:tcPr>
            <w:tcW w:type="dxa" w:w="5990"/>
            <w:tcMar>
              <w:top w:w="80" w:type="dxa"/>
              <w:start w:w="120" w:type="dxa"/>
              <w:bottom w:w="80" w:type="dxa"/>
              <w:end w:w="120" w:type="dxa"/>
            </w:tcMar>
            <w:vAlign w:val="center"/>
          </w:tcPr>
          <w:p>
            <w:pPr>
              <w:jc w:val="left"/>
            </w:pPr>
            <w:r>
              <w:rPr>
                <w:rFonts w:ascii="Times New Roman" w:hAnsi="Times New Roman"/>
                <w:b/>
                <w:color w:val="8A2D1F"/>
                <w:sz w:val="17"/>
                <w:highlight w:val="yellow"/>
              </w:rPr>
              <w:t>[PLACEHOLDER: supervisor-reviewed explanation]</w:t>
            </w:r>
          </w:p>
        </w:tc>
      </w:tr>
      <w:tr>
        <w:trPr>
          <w:cantSplit/>
        </w:trPr>
        <w:tc>
          <w:tcPr>
            <w:tcW w:type="dxa" w:w="3370"/>
            <w:tcMar>
              <w:top w:w="80" w:type="dxa"/>
              <w:start w:w="120" w:type="dxa"/>
              <w:bottom w:w="80" w:type="dxa"/>
              <w:end w:w="120" w:type="dxa"/>
            </w:tcMar>
            <w:vAlign w:val="center"/>
          </w:tcPr>
          <w:p>
            <w:pPr>
              <w:jc w:val="left"/>
            </w:pPr>
            <w:r>
              <w:rPr>
                <w:rFonts w:ascii="Times New Roman" w:hAnsi="Times New Roman"/>
                <w:color w:val="202529"/>
                <w:sz w:val="17"/>
              </w:rPr>
              <w:t>Supervisor acceptance</w:t>
            </w:r>
          </w:p>
        </w:tc>
        <w:tc>
          <w:tcPr>
            <w:tcW w:type="dxa" w:w="5990"/>
            <w:tcMar>
              <w:top w:w="80" w:type="dxa"/>
              <w:start w:w="120" w:type="dxa"/>
              <w:bottom w:w="80" w:type="dxa"/>
              <w:end w:w="120" w:type="dxa"/>
            </w:tcMar>
            <w:vAlign w:val="center"/>
          </w:tcPr>
          <w:p>
            <w:pPr>
              <w:jc w:val="left"/>
            </w:pPr>
            <w:r>
              <w:rPr>
                <w:rFonts w:ascii="Times New Roman" w:hAnsi="Times New Roman"/>
                <w:b/>
                <w:color w:val="8A2D1F"/>
                <w:sz w:val="17"/>
                <w:highlight w:val="yellow"/>
              </w:rPr>
              <w:t>[PLACEHOLDER: accepted, revisions required, or rejected]</w:t>
            </w:r>
          </w:p>
        </w:tc>
      </w:tr>
    </w:tbl>
    <w:p>
      <w:pPr>
        <w:spacing w:after="0"/>
      </w:pPr>
    </w:p>
    <w:p>
      <w:r>
        <w:rPr>
          <w:rFonts w:ascii="Times New Roman" w:hAnsi="Times New Roman"/>
          <w:color w:val="202529"/>
        </w:rPr>
        <w:t xml:space="preserve">The complete internal audit is retained in </w:t>
      </w:r>
      <w:r>
        <w:rPr>
          <w:rFonts w:ascii="Consolas" w:hAnsi="Consolas"/>
          <w:color w:val="173B4F"/>
          <w:sz w:val="21"/>
        </w:rPr>
        <w:t>submission/compliance/INTERNAL_ORIGINALITY_AUDIT.md</w:t>
      </w:r>
      <w:r>
        <w:rPr>
          <w:rFonts w:ascii="Times New Roman" w:hAnsi="Times New Roman"/>
          <w:color w:val="202529"/>
        </w:rPr>
        <w:t>. Do not estimate or invent an external similarity percentage.</w:t>
      </w:r>
    </w:p>
    <w:p>
      <w:pPr>
        <w:pStyle w:val="Heading1"/>
      </w:pPr>
      <w:r>
        <w:t>Acknowledgements</w:t>
      </w:r>
    </w:p>
    <w:p>
      <w:r>
        <w:rPr>
          <w:rFonts w:ascii="Times New Roman" w:hAnsi="Times New Roman"/>
          <w:b/>
          <w:color w:val="8A2D1F"/>
          <w:highlight w:val="yellow"/>
        </w:rPr>
        <w:t>[PLACEHOLDER: acknowledgements approved by the student and supervisor]</w:t>
      </w:r>
    </w:p>
    <w:p>
      <w:pPr>
        <w:pStyle w:val="Heading1"/>
      </w:pPr>
      <w:r>
        <w:t>Abstract</w:t>
      </w:r>
    </w:p>
    <w:p>
      <w:r>
        <w:rPr>
          <w:rFonts w:ascii="Times New Roman" w:hAnsi="Times New Roman"/>
          <w:color w:val="202529"/>
        </w:rPr>
        <w:t>Kubernetes exposes workload and infrastructure state through an API and command-line tools. A diagnosis often requires several commands for resource lists, object detail, events, logs, and context switching. The commands show current state well, but a short-lived failure can disappear before a user records it. Full monitoring platforms retain operational data, although their deployment and maintenance can exceed the needs of a local cluster, teaching environment, or focused inspection session.</w:t>
      </w:r>
    </w:p>
    <w:p>
      <w:r>
        <w:rPr>
          <w:rFonts w:ascii="Times New Roman" w:hAnsi="Times New Roman"/>
          <w:color w:val="202529"/>
        </w:rPr>
        <w:t>KubeView is a read-only web application for this narrower need. A Next.js frontend displays Kubernetes resources, while a Go backend uses the official Kubernetes client libraries to list objects, watch changes, and stream pod logs. The application supports multiple kubeconfig contexts. A local bbolt flight recorder retains versioned resource state for 72 hours by default and reconstructs cluster state at a selected time. Users can compare two moments and relate object changes to Kubernetes events.</w:t>
      </w:r>
    </w:p>
    <w:p>
      <w:r>
        <w:rPr>
          <w:rFonts w:ascii="Times New Roman" w:hAnsi="Times New Roman"/>
          <w:color w:val="202529"/>
        </w:rPr>
        <w:t>The implementation separates bounded requests from long-running streams, validates requested contexts, and isolates history by context. Kubernetes watch events reach the browser through Server-Sent Events. The frontend combines an initial list with later events and refreshes after reconnection to recover missed changes. The in-cluster deployment uses read-only RBAC, non-root containers, read-only root filesystems, and a NetworkPolicy. KubeView has no user authentication, so operators must place it behind a protected access path.</w:t>
      </w:r>
    </w:p>
    <w:p>
      <w:r>
        <w:rPr>
          <w:rFonts w:ascii="Times New Roman" w:hAnsi="Times New Roman"/>
          <w:color w:val="202529"/>
        </w:rPr>
        <w:t xml:space="preserve">Validation for commit </w:t>
      </w:r>
      <w:r>
        <w:rPr>
          <w:rFonts w:ascii="Consolas" w:hAnsi="Consolas"/>
          <w:color w:val="173B4F"/>
          <w:sz w:val="21"/>
        </w:rPr>
        <w:t>8ee601c</w:t>
      </w:r>
      <w:r>
        <w:rPr>
          <w:rFonts w:ascii="Times New Roman" w:hAnsi="Times New Roman"/>
          <w:color w:val="202529"/>
        </w:rPr>
        <w:t xml:space="preserve"> includes 227 Go test functions, 60 Vitest cases, and 45 Playwright cases. A retained GitHub Actions run completed six jobs covering backend tests, static analysis, frontend checks and build, CodeQL, and end-to-end tests against a real </w:t>
      </w:r>
      <w:r>
        <w:rPr>
          <w:rFonts w:ascii="Consolas" w:hAnsi="Consolas"/>
          <w:color w:val="173B4F"/>
          <w:sz w:val="21"/>
        </w:rPr>
        <w:t>kind</w:t>
      </w:r>
      <w:r>
        <w:rPr>
          <w:rFonts w:ascii="Times New Roman" w:hAnsi="Times New Roman"/>
          <w:color w:val="202529"/>
        </w:rPr>
        <w:t xml:space="preserve"> cluster. Accessibility, performance, clean-installation evidence, and a retained coverage percentage remain open. KubeView supports live and recent historical diagnosis but does not replace metrics, alerting, tracing, long-term log storage, or production access control.</w:t>
      </w:r>
    </w:p>
    <w:p>
      <w:r>
        <w:rPr>
          <w:rFonts w:ascii="Times New Roman" w:hAnsi="Times New Roman"/>
          <w:color w:val="202529"/>
        </w:rPr>
        <w:t>Keywords: Kubernetes, cluster inspection, Server-Sent Events, client-go, bbolt, time travel, Next.js, Go</w:t>
      </w:r>
    </w:p>
    <w:p>
      <w:pPr>
        <w:pStyle w:val="Heading1"/>
      </w:pPr>
      <w:r>
        <w:t>Abbreviations</w:t>
      </w:r>
    </w:p>
    <w:tbl>
      <w:tblPr>
        <w:tblStyle w:val="TableGrid"/>
        <w:tblW w:type="dxa" w:w="9360"/>
        <w:tblLayout w:type="fixed"/>
        <w:tblLook w:firstColumn="1" w:firstRow="1" w:lastColumn="0" w:lastRow="0" w:noHBand="0" w:noVBand="1" w:val="04A0"/>
        <w:jc w:val="left"/>
        <w:tblInd w:w="120" w:type="dxa"/>
      </w:tblPr>
      <w:tblGrid>
        <w:gridCol w:w="3370"/>
        <w:gridCol w:w="5990"/>
      </w:tblGrid>
      <w:tr>
        <w:trPr>
          <w:tblHeader w:val="true"/>
          <w:cantSplit/>
        </w:trPr>
        <w:tc>
          <w:tcPr>
            <w:tcW w:type="dxa" w:w="3370"/>
            <w:tcMar>
              <w:top w:w="80" w:type="dxa"/>
              <w:start w:w="120" w:type="dxa"/>
              <w:bottom w:w="80" w:type="dxa"/>
              <w:end w:w="120" w:type="dxa"/>
            </w:tcMar>
            <w:vAlign w:val="center"/>
            <w:shd w:fill="E8F0F4"/>
          </w:tcPr>
          <w:p>
            <w:pPr>
              <w:jc w:val="center"/>
            </w:pPr>
            <w:r>
              <w:rPr>
                <w:rFonts w:ascii="Times New Roman" w:hAnsi="Times New Roman"/>
                <w:b/>
                <w:color w:val="173B4F"/>
                <w:sz w:val="17"/>
              </w:rPr>
              <w:t>Term</w:t>
            </w:r>
          </w:p>
        </w:tc>
        <w:tc>
          <w:tcPr>
            <w:tcW w:type="dxa" w:w="5990"/>
            <w:tcMar>
              <w:top w:w="80" w:type="dxa"/>
              <w:start w:w="120" w:type="dxa"/>
              <w:bottom w:w="80" w:type="dxa"/>
              <w:end w:w="120" w:type="dxa"/>
            </w:tcMar>
            <w:vAlign w:val="center"/>
            <w:shd w:fill="E8F0F4"/>
          </w:tcPr>
          <w:p>
            <w:pPr>
              <w:jc w:val="center"/>
            </w:pPr>
            <w:r>
              <w:rPr>
                <w:rFonts w:ascii="Times New Roman" w:hAnsi="Times New Roman"/>
                <w:b/>
                <w:color w:val="173B4F"/>
                <w:sz w:val="17"/>
              </w:rPr>
              <w:t>Meaning</w:t>
            </w:r>
          </w:p>
        </w:tc>
      </w:tr>
      <w:tr>
        <w:trPr>
          <w:cantSplit/>
        </w:trPr>
        <w:tc>
          <w:tcPr>
            <w:tcW w:type="dxa" w:w="3370"/>
            <w:tcMar>
              <w:top w:w="80" w:type="dxa"/>
              <w:start w:w="120" w:type="dxa"/>
              <w:bottom w:w="80" w:type="dxa"/>
              <w:end w:w="120" w:type="dxa"/>
            </w:tcMar>
            <w:vAlign w:val="center"/>
          </w:tcPr>
          <w:p>
            <w:pPr>
              <w:jc w:val="left"/>
            </w:pPr>
            <w:r>
              <w:rPr>
                <w:rFonts w:ascii="Times New Roman" w:hAnsi="Times New Roman"/>
                <w:color w:val="202529"/>
                <w:sz w:val="17"/>
              </w:rPr>
              <w:t>API</w:t>
            </w:r>
          </w:p>
        </w:tc>
        <w:tc>
          <w:tcPr>
            <w:tcW w:type="dxa" w:w="5990"/>
            <w:tcMar>
              <w:top w:w="80" w:type="dxa"/>
              <w:start w:w="120" w:type="dxa"/>
              <w:bottom w:w="80" w:type="dxa"/>
              <w:end w:w="120" w:type="dxa"/>
            </w:tcMar>
            <w:vAlign w:val="center"/>
          </w:tcPr>
          <w:p>
            <w:pPr>
              <w:jc w:val="left"/>
            </w:pPr>
            <w:r>
              <w:rPr>
                <w:rFonts w:ascii="Times New Roman" w:hAnsi="Times New Roman"/>
                <w:color w:val="202529"/>
                <w:sz w:val="17"/>
              </w:rPr>
              <w:t>Application Programming Interface</w:t>
            </w:r>
          </w:p>
        </w:tc>
      </w:tr>
      <w:tr>
        <w:trPr>
          <w:cantSplit/>
        </w:trPr>
        <w:tc>
          <w:tcPr>
            <w:tcW w:type="dxa" w:w="3370"/>
            <w:tcMar>
              <w:top w:w="80" w:type="dxa"/>
              <w:start w:w="120" w:type="dxa"/>
              <w:bottom w:w="80" w:type="dxa"/>
              <w:end w:w="120" w:type="dxa"/>
            </w:tcMar>
            <w:vAlign w:val="center"/>
          </w:tcPr>
          <w:p>
            <w:pPr>
              <w:jc w:val="left"/>
            </w:pPr>
            <w:r>
              <w:rPr>
                <w:rFonts w:ascii="Times New Roman" w:hAnsi="Times New Roman"/>
                <w:color w:val="202529"/>
                <w:sz w:val="17"/>
              </w:rPr>
              <w:t>CI</w:t>
            </w:r>
          </w:p>
        </w:tc>
        <w:tc>
          <w:tcPr>
            <w:tcW w:type="dxa" w:w="5990"/>
            <w:tcMar>
              <w:top w:w="80" w:type="dxa"/>
              <w:start w:w="120" w:type="dxa"/>
              <w:bottom w:w="80" w:type="dxa"/>
              <w:end w:w="120" w:type="dxa"/>
            </w:tcMar>
            <w:vAlign w:val="center"/>
          </w:tcPr>
          <w:p>
            <w:pPr>
              <w:jc w:val="left"/>
            </w:pPr>
            <w:r>
              <w:rPr>
                <w:rFonts w:ascii="Times New Roman" w:hAnsi="Times New Roman"/>
                <w:color w:val="202529"/>
                <w:sz w:val="17"/>
              </w:rPr>
              <w:t>Continuous Integration</w:t>
            </w:r>
          </w:p>
        </w:tc>
      </w:tr>
      <w:tr>
        <w:trPr>
          <w:cantSplit/>
        </w:trPr>
        <w:tc>
          <w:tcPr>
            <w:tcW w:type="dxa" w:w="3370"/>
            <w:tcMar>
              <w:top w:w="80" w:type="dxa"/>
              <w:start w:w="120" w:type="dxa"/>
              <w:bottom w:w="80" w:type="dxa"/>
              <w:end w:w="120" w:type="dxa"/>
            </w:tcMar>
            <w:vAlign w:val="center"/>
          </w:tcPr>
          <w:p>
            <w:pPr>
              <w:jc w:val="left"/>
            </w:pPr>
            <w:r>
              <w:rPr>
                <w:rFonts w:ascii="Times New Roman" w:hAnsi="Times New Roman"/>
                <w:color w:val="202529"/>
                <w:sz w:val="17"/>
              </w:rPr>
              <w:t>CORS</w:t>
            </w:r>
          </w:p>
        </w:tc>
        <w:tc>
          <w:tcPr>
            <w:tcW w:type="dxa" w:w="5990"/>
            <w:tcMar>
              <w:top w:w="80" w:type="dxa"/>
              <w:start w:w="120" w:type="dxa"/>
              <w:bottom w:w="80" w:type="dxa"/>
              <w:end w:w="120" w:type="dxa"/>
            </w:tcMar>
            <w:vAlign w:val="center"/>
          </w:tcPr>
          <w:p>
            <w:pPr>
              <w:jc w:val="left"/>
            </w:pPr>
            <w:r>
              <w:rPr>
                <w:rFonts w:ascii="Times New Roman" w:hAnsi="Times New Roman"/>
                <w:color w:val="202529"/>
                <w:sz w:val="17"/>
              </w:rPr>
              <w:t>Cross-Origin Resource Sharing</w:t>
            </w:r>
          </w:p>
        </w:tc>
      </w:tr>
      <w:tr>
        <w:trPr>
          <w:cantSplit/>
        </w:trPr>
        <w:tc>
          <w:tcPr>
            <w:tcW w:type="dxa" w:w="3370"/>
            <w:tcMar>
              <w:top w:w="80" w:type="dxa"/>
              <w:start w:w="120" w:type="dxa"/>
              <w:bottom w:w="80" w:type="dxa"/>
              <w:end w:w="120" w:type="dxa"/>
            </w:tcMar>
            <w:vAlign w:val="center"/>
          </w:tcPr>
          <w:p>
            <w:pPr>
              <w:jc w:val="left"/>
            </w:pPr>
            <w:r>
              <w:rPr>
                <w:rFonts w:ascii="Times New Roman" w:hAnsi="Times New Roman"/>
                <w:color w:val="202529"/>
                <w:sz w:val="17"/>
              </w:rPr>
              <w:t>E2E</w:t>
            </w:r>
          </w:p>
        </w:tc>
        <w:tc>
          <w:tcPr>
            <w:tcW w:type="dxa" w:w="5990"/>
            <w:tcMar>
              <w:top w:w="80" w:type="dxa"/>
              <w:start w:w="120" w:type="dxa"/>
              <w:bottom w:w="80" w:type="dxa"/>
              <w:end w:w="120" w:type="dxa"/>
            </w:tcMar>
            <w:vAlign w:val="center"/>
          </w:tcPr>
          <w:p>
            <w:pPr>
              <w:jc w:val="left"/>
            </w:pPr>
            <w:r>
              <w:rPr>
                <w:rFonts w:ascii="Times New Roman" w:hAnsi="Times New Roman"/>
                <w:color w:val="202529"/>
                <w:sz w:val="17"/>
              </w:rPr>
              <w:t>End-to-end</w:t>
            </w:r>
          </w:p>
        </w:tc>
      </w:tr>
      <w:tr>
        <w:trPr>
          <w:cantSplit/>
        </w:trPr>
        <w:tc>
          <w:tcPr>
            <w:tcW w:type="dxa" w:w="3370"/>
            <w:tcMar>
              <w:top w:w="80" w:type="dxa"/>
              <w:start w:w="120" w:type="dxa"/>
              <w:bottom w:w="80" w:type="dxa"/>
              <w:end w:w="120" w:type="dxa"/>
            </w:tcMar>
            <w:vAlign w:val="center"/>
          </w:tcPr>
          <w:p>
            <w:pPr>
              <w:jc w:val="left"/>
            </w:pPr>
            <w:r>
              <w:rPr>
                <w:rFonts w:ascii="Times New Roman" w:hAnsi="Times New Roman"/>
                <w:color w:val="202529"/>
                <w:sz w:val="17"/>
              </w:rPr>
              <w:t>JSON</w:t>
            </w:r>
          </w:p>
        </w:tc>
        <w:tc>
          <w:tcPr>
            <w:tcW w:type="dxa" w:w="5990"/>
            <w:tcMar>
              <w:top w:w="80" w:type="dxa"/>
              <w:start w:w="120" w:type="dxa"/>
              <w:bottom w:w="80" w:type="dxa"/>
              <w:end w:w="120" w:type="dxa"/>
            </w:tcMar>
            <w:vAlign w:val="center"/>
          </w:tcPr>
          <w:p>
            <w:pPr>
              <w:jc w:val="left"/>
            </w:pPr>
            <w:r>
              <w:rPr>
                <w:rFonts w:ascii="Times New Roman" w:hAnsi="Times New Roman"/>
                <w:color w:val="202529"/>
                <w:sz w:val="17"/>
              </w:rPr>
              <w:t>JavaScript Object Notation</w:t>
            </w:r>
          </w:p>
        </w:tc>
      </w:tr>
      <w:tr>
        <w:trPr>
          <w:cantSplit/>
        </w:trPr>
        <w:tc>
          <w:tcPr>
            <w:tcW w:type="dxa" w:w="3370"/>
            <w:tcMar>
              <w:top w:w="80" w:type="dxa"/>
              <w:start w:w="120" w:type="dxa"/>
              <w:bottom w:w="80" w:type="dxa"/>
              <w:end w:w="120" w:type="dxa"/>
            </w:tcMar>
            <w:vAlign w:val="center"/>
          </w:tcPr>
          <w:p>
            <w:pPr>
              <w:jc w:val="left"/>
            </w:pPr>
            <w:r>
              <w:rPr>
                <w:rFonts w:ascii="Times New Roman" w:hAnsi="Times New Roman"/>
                <w:color w:val="202529"/>
                <w:sz w:val="17"/>
              </w:rPr>
              <w:t>RBAC</w:t>
            </w:r>
          </w:p>
        </w:tc>
        <w:tc>
          <w:tcPr>
            <w:tcW w:type="dxa" w:w="5990"/>
            <w:tcMar>
              <w:top w:w="80" w:type="dxa"/>
              <w:start w:w="120" w:type="dxa"/>
              <w:bottom w:w="80" w:type="dxa"/>
              <w:end w:w="120" w:type="dxa"/>
            </w:tcMar>
            <w:vAlign w:val="center"/>
          </w:tcPr>
          <w:p>
            <w:pPr>
              <w:jc w:val="left"/>
            </w:pPr>
            <w:r>
              <w:rPr>
                <w:rFonts w:ascii="Times New Roman" w:hAnsi="Times New Roman"/>
                <w:color w:val="202529"/>
                <w:sz w:val="17"/>
              </w:rPr>
              <w:t>Role-Based Access Control</w:t>
            </w:r>
          </w:p>
        </w:tc>
      </w:tr>
      <w:tr>
        <w:trPr>
          <w:cantSplit/>
        </w:trPr>
        <w:tc>
          <w:tcPr>
            <w:tcW w:type="dxa" w:w="3370"/>
            <w:tcMar>
              <w:top w:w="80" w:type="dxa"/>
              <w:start w:w="120" w:type="dxa"/>
              <w:bottom w:w="80" w:type="dxa"/>
              <w:end w:w="120" w:type="dxa"/>
            </w:tcMar>
            <w:vAlign w:val="center"/>
          </w:tcPr>
          <w:p>
            <w:pPr>
              <w:jc w:val="left"/>
            </w:pPr>
            <w:r>
              <w:rPr>
                <w:rFonts w:ascii="Times New Roman" w:hAnsi="Times New Roman"/>
                <w:color w:val="202529"/>
                <w:sz w:val="17"/>
              </w:rPr>
              <w:t>REST</w:t>
            </w:r>
          </w:p>
        </w:tc>
        <w:tc>
          <w:tcPr>
            <w:tcW w:type="dxa" w:w="5990"/>
            <w:tcMar>
              <w:top w:w="80" w:type="dxa"/>
              <w:start w:w="120" w:type="dxa"/>
              <w:bottom w:w="80" w:type="dxa"/>
              <w:end w:w="120" w:type="dxa"/>
            </w:tcMar>
            <w:vAlign w:val="center"/>
          </w:tcPr>
          <w:p>
            <w:pPr>
              <w:jc w:val="left"/>
            </w:pPr>
            <w:r>
              <w:rPr>
                <w:rFonts w:ascii="Times New Roman" w:hAnsi="Times New Roman"/>
                <w:color w:val="202529"/>
                <w:sz w:val="17"/>
              </w:rPr>
              <w:t>Representational State Transfer</w:t>
            </w:r>
          </w:p>
        </w:tc>
      </w:tr>
      <w:tr>
        <w:trPr>
          <w:cantSplit/>
        </w:trPr>
        <w:tc>
          <w:tcPr>
            <w:tcW w:type="dxa" w:w="3370"/>
            <w:tcMar>
              <w:top w:w="80" w:type="dxa"/>
              <w:start w:w="120" w:type="dxa"/>
              <w:bottom w:w="80" w:type="dxa"/>
              <w:end w:w="120" w:type="dxa"/>
            </w:tcMar>
            <w:vAlign w:val="center"/>
          </w:tcPr>
          <w:p>
            <w:pPr>
              <w:jc w:val="left"/>
            </w:pPr>
            <w:r>
              <w:rPr>
                <w:rFonts w:ascii="Times New Roman" w:hAnsi="Times New Roman"/>
                <w:color w:val="202529"/>
                <w:sz w:val="17"/>
              </w:rPr>
              <w:t>SSE</w:t>
            </w:r>
          </w:p>
        </w:tc>
        <w:tc>
          <w:tcPr>
            <w:tcW w:type="dxa" w:w="5990"/>
            <w:tcMar>
              <w:top w:w="80" w:type="dxa"/>
              <w:start w:w="120" w:type="dxa"/>
              <w:bottom w:w="80" w:type="dxa"/>
              <w:end w:w="120" w:type="dxa"/>
            </w:tcMar>
            <w:vAlign w:val="center"/>
          </w:tcPr>
          <w:p>
            <w:pPr>
              <w:jc w:val="left"/>
            </w:pPr>
            <w:r>
              <w:rPr>
                <w:rFonts w:ascii="Times New Roman" w:hAnsi="Times New Roman"/>
                <w:color w:val="202529"/>
                <w:sz w:val="17"/>
              </w:rPr>
              <w:t>Server-Sent Events</w:t>
            </w:r>
          </w:p>
        </w:tc>
      </w:tr>
      <w:tr>
        <w:trPr>
          <w:cantSplit/>
        </w:trPr>
        <w:tc>
          <w:tcPr>
            <w:tcW w:type="dxa" w:w="3370"/>
            <w:tcMar>
              <w:top w:w="80" w:type="dxa"/>
              <w:start w:w="120" w:type="dxa"/>
              <w:bottom w:w="80" w:type="dxa"/>
              <w:end w:w="120" w:type="dxa"/>
            </w:tcMar>
            <w:vAlign w:val="center"/>
          </w:tcPr>
          <w:p>
            <w:pPr>
              <w:jc w:val="left"/>
            </w:pPr>
            <w:r>
              <w:rPr>
                <w:rFonts w:ascii="Times New Roman" w:hAnsi="Times New Roman"/>
                <w:color w:val="202529"/>
                <w:sz w:val="17"/>
              </w:rPr>
              <w:t>UI</w:t>
            </w:r>
          </w:p>
        </w:tc>
        <w:tc>
          <w:tcPr>
            <w:tcW w:type="dxa" w:w="5990"/>
            <w:tcMar>
              <w:top w:w="80" w:type="dxa"/>
              <w:start w:w="120" w:type="dxa"/>
              <w:bottom w:w="80" w:type="dxa"/>
              <w:end w:w="120" w:type="dxa"/>
            </w:tcMar>
            <w:vAlign w:val="center"/>
          </w:tcPr>
          <w:p>
            <w:pPr>
              <w:jc w:val="left"/>
            </w:pPr>
            <w:r>
              <w:rPr>
                <w:rFonts w:ascii="Times New Roman" w:hAnsi="Times New Roman"/>
                <w:color w:val="202529"/>
                <w:sz w:val="17"/>
              </w:rPr>
              <w:t>User Interface</w:t>
            </w:r>
          </w:p>
        </w:tc>
      </w:tr>
      <w:tr>
        <w:trPr>
          <w:cantSplit/>
        </w:trPr>
        <w:tc>
          <w:tcPr>
            <w:tcW w:type="dxa" w:w="3370"/>
            <w:tcMar>
              <w:top w:w="80" w:type="dxa"/>
              <w:start w:w="120" w:type="dxa"/>
              <w:bottom w:w="80" w:type="dxa"/>
              <w:end w:w="120" w:type="dxa"/>
            </w:tcMar>
            <w:vAlign w:val="center"/>
          </w:tcPr>
          <w:p>
            <w:pPr>
              <w:jc w:val="left"/>
            </w:pPr>
            <w:r>
              <w:rPr>
                <w:rFonts w:ascii="Times New Roman" w:hAnsi="Times New Roman"/>
                <w:color w:val="202529"/>
                <w:sz w:val="17"/>
              </w:rPr>
              <w:t>UVP</w:t>
            </w:r>
          </w:p>
        </w:tc>
        <w:tc>
          <w:tcPr>
            <w:tcW w:type="dxa" w:w="5990"/>
            <w:tcMar>
              <w:top w:w="80" w:type="dxa"/>
              <w:start w:w="120" w:type="dxa"/>
              <w:bottom w:w="80" w:type="dxa"/>
              <w:end w:w="120" w:type="dxa"/>
            </w:tcMar>
            <w:vAlign w:val="center"/>
          </w:tcPr>
          <w:p>
            <w:pPr>
              <w:jc w:val="left"/>
            </w:pPr>
            <w:r>
              <w:rPr>
                <w:rFonts w:ascii="Times New Roman" w:hAnsi="Times New Roman"/>
                <w:color w:val="202529"/>
                <w:sz w:val="17"/>
              </w:rPr>
              <w:t>Unique Value Proposition</w:t>
            </w:r>
          </w:p>
        </w:tc>
      </w:tr>
    </w:tbl>
    <w:p>
      <w:pPr>
        <w:spacing w:after="0"/>
      </w:pPr>
    </w:p>
    <w:p>
      <w:pPr>
        <w:pStyle w:val="Heading1"/>
      </w:pPr>
      <w:r>
        <w:t>Table of contents</w:t>
      </w:r>
    </w:p>
    <w:p>
      <w:pPr>
        <w:tabs>
          <w:tab w:pos="8928" w:val="right" w:leader="dot"/>
        </w:tabs>
        <w:spacing w:after="60"/>
      </w:pPr>
      <w:r>
        <w:rPr>
          <w:rFonts w:ascii="Times New Roman" w:hAnsi="Times New Roman"/>
          <w:color w:val="202529"/>
          <w:sz w:val="21"/>
        </w:rPr>
        <w:t>1. Introduction</w:t>
        <w:tab/>
        <w:t>7</w:t>
      </w:r>
    </w:p>
    <w:p>
      <w:pPr>
        <w:tabs>
          <w:tab w:pos="8928" w:val="right" w:leader="dot"/>
        </w:tabs>
        <w:spacing w:after="60"/>
      </w:pPr>
      <w:r>
        <w:rPr>
          <w:rFonts w:ascii="Times New Roman" w:hAnsi="Times New Roman"/>
          <w:color w:val="202529"/>
          <w:sz w:val="21"/>
        </w:rPr>
        <w:t>2. Background and related systems</w:t>
        <w:tab/>
        <w:t>10</w:t>
      </w:r>
    </w:p>
    <w:p>
      <w:pPr>
        <w:tabs>
          <w:tab w:pos="8928" w:val="right" w:leader="dot"/>
        </w:tabs>
        <w:spacing w:after="60"/>
      </w:pPr>
      <w:r>
        <w:rPr>
          <w:rFonts w:ascii="Times New Roman" w:hAnsi="Times New Roman"/>
          <w:color w:val="202529"/>
          <w:sz w:val="21"/>
        </w:rPr>
        <w:t>3. Requirements and success criteria</w:t>
        <w:tab/>
        <w:t>12</w:t>
      </w:r>
    </w:p>
    <w:p>
      <w:pPr>
        <w:tabs>
          <w:tab w:pos="8928" w:val="right" w:leader="dot"/>
        </w:tabs>
        <w:spacing w:after="60"/>
      </w:pPr>
      <w:r>
        <w:rPr>
          <w:rFonts w:ascii="Times New Roman" w:hAnsi="Times New Roman"/>
          <w:color w:val="202529"/>
          <w:sz w:val="21"/>
        </w:rPr>
        <w:t>4. Architecture and design</w:t>
        <w:tab/>
        <w:t>15</w:t>
      </w:r>
    </w:p>
    <w:p>
      <w:pPr>
        <w:tabs>
          <w:tab w:pos="8928" w:val="right" w:leader="dot"/>
        </w:tabs>
        <w:spacing w:after="60"/>
      </w:pPr>
      <w:r>
        <w:rPr>
          <w:rFonts w:ascii="Times New Roman" w:hAnsi="Times New Roman"/>
          <w:color w:val="202529"/>
          <w:sz w:val="21"/>
        </w:rPr>
        <w:t>5. Implementation</w:t>
        <w:tab/>
        <w:t>20</w:t>
      </w:r>
    </w:p>
    <w:p>
      <w:pPr>
        <w:tabs>
          <w:tab w:pos="8928" w:val="right" w:leader="dot"/>
        </w:tabs>
        <w:spacing w:after="60"/>
      </w:pPr>
      <w:r>
        <w:rPr>
          <w:rFonts w:ascii="Times New Roman" w:hAnsi="Times New Roman"/>
          <w:color w:val="202529"/>
          <w:sz w:val="21"/>
        </w:rPr>
        <w:t>6. Security and privacy</w:t>
        <w:tab/>
        <w:t>23</w:t>
      </w:r>
    </w:p>
    <w:p>
      <w:pPr>
        <w:tabs>
          <w:tab w:pos="8928" w:val="right" w:leader="dot"/>
        </w:tabs>
        <w:spacing w:after="60"/>
      </w:pPr>
      <w:r>
        <w:rPr>
          <w:rFonts w:ascii="Times New Roman" w:hAnsi="Times New Roman"/>
          <w:color w:val="202529"/>
          <w:sz w:val="21"/>
        </w:rPr>
        <w:t>7. Testing and validation</w:t>
        <w:tab/>
        <w:t>25</w:t>
      </w:r>
    </w:p>
    <w:p>
      <w:pPr>
        <w:tabs>
          <w:tab w:pos="8928" w:val="right" w:leader="dot"/>
        </w:tabs>
        <w:spacing w:after="60"/>
      </w:pPr>
      <w:r>
        <w:rPr>
          <w:rFonts w:ascii="Times New Roman" w:hAnsi="Times New Roman"/>
          <w:color w:val="202529"/>
          <w:sz w:val="21"/>
        </w:rPr>
        <w:t>8. Results and evaluation</w:t>
        <w:tab/>
        <w:t>27</w:t>
      </w:r>
    </w:p>
    <w:p>
      <w:pPr>
        <w:tabs>
          <w:tab w:pos="8928" w:val="right" w:leader="dot"/>
        </w:tabs>
        <w:spacing w:after="60"/>
      </w:pPr>
      <w:r>
        <w:rPr>
          <w:rFonts w:ascii="Times New Roman" w:hAnsi="Times New Roman"/>
          <w:color w:val="202529"/>
          <w:sz w:val="21"/>
        </w:rPr>
        <w:t>9. Project execution evidence and contribution record</w:t>
        <w:tab/>
        <w:t>29</w:t>
      </w:r>
    </w:p>
    <w:p>
      <w:pPr>
        <w:tabs>
          <w:tab w:pos="8928" w:val="right" w:leader="dot"/>
        </w:tabs>
        <w:spacing w:after="60"/>
      </w:pPr>
      <w:r>
        <w:rPr>
          <w:rFonts w:ascii="Times New Roman" w:hAnsi="Times New Roman"/>
          <w:color w:val="202529"/>
          <w:sz w:val="21"/>
        </w:rPr>
        <w:t>10. Plagiarism, licensing, and attribution</w:t>
        <w:tab/>
        <w:t>32</w:t>
      </w:r>
    </w:p>
    <w:p>
      <w:pPr>
        <w:tabs>
          <w:tab w:pos="8928" w:val="right" w:leader="dot"/>
        </w:tabs>
        <w:spacing w:after="60"/>
      </w:pPr>
      <w:r>
        <w:rPr>
          <w:rFonts w:ascii="Times New Roman" w:hAnsi="Times New Roman"/>
          <w:color w:val="202529"/>
          <w:sz w:val="21"/>
        </w:rPr>
        <w:t>11. Limitations and future work</w:t>
        <w:tab/>
        <w:t>33</w:t>
      </w:r>
    </w:p>
    <w:p>
      <w:pPr>
        <w:tabs>
          <w:tab w:pos="8928" w:val="right" w:leader="dot"/>
        </w:tabs>
        <w:spacing w:after="60"/>
      </w:pPr>
      <w:r>
        <w:rPr>
          <w:rFonts w:ascii="Times New Roman" w:hAnsi="Times New Roman"/>
          <w:color w:val="202529"/>
          <w:sz w:val="21"/>
        </w:rPr>
        <w:t>12. Conclusion</w:t>
        <w:tab/>
        <w:t>34</w:t>
      </w:r>
    </w:p>
    <w:p>
      <w:pPr>
        <w:tabs>
          <w:tab w:pos="8928" w:val="right" w:leader="dot"/>
        </w:tabs>
        <w:spacing w:after="60"/>
      </w:pPr>
      <w:r>
        <w:rPr>
          <w:rFonts w:ascii="Times New Roman" w:hAnsi="Times New Roman"/>
          <w:color w:val="202529"/>
          <w:sz w:val="21"/>
        </w:rPr>
        <w:t>References</w:t>
        <w:tab/>
        <w:t>34</w:t>
      </w:r>
    </w:p>
    <w:p>
      <w:pPr>
        <w:tabs>
          <w:tab w:pos="8928" w:val="right" w:leader="dot"/>
        </w:tabs>
        <w:spacing w:after="60"/>
      </w:pPr>
      <w:r>
        <w:rPr>
          <w:rFonts w:ascii="Times New Roman" w:hAnsi="Times New Roman"/>
          <w:color w:val="202529"/>
          <w:sz w:val="21"/>
        </w:rPr>
        <w:t>Appendices A to D</w:t>
        <w:tab/>
        <w:t>35</w:t>
      </w:r>
    </w:p>
    <w:p>
      <w:pPr>
        <w:tabs>
          <w:tab w:pos="8928" w:val="right" w:leader="dot"/>
        </w:tabs>
        <w:spacing w:after="60"/>
      </w:pPr>
      <w:r>
        <w:rPr>
          <w:rFonts w:ascii="Times New Roman" w:hAnsi="Times New Roman"/>
          <w:color w:val="202529"/>
          <w:sz w:val="21"/>
        </w:rPr>
        <w:t>Appendix E. Detailed test-case matrix</w:t>
        <w:tab/>
        <w:t>38</w:t>
      </w:r>
    </w:p>
    <w:p>
      <w:pPr>
        <w:tabs>
          <w:tab w:pos="8928" w:val="right" w:leader="dot"/>
        </w:tabs>
        <w:spacing w:after="60"/>
      </w:pPr>
      <w:r>
        <w:rPr>
          <w:rFonts w:ascii="Times New Roman" w:hAnsi="Times New Roman"/>
          <w:color w:val="202529"/>
          <w:sz w:val="21"/>
        </w:rPr>
        <w:t>Appendix F. CI job evidence</w:t>
        <w:tab/>
        <w:t>41</w:t>
      </w:r>
    </w:p>
    <w:p>
      <w:r>
        <w:rPr>
          <w:rFonts w:ascii="Times New Roman" w:hAnsi="Times New Roman"/>
          <w:color w:val="5D6870"/>
          <w:sz w:val="18"/>
        </w:rPr>
        <w:t>Review-copy pagination. Regenerate this table after the final metadata and evidence are inserted.</w:t>
      </w:r>
    </w:p>
    <w:p>
      <w:r>
        <w:br w:type="page"/>
      </w:r>
    </w:p>
    <w:p>
      <w:pPr>
        <w:pStyle w:val="Heading1"/>
      </w:pPr>
      <w:r>
        <w:t>1. Introduction</w:t>
      </w:r>
    </w:p>
    <w:p>
      <w:pPr>
        <w:pStyle w:val="Heading2"/>
      </w:pPr>
      <w:r>
        <w:t>1.1 Context</w:t>
      </w:r>
    </w:p>
    <w:p>
      <w:r>
        <w:rPr>
          <w:rFonts w:ascii="Times New Roman" w:hAnsi="Times New Roman"/>
          <w:color w:val="202529"/>
        </w:rPr>
        <w:t xml:space="preserve">Kubernetes represents cluster state as API objects. Pods, Deployments, Services, Nodes, Events, ConfigMaps, Secrets, Ingresses, StatefulSets, and DaemonSets expose different parts of an application's operation. Kubernetes clients can list the current objects and watch later changes through the API [1], [2]. </w:t>
      </w:r>
      <w:r>
        <w:rPr>
          <w:rFonts w:ascii="Consolas" w:hAnsi="Consolas"/>
          <w:color w:val="173B4F"/>
          <w:sz w:val="21"/>
        </w:rPr>
        <w:t>kubectl</w:t>
      </w:r>
      <w:r>
        <w:rPr>
          <w:rFonts w:ascii="Times New Roman" w:hAnsi="Times New Roman"/>
          <w:color w:val="202529"/>
        </w:rPr>
        <w:t xml:space="preserve"> provides direct access to these operations and remains the primary administration tool.</w:t>
      </w:r>
    </w:p>
    <w:p>
      <w:r>
        <w:rPr>
          <w:rFonts w:ascii="Times New Roman" w:hAnsi="Times New Roman"/>
          <w:color w:val="202529"/>
        </w:rPr>
        <w:t>Inspection becomes fragmented when a user must correlate several object types. A failed rollout can require a workload list, pod detail, container status, recent events, and pod logs. A user who works with several clusters must also track the active kubeconfig context. Current state alone does not answer what changed before the investigation began.</w:t>
      </w:r>
    </w:p>
    <w:p>
      <w:r>
        <w:rPr>
          <w:rFonts w:ascii="Times New Roman" w:hAnsi="Times New Roman"/>
          <w:color w:val="202529"/>
        </w:rPr>
        <w:t>KubeView provides one browser interface for these tasks. It deliberately excludes mutation. The backend has no endpoint that creates, updates, patches, or deletes Kubernetes objects. This reduces the consequence of an application defect and keeps the project focused on diagnosis.</w:t>
      </w:r>
    </w:p>
    <w:p>
      <w:pPr>
        <w:pStyle w:val="Heading2"/>
      </w:pPr>
      <w:r>
        <w:t>1.2 Problem statement</w:t>
      </w:r>
    </w:p>
    <w:p>
      <w:r>
        <w:rPr>
          <w:rFonts w:ascii="Times New Roman" w:hAnsi="Times New Roman"/>
          <w:color w:val="202529"/>
        </w:rPr>
        <w:t>The project addresses two related problems:</w:t>
      </w:r>
    </w:p>
    <w:p>
      <w:pPr>
        <w:pStyle w:val="ListNumber"/>
      </w:pPr>
      <w:r>
        <w:rPr>
          <w:rFonts w:ascii="Times New Roman" w:hAnsi="Times New Roman"/>
          <w:color w:val="202529"/>
        </w:rPr>
        <w:t xml:space="preserve"> Common Kubernetes inspection data is distributed across object types and command-line operations.</w:t>
      </w:r>
    </w:p>
    <w:p>
      <w:pPr>
        <w:pStyle w:val="ListNumber"/>
      </w:pPr>
      <w:r>
        <w:rPr>
          <w:rFonts w:ascii="Times New Roman" w:hAnsi="Times New Roman"/>
          <w:color w:val="202529"/>
        </w:rPr>
        <w:t xml:space="preserve"> Short-lived state transitions are lost unless a separate system records them.</w:t>
      </w:r>
    </w:p>
    <w:p>
      <w:r>
        <w:rPr>
          <w:rFonts w:ascii="Times New Roman" w:hAnsi="Times New Roman"/>
          <w:color w:val="202529"/>
        </w:rPr>
        <w:t>Existing dashboards provide browser access to Kubernetes resources [3]. Monitoring systems such as Prometheus collect time-series metrics and support alerts [4]. These tools solve valid but different problems. KubeView tests whether a small read-only application can combine current resource inspection, live change delivery, multi-cluster selection, logs, and bounded historical state without introducing a metrics or log aggregation stack.</w:t>
      </w:r>
    </w:p>
    <w:p>
      <w:pPr>
        <w:pStyle w:val="Heading2"/>
      </w:pPr>
      <w:r>
        <w:t>1.3 Unique value proposition</w:t>
      </w:r>
    </w:p>
    <w:p>
      <w:pPr>
        <w:jc w:val="center"/>
      </w:pPr>
      <w:r>
        <w:drawing>
          <wp:inline xmlns:a="http://schemas.openxmlformats.org/drawingml/2006/main" xmlns:pic="http://schemas.openxmlformats.org/drawingml/2006/picture">
            <wp:extent cx="5669280" cy="3439954"/>
            <wp:docPr id="1" name="Picture 1" title="Figure 1. KubeView dashboard at the frozen source baseline" descr="Figure 1. KubeView dashboard at the frozen source baseline"/>
            <wp:cNvGraphicFramePr>
              <a:graphicFrameLocks noChangeAspect="1"/>
            </wp:cNvGraphicFramePr>
            <a:graphic>
              <a:graphicData uri="http://schemas.openxmlformats.org/drawingml/2006/picture">
                <pic:pic>
                  <pic:nvPicPr>
                    <pic:cNvPr id="0" name="01-dashboard.png"/>
                    <pic:cNvPicPr/>
                  </pic:nvPicPr>
                  <pic:blipFill>
                    <a:blip r:embed="rId11"/>
                    <a:stretch>
                      <a:fillRect/>
                    </a:stretch>
                  </pic:blipFill>
                  <pic:spPr>
                    <a:xfrm>
                      <a:off x="0" y="0"/>
                      <a:ext cx="5669280" cy="3439954"/>
                    </a:xfrm>
                    <a:prstGeom prst="rect"/>
                  </pic:spPr>
                </pic:pic>
              </a:graphicData>
            </a:graphic>
          </wp:inline>
        </w:drawing>
      </w:r>
    </w:p>
    <w:p>
      <w:pPr>
        <w:pStyle w:val="Caption"/>
        <w:jc w:val="center"/>
      </w:pPr>
      <w:r>
        <w:rPr>
          <w:rFonts w:ascii="Times New Roman" w:hAnsi="Times New Roman"/>
          <w:color w:val="5D6870"/>
          <w:sz w:val="18"/>
        </w:rPr>
        <w:t>Figure 1. KubeView dashboard at the frozen source baseline</w:t>
      </w:r>
    </w:p>
    <w:p>
      <w:r>
        <w:rPr>
          <w:rFonts w:ascii="Times New Roman" w:hAnsi="Times New Roman"/>
          <w:color w:val="202529"/>
        </w:rPr>
        <w:t>KubeView gives a developer a read-only live view and a 72-hour replayable history of multiple Kubernetes clusters without requiring a metrics or log-monitoring stack.</w:t>
      </w:r>
    </w:p>
    <w:p>
      <w:r>
        <w:rPr>
          <w:rFonts w:ascii="Times New Roman" w:hAnsi="Times New Roman"/>
          <w:color w:val="202529"/>
        </w:rPr>
        <w:t>The value proposition has four observable parts. Kubernetes watches deliver resource changes instead of repeated five-second list requests. The embedded recorder stores changed object versions and deletion markers. The context selector applies to REST requests, live streams, logs, and history. Read-only RBAC excludes mutation verbs.</w:t>
      </w:r>
    </w:p>
    <w:p>
      <w:pPr>
        <w:pStyle w:val="Heading2"/>
      </w:pPr>
      <w:r>
        <w:t>1.4 Objectives</w:t>
      </w:r>
    </w:p>
    <w:p>
      <w:r>
        <w:rPr>
          <w:rFonts w:ascii="Times New Roman" w:hAnsi="Times New Roman"/>
          <w:color w:val="202529"/>
        </w:rPr>
        <w:t>The project objectives are to:</w:t>
      </w:r>
    </w:p>
    <w:p>
      <w:pPr>
        <w:pStyle w:val="ListBullet"/>
      </w:pPr>
      <w:r>
        <w:rPr>
          <w:rFonts w:ascii="Times New Roman" w:hAnsi="Times New Roman"/>
          <w:color w:val="202529"/>
        </w:rPr>
        <w:t xml:space="preserve"> show common namespaced and cluster-scoped Kubernetes resources in a browser;</w:t>
      </w:r>
    </w:p>
    <w:p>
      <w:pPr>
        <w:pStyle w:val="ListBullet"/>
      </w:pPr>
      <w:r>
        <w:rPr>
          <w:rFonts w:ascii="Times New Roman" w:hAnsi="Times New Roman"/>
          <w:color w:val="202529"/>
        </w:rPr>
        <w:t xml:space="preserve"> expose pod containers, conditions, volumes, and bounded log tails;</w:t>
      </w:r>
    </w:p>
    <w:p>
      <w:pPr>
        <w:pStyle w:val="ListBullet"/>
      </w:pPr>
      <w:r>
        <w:rPr>
          <w:rFonts w:ascii="Times New Roman" w:hAnsi="Times New Roman"/>
          <w:color w:val="202529"/>
        </w:rPr>
        <w:t xml:space="preserve"> deliver live resource and log updates without periodic full-list polling;</w:t>
      </w:r>
    </w:p>
    <w:p>
      <w:pPr>
        <w:pStyle w:val="ListBullet"/>
      </w:pPr>
      <w:r>
        <w:rPr>
          <w:rFonts w:ascii="Times New Roman" w:hAnsi="Times New Roman"/>
          <w:color w:val="202529"/>
        </w:rPr>
        <w:t xml:space="preserve"> switch between configured kubeconfig contexts without restarting the application;</w:t>
      </w:r>
    </w:p>
    <w:p>
      <w:pPr>
        <w:pStyle w:val="ListBullet"/>
      </w:pPr>
      <w:r>
        <w:rPr>
          <w:rFonts w:ascii="Times New Roman" w:hAnsi="Times New Roman"/>
          <w:color w:val="202529"/>
        </w:rPr>
        <w:t xml:space="preserve"> retain a configurable window of resource changes in a local embedded store;</w:t>
      </w:r>
    </w:p>
    <w:p>
      <w:pPr>
        <w:pStyle w:val="ListBullet"/>
      </w:pPr>
      <w:r>
        <w:rPr>
          <w:rFonts w:ascii="Times New Roman" w:hAnsi="Times New Roman"/>
          <w:color w:val="202529"/>
        </w:rPr>
        <w:t xml:space="preserve"> reconstruct state at a past timestamp and compare two timestamps;</w:t>
      </w:r>
    </w:p>
    <w:p>
      <w:pPr>
        <w:pStyle w:val="ListBullet"/>
      </w:pPr>
      <w:r>
        <w:rPr>
          <w:rFonts w:ascii="Times New Roman" w:hAnsi="Times New Roman"/>
          <w:color w:val="202529"/>
        </w:rPr>
        <w:t xml:space="preserve"> provide local, Docker Compose, and in-cluster execution paths;</w:t>
      </w:r>
    </w:p>
    <w:p>
      <w:pPr>
        <w:pStyle w:val="ListBullet"/>
      </w:pPr>
      <w:r>
        <w:rPr>
          <w:rFonts w:ascii="Times New Roman" w:hAnsi="Times New Roman"/>
          <w:color w:val="202529"/>
        </w:rPr>
        <w:t xml:space="preserve"> limit cluster permissions to read operations;</w:t>
      </w:r>
    </w:p>
    <w:p>
      <w:pPr>
        <w:pStyle w:val="ListBullet"/>
      </w:pPr>
      <w:r>
        <w:rPr>
          <w:rFonts w:ascii="Times New Roman" w:hAnsi="Times New Roman"/>
          <w:color w:val="202529"/>
        </w:rPr>
        <w:t xml:space="preserve"> validate the implementation with unit, component, integration, real-cluster E2E, static-analysis, and security checks.</w:t>
      </w:r>
    </w:p>
    <w:p>
      <w:pPr>
        <w:pStyle w:val="Heading2"/>
      </w:pPr>
      <w:r>
        <w:t>1.5 Scope and exclusions</w:t>
      </w:r>
    </w:p>
    <w:p>
      <w:r>
        <w:rPr>
          <w:rFonts w:ascii="Times New Roman" w:hAnsi="Times New Roman"/>
          <w:color w:val="202529"/>
        </w:rPr>
        <w:t>The supported resource set is Namespaces, Pods, Deployments, Services, Nodes, Events, ConfigMaps, Secrets, Ingresses, StatefulSets, and DaemonSets. Pod detail includes regular containers, init containers, native sidecars, ephemeral containers, conditions, volumes, and logs.</w:t>
      </w:r>
    </w:p>
    <w:p>
      <w:r>
        <w:rPr>
          <w:rFonts w:ascii="Times New Roman" w:hAnsi="Times New Roman"/>
          <w:color w:val="202529"/>
        </w:rPr>
        <w:t>KubeView is not an administration console. It does not mutate workloads, manage YAML, execute commands in containers, expose a terminal, produce alerts, collect metrics, retain arbitrary logs, or implement distributed tracing. The history store is local to one backend instance. The backend also has no user authentication. These exclusions are part of the design, not unfinished versions of the same product.</w:t>
      </w:r>
    </w:p>
    <w:p>
      <w:pPr>
        <w:pStyle w:val="Heading2"/>
      </w:pPr>
      <w:r>
        <w:t>1.6 Report organization</w:t>
      </w:r>
    </w:p>
    <w:p>
      <w:r>
        <w:rPr>
          <w:rFonts w:ascii="Times New Roman" w:hAnsi="Times New Roman"/>
          <w:color w:val="202529"/>
        </w:rPr>
        <w:t>The report first establishes the Kubernetes and web-streaming concepts used by the project. It then defines requirements, explains the architecture and implementation, analyses security, and records validation evidence. The final chapters cover results, contribution history, compliance, limitations, and future work.</w:t>
      </w:r>
    </w:p>
    <w:p>
      <w:r>
        <w:br w:type="page"/>
      </w:r>
    </w:p>
    <w:p>
      <w:pPr>
        <w:pStyle w:val="Heading1"/>
      </w:pPr>
      <w:r>
        <w:t>2. Background and related systems</w:t>
      </w:r>
    </w:p>
    <w:p>
      <w:pPr>
        <w:pStyle w:val="Heading2"/>
      </w:pPr>
      <w:r>
        <w:t>2.1 Kubernetes API access</w:t>
      </w:r>
    </w:p>
    <w:p>
      <w:r>
        <w:rPr>
          <w:rFonts w:ascii="Times New Roman" w:hAnsi="Times New Roman"/>
          <w:color w:val="202529"/>
        </w:rPr>
        <w:t xml:space="preserve">Kubernetes clients read API resources through HTTP and can request a watch stream after obtaining an initial collection [2]. A watch reports object changes as </w:t>
      </w:r>
      <w:r>
        <w:rPr>
          <w:rFonts w:ascii="Consolas" w:hAnsi="Consolas"/>
          <w:color w:val="173B4F"/>
          <w:sz w:val="21"/>
        </w:rPr>
        <w:t>ADDED</w:t>
      </w:r>
      <w:r>
        <w:rPr>
          <w:rFonts w:ascii="Times New Roman" w:hAnsi="Times New Roman"/>
          <w:color w:val="202529"/>
        </w:rPr>
        <w:t xml:space="preserve">, </w:t>
      </w:r>
      <w:r>
        <w:rPr>
          <w:rFonts w:ascii="Consolas" w:hAnsi="Consolas"/>
          <w:color w:val="173B4F"/>
          <w:sz w:val="21"/>
        </w:rPr>
        <w:t>MODIFIED</w:t>
      </w:r>
      <w:r>
        <w:rPr>
          <w:rFonts w:ascii="Times New Roman" w:hAnsi="Times New Roman"/>
          <w:color w:val="202529"/>
        </w:rPr>
        <w:t xml:space="preserve">, </w:t>
      </w:r>
      <w:r>
        <w:rPr>
          <w:rFonts w:ascii="Consolas" w:hAnsi="Consolas"/>
          <w:color w:val="173B4F"/>
          <w:sz w:val="21"/>
        </w:rPr>
        <w:t>DELETED</w:t>
      </w:r>
      <w:r>
        <w:rPr>
          <w:rFonts w:ascii="Times New Roman" w:hAnsi="Times New Roman"/>
          <w:color w:val="202529"/>
        </w:rPr>
        <w:t>, or error events. Watches are long-running requests and require different timeout handling from ordinary list or detail calls.</w:t>
      </w:r>
    </w:p>
    <w:p>
      <w:r>
        <w:rPr>
          <w:rFonts w:ascii="Times New Roman" w:hAnsi="Times New Roman"/>
          <w:color w:val="202529"/>
        </w:rPr>
        <w:t xml:space="preserve">The Go </w:t>
      </w:r>
      <w:r>
        <w:rPr>
          <w:rFonts w:ascii="Consolas" w:hAnsi="Consolas"/>
          <w:color w:val="173B4F"/>
          <w:sz w:val="21"/>
        </w:rPr>
        <w:t>client-go</w:t>
      </w:r>
      <w:r>
        <w:rPr>
          <w:rFonts w:ascii="Times New Roman" w:hAnsi="Times New Roman"/>
          <w:color w:val="202529"/>
        </w:rPr>
        <w:t xml:space="preserve"> project provides typed Kubernetes clients, kubeconfig loading, discovery, watches, and shared informers [5]. Shared informers combine a list, a watch, and a local cache. KubeView uses direct watches for browser live updates and shared informers for persistent history recording. The two paths have different lifetimes. A browser watch ends with its HTTP request, while a recorder informer belongs to the backend process.</w:t>
      </w:r>
    </w:p>
    <w:p>
      <w:r>
        <w:rPr>
          <w:rFonts w:ascii="Times New Roman" w:hAnsi="Times New Roman"/>
          <w:color w:val="202529"/>
        </w:rPr>
        <w:t>Kubeconfig can define several named contexts. Each context links a cluster, user credentials, and an optional default namespace [6]. Selecting a context changes both the destination API server and the identity used to contact it. Treating context as a display-only setting would be unsafe. Every backend operation must resolve and validate it.</w:t>
      </w:r>
    </w:p>
    <w:p>
      <w:pPr>
        <w:pStyle w:val="Heading2"/>
      </w:pPr>
      <w:r>
        <w:t>2.2 Browser delivery of changes</w:t>
      </w:r>
    </w:p>
    <w:p>
      <w:r>
        <w:rPr>
          <w:rFonts w:ascii="Times New Roman" w:hAnsi="Times New Roman"/>
          <w:color w:val="202529"/>
        </w:rPr>
        <w:t xml:space="preserve">Server-Sent Events use a long-lived HTTP response with the </w:t>
      </w:r>
      <w:r>
        <w:rPr>
          <w:rFonts w:ascii="Consolas" w:hAnsi="Consolas"/>
          <w:color w:val="173B4F"/>
          <w:sz w:val="21"/>
        </w:rPr>
        <w:t>text/event-stream</w:t>
      </w:r>
      <w:r>
        <w:rPr>
          <w:rFonts w:ascii="Times New Roman" w:hAnsi="Times New Roman"/>
          <w:color w:val="202529"/>
        </w:rPr>
        <w:t xml:space="preserve"> media type. Browsers expose the protocol through </w:t>
      </w:r>
      <w:r>
        <w:rPr>
          <w:rFonts w:ascii="Consolas" w:hAnsi="Consolas"/>
          <w:color w:val="173B4F"/>
          <w:sz w:val="21"/>
        </w:rPr>
        <w:t>EventSource</w:t>
      </w:r>
      <w:r>
        <w:rPr>
          <w:rFonts w:ascii="Times New Roman" w:hAnsi="Times New Roman"/>
          <w:color w:val="202529"/>
        </w:rPr>
        <w:t xml:space="preserve"> and reconnect interrupted streams [7]. SSE fits KubeView because data flows from server to browser after the initial request. The project does not need a bidirectional WebSocket protocol for resource updates.</w:t>
      </w:r>
    </w:p>
    <w:p>
      <w:r>
        <w:rPr>
          <w:rFonts w:ascii="Times New Roman" w:hAnsi="Times New Roman"/>
          <w:color w:val="202529"/>
        </w:rPr>
        <w:t>SSE does not remove consistency problems. Events can be missed while a connection is closed, and a list response can race with events arriving during the request. KubeView therefore treats a list as a snapshot, buffers events while it is in flight, and replays them over the returned list. After a stream reconnects, the frontend re-lists to cover the disconnected interval.</w:t>
      </w:r>
    </w:p>
    <w:p>
      <w:pPr>
        <w:pStyle w:val="Heading2"/>
      </w:pPr>
      <w:r>
        <w:t>2.3 Current dashboards and monitoring tools</w:t>
      </w:r>
    </w:p>
    <w:p>
      <w:r>
        <w:rPr>
          <w:rFonts w:ascii="Times New Roman" w:hAnsi="Times New Roman"/>
          <w:color w:val="202529"/>
        </w:rPr>
        <w:t>The Kubernetes Dashboard is a general-purpose web interface for cluster resources [3]. It supports management operations, while KubeView intentionally omits them. Prometheus collects and queries numeric time-series data [4]. It can answer resource and application performance questions but does not reconstruct the full response objects used by KubeView's resource tables. Log platforms retain and search logs at a larger scale. KubeView only follows or tails logs for a selected pod container.</w:t>
      </w:r>
    </w:p>
    <w:p>
      <w:r>
        <w:rPr>
          <w:rFonts w:ascii="Times New Roman" w:hAnsi="Times New Roman"/>
          <w:color w:val="202529"/>
        </w:rPr>
        <w:t>The comparison defines a boundary rather than a claim of superiority. KubeView is useful when a user needs compact inspection and recent object history. A production environment that needs durable metrics, alerts, searchable logs, authentication, audit controls, or high availability should use systems designed for those requirements.</w:t>
      </w:r>
    </w:p>
    <w:p>
      <w:pPr>
        <w:pStyle w:val="Heading2"/>
      </w:pPr>
      <w:r>
        <w:t>2.4 Embedded historical storage</w:t>
      </w:r>
    </w:p>
    <w:p>
      <w:r>
        <w:rPr>
          <w:rFonts w:ascii="Times New Roman" w:hAnsi="Times New Roman"/>
          <w:color w:val="202529"/>
        </w:rPr>
        <w:t>bbolt is an embedded key-value database for Go. It provides ACID transactions and bucket-based organization within one file [8]. A single writer model suits KubeView's batched recorder. It also imposes a deployment constraint because several backend replicas cannot safely treat one local file as a shared distributed store.</w:t>
      </w:r>
    </w:p>
    <w:p>
      <w:r>
        <w:rPr>
          <w:rFonts w:ascii="Times New Roman" w:hAnsi="Times New Roman"/>
          <w:color w:val="202529"/>
        </w:rPr>
        <w:t>Historical state differs from a periodic snapshot archive. KubeView stores a version only when the transformed object body changes. It stores deletion tombstones and retains one baseline version around the retention boundary. State at a requested moment can then be reconstructed by selecting the newest version of each object at or before that moment.</w:t>
      </w:r>
    </w:p>
    <w:p>
      <w:pPr>
        <w:pStyle w:val="Heading2"/>
      </w:pPr>
      <w:r>
        <w:t>2.5 Gap addressed by the project</w:t>
      </w:r>
    </w:p>
    <w:p>
      <w:r>
        <w:rPr>
          <w:rFonts w:ascii="Times New Roman" w:hAnsi="Times New Roman"/>
          <w:color w:val="202529"/>
        </w:rPr>
        <w:t>The project combines five behaviors in one constrained tool: read-only resource views, multiplexed browser updates, pod log streaming, multi-context access, and recent state reconstruction. The implementation question is whether these behaviors can share a small backend while maintaining context isolation, bounded operations, and recoverable stream behavior.</w:t>
      </w:r>
    </w:p>
    <w:p>
      <w:r>
        <w:br w:type="page"/>
      </w:r>
    </w:p>
    <w:p>
      <w:pPr>
        <w:pStyle w:val="Heading1"/>
      </w:pPr>
      <w:r>
        <w:t>3. Requirements and success criteria</w:t>
      </w:r>
    </w:p>
    <w:p>
      <w:pPr>
        <w:pStyle w:val="Heading2"/>
      </w:pPr>
      <w:r>
        <w:t>3.1 Stakeholders</w:t>
      </w:r>
    </w:p>
    <w:p>
      <w:r>
        <w:rPr>
          <w:rFonts w:ascii="Times New Roman" w:hAnsi="Times New Roman"/>
          <w:color w:val="202529"/>
        </w:rPr>
        <w:t>The primary user is a developer, student, or platform engineer inspecting a cluster they are already authorized to access. The operator installs KubeView and controls kubeconfig or service-account permissions. The academic evaluator needs reproducible evidence for architecture, functionality, testing, security decisions, and contribution history.</w:t>
      </w:r>
    </w:p>
    <w:p>
      <w:pPr>
        <w:pStyle w:val="Heading2"/>
      </w:pPr>
      <w:r>
        <w:t>3.2 Functional requirements</w:t>
      </w:r>
    </w:p>
    <w:tbl>
      <w:tblPr>
        <w:tblStyle w:val="TableGrid"/>
        <w:tblW w:type="dxa" w:w="9360"/>
        <w:tblLayout w:type="fixed"/>
        <w:tblLook w:firstColumn="1" w:firstRow="1" w:lastColumn="0" w:lastRow="0" w:noHBand="0" w:noVBand="1" w:val="04A0"/>
        <w:jc w:val="left"/>
        <w:tblInd w:w="120" w:type="dxa"/>
      </w:tblPr>
      <w:tblGrid>
        <w:gridCol w:w="1685"/>
        <w:gridCol w:w="3557"/>
        <w:gridCol w:w="4118"/>
      </w:tblGrid>
      <w:tr>
        <w:trPr>
          <w:tblHeader w:val="true"/>
          <w:cantSplit/>
        </w:trPr>
        <w:tc>
          <w:tcPr>
            <w:tcW w:type="dxa" w:w="1685"/>
            <w:tcMar>
              <w:top w:w="80" w:type="dxa"/>
              <w:start w:w="120" w:type="dxa"/>
              <w:bottom w:w="80" w:type="dxa"/>
              <w:end w:w="120" w:type="dxa"/>
            </w:tcMar>
            <w:vAlign w:val="center"/>
            <w:shd w:fill="E8F0F4"/>
          </w:tcPr>
          <w:p>
            <w:pPr>
              <w:jc w:val="center"/>
            </w:pPr>
            <w:r>
              <w:rPr>
                <w:rFonts w:ascii="Times New Roman" w:hAnsi="Times New Roman"/>
                <w:b/>
                <w:color w:val="173B4F"/>
                <w:sz w:val="17"/>
              </w:rPr>
              <w:t>ID</w:t>
            </w:r>
          </w:p>
        </w:tc>
        <w:tc>
          <w:tcPr>
            <w:tcW w:type="dxa" w:w="3557"/>
            <w:tcMar>
              <w:top w:w="80" w:type="dxa"/>
              <w:start w:w="120" w:type="dxa"/>
              <w:bottom w:w="80" w:type="dxa"/>
              <w:end w:w="120" w:type="dxa"/>
            </w:tcMar>
            <w:vAlign w:val="center"/>
            <w:shd w:fill="E8F0F4"/>
          </w:tcPr>
          <w:p>
            <w:pPr>
              <w:jc w:val="center"/>
            </w:pPr>
            <w:r>
              <w:rPr>
                <w:rFonts w:ascii="Times New Roman" w:hAnsi="Times New Roman"/>
                <w:b/>
                <w:color w:val="173B4F"/>
                <w:sz w:val="17"/>
              </w:rPr>
              <w:t>Requirement</w:t>
            </w:r>
          </w:p>
        </w:tc>
        <w:tc>
          <w:tcPr>
            <w:tcW w:type="dxa" w:w="4118"/>
            <w:tcMar>
              <w:top w:w="80" w:type="dxa"/>
              <w:start w:w="120" w:type="dxa"/>
              <w:bottom w:w="80" w:type="dxa"/>
              <w:end w:w="120" w:type="dxa"/>
            </w:tcMar>
            <w:vAlign w:val="center"/>
            <w:shd w:fill="E8F0F4"/>
          </w:tcPr>
          <w:p>
            <w:pPr>
              <w:jc w:val="center"/>
            </w:pPr>
            <w:r>
              <w:rPr>
                <w:rFonts w:ascii="Times New Roman" w:hAnsi="Times New Roman"/>
                <w:b/>
                <w:color w:val="173B4F"/>
                <w:sz w:val="17"/>
              </w:rPr>
              <w:t>Acceptance evidence</w:t>
            </w:r>
          </w:p>
        </w:tc>
      </w:tr>
      <w:tr>
        <w:trPr>
          <w:cantSplit/>
        </w:trPr>
        <w:tc>
          <w:tcPr>
            <w:tcW w:type="dxa" w:w="1685"/>
            <w:tcMar>
              <w:top w:w="80" w:type="dxa"/>
              <w:start w:w="120" w:type="dxa"/>
              <w:bottom w:w="80" w:type="dxa"/>
              <w:end w:w="120" w:type="dxa"/>
            </w:tcMar>
            <w:vAlign w:val="center"/>
          </w:tcPr>
          <w:p>
            <w:pPr>
              <w:jc w:val="left"/>
            </w:pPr>
            <w:r>
              <w:rPr>
                <w:rFonts w:ascii="Times New Roman" w:hAnsi="Times New Roman"/>
                <w:color w:val="202529"/>
                <w:sz w:val="17"/>
              </w:rPr>
              <w:t>FR-01</w:t>
            </w:r>
          </w:p>
        </w:tc>
        <w:tc>
          <w:tcPr>
            <w:tcW w:type="dxa" w:w="3557"/>
            <w:tcMar>
              <w:top w:w="80" w:type="dxa"/>
              <w:start w:w="120" w:type="dxa"/>
              <w:bottom w:w="80" w:type="dxa"/>
              <w:end w:w="120" w:type="dxa"/>
            </w:tcMar>
            <w:vAlign w:val="center"/>
          </w:tcPr>
          <w:p>
            <w:pPr>
              <w:jc w:val="left"/>
            </w:pPr>
            <w:r>
              <w:rPr>
                <w:rFonts w:ascii="Times New Roman" w:hAnsi="Times New Roman"/>
                <w:color w:val="202529"/>
                <w:sz w:val="17"/>
              </w:rPr>
              <w:t>List every supported Kubernetes resource type.</w:t>
            </w:r>
          </w:p>
        </w:tc>
        <w:tc>
          <w:tcPr>
            <w:tcW w:type="dxa" w:w="4118"/>
            <w:tcMar>
              <w:top w:w="80" w:type="dxa"/>
              <w:start w:w="120" w:type="dxa"/>
              <w:bottom w:w="80" w:type="dxa"/>
              <w:end w:w="120" w:type="dxa"/>
            </w:tcMar>
            <w:vAlign w:val="center"/>
          </w:tcPr>
          <w:p>
            <w:pPr>
              <w:jc w:val="left"/>
            </w:pPr>
            <w:r>
              <w:rPr>
                <w:rFonts w:ascii="Times New Roman" w:hAnsi="Times New Roman"/>
                <w:color w:val="202529"/>
                <w:sz w:val="17"/>
              </w:rPr>
              <w:t>Backend handler tests and resource-page E2E cases.</w:t>
            </w:r>
          </w:p>
        </w:tc>
      </w:tr>
      <w:tr>
        <w:trPr>
          <w:cantSplit/>
        </w:trPr>
        <w:tc>
          <w:tcPr>
            <w:tcW w:type="dxa" w:w="1685"/>
            <w:tcMar>
              <w:top w:w="80" w:type="dxa"/>
              <w:start w:w="120" w:type="dxa"/>
              <w:bottom w:w="80" w:type="dxa"/>
              <w:end w:w="120" w:type="dxa"/>
            </w:tcMar>
            <w:vAlign w:val="center"/>
          </w:tcPr>
          <w:p>
            <w:pPr>
              <w:jc w:val="left"/>
            </w:pPr>
            <w:r>
              <w:rPr>
                <w:rFonts w:ascii="Times New Roman" w:hAnsi="Times New Roman"/>
                <w:color w:val="202529"/>
                <w:sz w:val="17"/>
              </w:rPr>
              <w:t>FR-02</w:t>
            </w:r>
          </w:p>
        </w:tc>
        <w:tc>
          <w:tcPr>
            <w:tcW w:type="dxa" w:w="3557"/>
            <w:tcMar>
              <w:top w:w="80" w:type="dxa"/>
              <w:start w:w="120" w:type="dxa"/>
              <w:bottom w:w="80" w:type="dxa"/>
              <w:end w:w="120" w:type="dxa"/>
            </w:tcMar>
            <w:vAlign w:val="center"/>
          </w:tcPr>
          <w:p>
            <w:pPr>
              <w:jc w:val="left"/>
            </w:pPr>
            <w:r>
              <w:rPr>
                <w:rFonts w:ascii="Times New Roman" w:hAnsi="Times New Roman"/>
                <w:color w:val="202529"/>
                <w:sz w:val="17"/>
              </w:rPr>
              <w:t>Filter namespaced resources and search visible rows.</w:t>
            </w:r>
          </w:p>
        </w:tc>
        <w:tc>
          <w:tcPr>
            <w:tcW w:type="dxa" w:w="4118"/>
            <w:tcMar>
              <w:top w:w="80" w:type="dxa"/>
              <w:start w:w="120" w:type="dxa"/>
              <w:bottom w:w="80" w:type="dxa"/>
              <w:end w:w="120" w:type="dxa"/>
            </w:tcMar>
            <w:vAlign w:val="center"/>
          </w:tcPr>
          <w:p>
            <w:pPr>
              <w:jc w:val="left"/>
            </w:pPr>
            <w:r>
              <w:rPr>
                <w:rFonts w:ascii="Times New Roman" w:hAnsi="Times New Roman"/>
                <w:color w:val="202529"/>
                <w:sz w:val="17"/>
              </w:rPr>
              <w:t>Frontend and Playwright cases.</w:t>
            </w:r>
          </w:p>
        </w:tc>
      </w:tr>
      <w:tr>
        <w:trPr>
          <w:cantSplit/>
        </w:trPr>
        <w:tc>
          <w:tcPr>
            <w:tcW w:type="dxa" w:w="1685"/>
            <w:tcMar>
              <w:top w:w="80" w:type="dxa"/>
              <w:start w:w="120" w:type="dxa"/>
              <w:bottom w:w="80" w:type="dxa"/>
              <w:end w:w="120" w:type="dxa"/>
            </w:tcMar>
            <w:vAlign w:val="center"/>
          </w:tcPr>
          <w:p>
            <w:pPr>
              <w:jc w:val="left"/>
            </w:pPr>
            <w:r>
              <w:rPr>
                <w:rFonts w:ascii="Times New Roman" w:hAnsi="Times New Roman"/>
                <w:color w:val="202529"/>
                <w:sz w:val="17"/>
              </w:rPr>
              <w:t>FR-03</w:t>
            </w:r>
          </w:p>
        </w:tc>
        <w:tc>
          <w:tcPr>
            <w:tcW w:type="dxa" w:w="3557"/>
            <w:tcMar>
              <w:top w:w="80" w:type="dxa"/>
              <w:start w:w="120" w:type="dxa"/>
              <w:bottom w:w="80" w:type="dxa"/>
              <w:end w:w="120" w:type="dxa"/>
            </w:tcMar>
            <w:vAlign w:val="center"/>
          </w:tcPr>
          <w:p>
            <w:pPr>
              <w:jc w:val="left"/>
            </w:pPr>
            <w:r>
              <w:rPr>
                <w:rFonts w:ascii="Times New Roman" w:hAnsi="Times New Roman"/>
                <w:color w:val="202529"/>
                <w:sz w:val="17"/>
              </w:rPr>
              <w:t>Show pod detail for all supported container categories.</w:t>
            </w:r>
          </w:p>
        </w:tc>
        <w:tc>
          <w:tcPr>
            <w:tcW w:type="dxa" w:w="4118"/>
            <w:tcMar>
              <w:top w:w="80" w:type="dxa"/>
              <w:start w:w="120" w:type="dxa"/>
              <w:bottom w:w="80" w:type="dxa"/>
              <w:end w:w="120" w:type="dxa"/>
            </w:tcMar>
            <w:vAlign w:val="center"/>
          </w:tcPr>
          <w:p>
            <w:pPr>
              <w:jc w:val="left"/>
            </w:pPr>
            <w:r>
              <w:rPr>
                <w:rFonts w:ascii="Times New Roman" w:hAnsi="Times New Roman"/>
                <w:color w:val="202529"/>
                <w:sz w:val="17"/>
              </w:rPr>
              <w:t>Transformer tests and pod-detail E2E cases.</w:t>
            </w:r>
          </w:p>
        </w:tc>
      </w:tr>
      <w:tr>
        <w:trPr>
          <w:cantSplit/>
        </w:trPr>
        <w:tc>
          <w:tcPr>
            <w:tcW w:type="dxa" w:w="1685"/>
            <w:tcMar>
              <w:top w:w="80" w:type="dxa"/>
              <w:start w:w="120" w:type="dxa"/>
              <w:bottom w:w="80" w:type="dxa"/>
              <w:end w:w="120" w:type="dxa"/>
            </w:tcMar>
            <w:vAlign w:val="center"/>
          </w:tcPr>
          <w:p>
            <w:pPr>
              <w:jc w:val="left"/>
            </w:pPr>
            <w:r>
              <w:rPr>
                <w:rFonts w:ascii="Times New Roman" w:hAnsi="Times New Roman"/>
                <w:color w:val="202529"/>
                <w:sz w:val="17"/>
              </w:rPr>
              <w:t>FR-04</w:t>
            </w:r>
          </w:p>
        </w:tc>
        <w:tc>
          <w:tcPr>
            <w:tcW w:type="dxa" w:w="3557"/>
            <w:tcMar>
              <w:top w:w="80" w:type="dxa"/>
              <w:start w:w="120" w:type="dxa"/>
              <w:bottom w:w="80" w:type="dxa"/>
              <w:end w:w="120" w:type="dxa"/>
            </w:tcMar>
            <w:vAlign w:val="center"/>
          </w:tcPr>
          <w:p>
            <w:pPr>
              <w:jc w:val="left"/>
            </w:pPr>
            <w:r>
              <w:rPr>
                <w:rFonts w:ascii="Times New Roman" w:hAnsi="Times New Roman"/>
                <w:color w:val="202529"/>
                <w:sz w:val="17"/>
              </w:rPr>
              <w:t>Retrieve a bounded log tail and follow later lines.</w:t>
            </w:r>
          </w:p>
        </w:tc>
        <w:tc>
          <w:tcPr>
            <w:tcW w:type="dxa" w:w="4118"/>
            <w:tcMar>
              <w:top w:w="80" w:type="dxa"/>
              <w:start w:w="120" w:type="dxa"/>
              <w:bottom w:w="80" w:type="dxa"/>
              <w:end w:w="120" w:type="dxa"/>
            </w:tcMar>
            <w:vAlign w:val="center"/>
          </w:tcPr>
          <w:p>
            <w:pPr>
              <w:jc w:val="left"/>
            </w:pPr>
            <w:r>
              <w:rPr>
                <w:rFonts w:ascii="Times New Roman" w:hAnsi="Times New Roman"/>
                <w:color w:val="202529"/>
                <w:sz w:val="17"/>
              </w:rPr>
              <w:t>Handler stream tests and log-streaming E2E cases.</w:t>
            </w:r>
          </w:p>
        </w:tc>
      </w:tr>
      <w:tr>
        <w:trPr>
          <w:cantSplit/>
        </w:trPr>
        <w:tc>
          <w:tcPr>
            <w:tcW w:type="dxa" w:w="1685"/>
            <w:tcMar>
              <w:top w:w="80" w:type="dxa"/>
              <w:start w:w="120" w:type="dxa"/>
              <w:bottom w:w="80" w:type="dxa"/>
              <w:end w:w="120" w:type="dxa"/>
            </w:tcMar>
            <w:vAlign w:val="center"/>
          </w:tcPr>
          <w:p>
            <w:pPr>
              <w:jc w:val="left"/>
            </w:pPr>
            <w:r>
              <w:rPr>
                <w:rFonts w:ascii="Times New Roman" w:hAnsi="Times New Roman"/>
                <w:color w:val="202529"/>
                <w:sz w:val="17"/>
              </w:rPr>
              <w:t>FR-05</w:t>
            </w:r>
          </w:p>
        </w:tc>
        <w:tc>
          <w:tcPr>
            <w:tcW w:type="dxa" w:w="3557"/>
            <w:tcMar>
              <w:top w:w="80" w:type="dxa"/>
              <w:start w:w="120" w:type="dxa"/>
              <w:bottom w:w="80" w:type="dxa"/>
              <w:end w:w="120" w:type="dxa"/>
            </w:tcMar>
            <w:vAlign w:val="center"/>
          </w:tcPr>
          <w:p>
            <w:pPr>
              <w:jc w:val="left"/>
            </w:pPr>
            <w:r>
              <w:rPr>
                <w:rFonts w:ascii="Times New Roman" w:hAnsi="Times New Roman"/>
                <w:color w:val="202529"/>
                <w:sz w:val="17"/>
              </w:rPr>
              <w:t>Apply add, modify, and delete events to live tables.</w:t>
            </w:r>
          </w:p>
        </w:tc>
        <w:tc>
          <w:tcPr>
            <w:tcW w:type="dxa" w:w="4118"/>
            <w:tcMar>
              <w:top w:w="80" w:type="dxa"/>
              <w:start w:w="120" w:type="dxa"/>
              <w:bottom w:w="80" w:type="dxa"/>
              <w:end w:w="120" w:type="dxa"/>
            </w:tcMar>
            <w:vAlign w:val="center"/>
          </w:tcPr>
          <w:p>
            <w:pPr>
              <w:jc w:val="left"/>
            </w:pPr>
            <w:r>
              <w:rPr>
                <w:rFonts w:ascii="Times New Roman" w:hAnsi="Times New Roman"/>
                <w:color w:val="202529"/>
                <w:sz w:val="17"/>
              </w:rPr>
              <w:t>Watch tests, hook tests, and live-update E2E cases.</w:t>
            </w:r>
          </w:p>
        </w:tc>
      </w:tr>
      <w:tr>
        <w:trPr>
          <w:cantSplit/>
        </w:trPr>
        <w:tc>
          <w:tcPr>
            <w:tcW w:type="dxa" w:w="1685"/>
            <w:tcMar>
              <w:top w:w="80" w:type="dxa"/>
              <w:start w:w="120" w:type="dxa"/>
              <w:bottom w:w="80" w:type="dxa"/>
              <w:end w:w="120" w:type="dxa"/>
            </w:tcMar>
            <w:vAlign w:val="center"/>
          </w:tcPr>
          <w:p>
            <w:pPr>
              <w:jc w:val="left"/>
            </w:pPr>
            <w:r>
              <w:rPr>
                <w:rFonts w:ascii="Times New Roman" w:hAnsi="Times New Roman"/>
                <w:color w:val="202529"/>
                <w:sz w:val="17"/>
              </w:rPr>
              <w:t>FR-06</w:t>
            </w:r>
          </w:p>
        </w:tc>
        <w:tc>
          <w:tcPr>
            <w:tcW w:type="dxa" w:w="3557"/>
            <w:tcMar>
              <w:top w:w="80" w:type="dxa"/>
              <w:start w:w="120" w:type="dxa"/>
              <w:bottom w:w="80" w:type="dxa"/>
              <w:end w:w="120" w:type="dxa"/>
            </w:tcMar>
            <w:vAlign w:val="center"/>
          </w:tcPr>
          <w:p>
            <w:pPr>
              <w:jc w:val="left"/>
            </w:pPr>
            <w:r>
              <w:rPr>
                <w:rFonts w:ascii="Times New Roman" w:hAnsi="Times New Roman"/>
                <w:color w:val="202529"/>
                <w:sz w:val="17"/>
              </w:rPr>
              <w:t>Enumerate and switch between valid kubeconfig contexts.</w:t>
            </w:r>
          </w:p>
        </w:tc>
        <w:tc>
          <w:tcPr>
            <w:tcW w:type="dxa" w:w="4118"/>
            <w:tcMar>
              <w:top w:w="80" w:type="dxa"/>
              <w:start w:w="120" w:type="dxa"/>
              <w:bottom w:w="80" w:type="dxa"/>
              <w:end w:w="120" w:type="dxa"/>
            </w:tcMar>
            <w:vAlign w:val="center"/>
          </w:tcPr>
          <w:p>
            <w:pPr>
              <w:jc w:val="left"/>
            </w:pPr>
            <w:r>
              <w:rPr>
                <w:rFonts w:ascii="Times New Roman" w:hAnsi="Times New Roman"/>
                <w:color w:val="202529"/>
                <w:sz w:val="17"/>
              </w:rPr>
              <w:t>Client-manager, provider, API, and E2E coverage.</w:t>
            </w:r>
          </w:p>
        </w:tc>
      </w:tr>
      <w:tr>
        <w:trPr>
          <w:cantSplit/>
        </w:trPr>
        <w:tc>
          <w:tcPr>
            <w:tcW w:type="dxa" w:w="1685"/>
            <w:tcMar>
              <w:top w:w="80" w:type="dxa"/>
              <w:start w:w="120" w:type="dxa"/>
              <w:bottom w:w="80" w:type="dxa"/>
              <w:end w:w="120" w:type="dxa"/>
            </w:tcMar>
            <w:vAlign w:val="center"/>
          </w:tcPr>
          <w:p>
            <w:pPr>
              <w:jc w:val="left"/>
            </w:pPr>
            <w:r>
              <w:rPr>
                <w:rFonts w:ascii="Times New Roman" w:hAnsi="Times New Roman"/>
                <w:color w:val="202529"/>
                <w:sz w:val="17"/>
              </w:rPr>
              <w:t>FR-07</w:t>
            </w:r>
          </w:p>
        </w:tc>
        <w:tc>
          <w:tcPr>
            <w:tcW w:type="dxa" w:w="3557"/>
            <w:tcMar>
              <w:top w:w="80" w:type="dxa"/>
              <w:start w:w="120" w:type="dxa"/>
              <w:bottom w:w="80" w:type="dxa"/>
              <w:end w:w="120" w:type="dxa"/>
            </w:tcMar>
            <w:vAlign w:val="center"/>
          </w:tcPr>
          <w:p>
            <w:pPr>
              <w:jc w:val="left"/>
            </w:pPr>
            <w:r>
              <w:rPr>
                <w:rFonts w:ascii="Times New Roman" w:hAnsi="Times New Roman"/>
                <w:color w:val="202529"/>
                <w:sz w:val="17"/>
              </w:rPr>
              <w:t>Keep requests, streams, and history associated with the selected context.</w:t>
            </w:r>
          </w:p>
        </w:tc>
        <w:tc>
          <w:tcPr>
            <w:tcW w:type="dxa" w:w="4118"/>
            <w:tcMar>
              <w:top w:w="80" w:type="dxa"/>
              <w:start w:w="120" w:type="dxa"/>
              <w:bottom w:w="80" w:type="dxa"/>
              <w:end w:w="120" w:type="dxa"/>
            </w:tcMar>
            <w:vAlign w:val="center"/>
          </w:tcPr>
          <w:p>
            <w:pPr>
              <w:jc w:val="left"/>
            </w:pPr>
            <w:r>
              <w:rPr>
                <w:rFonts w:ascii="Times New Roman" w:hAnsi="Times New Roman"/>
                <w:color w:val="202529"/>
                <w:sz w:val="17"/>
              </w:rPr>
              <w:t>Context-isolation tests and frontend reset behavior.</w:t>
            </w:r>
          </w:p>
        </w:tc>
      </w:tr>
      <w:tr>
        <w:trPr>
          <w:cantSplit/>
        </w:trPr>
        <w:tc>
          <w:tcPr>
            <w:tcW w:type="dxa" w:w="1685"/>
            <w:tcMar>
              <w:top w:w="80" w:type="dxa"/>
              <w:start w:w="120" w:type="dxa"/>
              <w:bottom w:w="80" w:type="dxa"/>
              <w:end w:w="120" w:type="dxa"/>
            </w:tcMar>
            <w:vAlign w:val="center"/>
          </w:tcPr>
          <w:p>
            <w:pPr>
              <w:jc w:val="left"/>
            </w:pPr>
            <w:r>
              <w:rPr>
                <w:rFonts w:ascii="Times New Roman" w:hAnsi="Times New Roman"/>
                <w:color w:val="202529"/>
                <w:sz w:val="17"/>
              </w:rPr>
              <w:t>FR-08</w:t>
            </w:r>
          </w:p>
        </w:tc>
        <w:tc>
          <w:tcPr>
            <w:tcW w:type="dxa" w:w="3557"/>
            <w:tcMar>
              <w:top w:w="80" w:type="dxa"/>
              <w:start w:w="120" w:type="dxa"/>
              <w:bottom w:w="80" w:type="dxa"/>
              <w:end w:w="120" w:type="dxa"/>
            </w:tcMar>
            <w:vAlign w:val="center"/>
          </w:tcPr>
          <w:p>
            <w:pPr>
              <w:jc w:val="left"/>
            </w:pPr>
            <w:r>
              <w:rPr>
                <w:rFonts w:ascii="Times New Roman" w:hAnsi="Times New Roman"/>
                <w:color w:val="202529"/>
                <w:sz w:val="17"/>
              </w:rPr>
              <w:t>Record changed resource versions for a configurable retention period.</w:t>
            </w:r>
          </w:p>
        </w:tc>
        <w:tc>
          <w:tcPr>
            <w:tcW w:type="dxa" w:w="4118"/>
            <w:tcMar>
              <w:top w:w="80" w:type="dxa"/>
              <w:start w:w="120" w:type="dxa"/>
              <w:bottom w:w="80" w:type="dxa"/>
              <w:end w:w="120" w:type="dxa"/>
            </w:tcMar>
            <w:vAlign w:val="center"/>
          </w:tcPr>
          <w:p>
            <w:pPr>
              <w:jc w:val="left"/>
            </w:pPr>
            <w:r>
              <w:rPr>
                <w:rFonts w:ascii="Times New Roman" w:hAnsi="Times New Roman"/>
                <w:color w:val="202529"/>
                <w:sz w:val="17"/>
              </w:rPr>
              <w:t>Recorder and store tests.</w:t>
            </w:r>
          </w:p>
        </w:tc>
      </w:tr>
      <w:tr>
        <w:trPr>
          <w:cantSplit/>
        </w:trPr>
        <w:tc>
          <w:tcPr>
            <w:tcW w:type="dxa" w:w="1685"/>
            <w:tcMar>
              <w:top w:w="80" w:type="dxa"/>
              <w:start w:w="120" w:type="dxa"/>
              <w:bottom w:w="80" w:type="dxa"/>
              <w:end w:w="120" w:type="dxa"/>
            </w:tcMar>
            <w:vAlign w:val="center"/>
          </w:tcPr>
          <w:p>
            <w:pPr>
              <w:jc w:val="left"/>
            </w:pPr>
            <w:r>
              <w:rPr>
                <w:rFonts w:ascii="Times New Roman" w:hAnsi="Times New Roman"/>
                <w:color w:val="202529"/>
                <w:sz w:val="17"/>
              </w:rPr>
              <w:t>FR-09</w:t>
            </w:r>
          </w:p>
        </w:tc>
        <w:tc>
          <w:tcPr>
            <w:tcW w:type="dxa" w:w="3557"/>
            <w:tcMar>
              <w:top w:w="80" w:type="dxa"/>
              <w:start w:w="120" w:type="dxa"/>
              <w:bottom w:w="80" w:type="dxa"/>
              <w:end w:w="120" w:type="dxa"/>
            </w:tcMar>
            <w:vAlign w:val="center"/>
          </w:tcPr>
          <w:p>
            <w:pPr>
              <w:jc w:val="left"/>
            </w:pPr>
            <w:r>
              <w:rPr>
                <w:rFonts w:ascii="Times New Roman" w:hAnsi="Times New Roman"/>
                <w:color w:val="202529"/>
                <w:sz w:val="17"/>
              </w:rPr>
              <w:t>Reconstruct resource state at a requested timestamp.</w:t>
            </w:r>
          </w:p>
        </w:tc>
        <w:tc>
          <w:tcPr>
            <w:tcW w:type="dxa" w:w="4118"/>
            <w:tcMar>
              <w:top w:w="80" w:type="dxa"/>
              <w:start w:w="120" w:type="dxa"/>
              <w:bottom w:w="80" w:type="dxa"/>
              <w:end w:w="120" w:type="dxa"/>
            </w:tcMar>
            <w:vAlign w:val="center"/>
          </w:tcPr>
          <w:p>
            <w:pPr>
              <w:jc w:val="left"/>
            </w:pPr>
            <w:r>
              <w:rPr>
                <w:rFonts w:ascii="Times New Roman" w:hAnsi="Times New Roman"/>
                <w:color w:val="202529"/>
                <w:sz w:val="17"/>
              </w:rPr>
              <w:t>Store, handler, frontend, and E2E tests.</w:t>
            </w:r>
          </w:p>
        </w:tc>
      </w:tr>
      <w:tr>
        <w:trPr>
          <w:cantSplit/>
        </w:trPr>
        <w:tc>
          <w:tcPr>
            <w:tcW w:type="dxa" w:w="1685"/>
            <w:tcMar>
              <w:top w:w="80" w:type="dxa"/>
              <w:start w:w="120" w:type="dxa"/>
              <w:bottom w:w="80" w:type="dxa"/>
              <w:end w:w="120" w:type="dxa"/>
            </w:tcMar>
            <w:vAlign w:val="center"/>
          </w:tcPr>
          <w:p>
            <w:pPr>
              <w:jc w:val="left"/>
            </w:pPr>
            <w:r>
              <w:rPr>
                <w:rFonts w:ascii="Times New Roman" w:hAnsi="Times New Roman"/>
                <w:color w:val="202529"/>
                <w:sz w:val="17"/>
              </w:rPr>
              <w:t>FR-10</w:t>
            </w:r>
          </w:p>
        </w:tc>
        <w:tc>
          <w:tcPr>
            <w:tcW w:type="dxa" w:w="3557"/>
            <w:tcMar>
              <w:top w:w="80" w:type="dxa"/>
              <w:start w:w="120" w:type="dxa"/>
              <w:bottom w:w="80" w:type="dxa"/>
              <w:end w:w="120" w:type="dxa"/>
            </w:tcMar>
            <w:vAlign w:val="center"/>
          </w:tcPr>
          <w:p>
            <w:pPr>
              <w:jc w:val="left"/>
            </w:pPr>
            <w:r>
              <w:rPr>
                <w:rFonts w:ascii="Times New Roman" w:hAnsi="Times New Roman"/>
                <w:color w:val="202529"/>
                <w:sz w:val="17"/>
              </w:rPr>
              <w:t>Compare two timestamps and show related events.</w:t>
            </w:r>
          </w:p>
        </w:tc>
        <w:tc>
          <w:tcPr>
            <w:tcW w:type="dxa" w:w="4118"/>
            <w:tcMar>
              <w:top w:w="80" w:type="dxa"/>
              <w:start w:w="120" w:type="dxa"/>
              <w:bottom w:w="80" w:type="dxa"/>
              <w:end w:w="120" w:type="dxa"/>
            </w:tcMar>
            <w:vAlign w:val="center"/>
          </w:tcPr>
          <w:p>
            <w:pPr>
              <w:jc w:val="left"/>
            </w:pPr>
            <w:r>
              <w:rPr>
                <w:rFonts w:ascii="Times New Roman" w:hAnsi="Times New Roman"/>
                <w:color w:val="202529"/>
                <w:sz w:val="17"/>
              </w:rPr>
              <w:t>Diff tests and time-travel E2E cases.</w:t>
            </w:r>
          </w:p>
        </w:tc>
      </w:tr>
      <w:tr>
        <w:trPr>
          <w:cantSplit/>
        </w:trPr>
        <w:tc>
          <w:tcPr>
            <w:tcW w:type="dxa" w:w="1685"/>
            <w:tcMar>
              <w:top w:w="80" w:type="dxa"/>
              <w:start w:w="120" w:type="dxa"/>
              <w:bottom w:w="80" w:type="dxa"/>
              <w:end w:w="120" w:type="dxa"/>
            </w:tcMar>
            <w:vAlign w:val="center"/>
          </w:tcPr>
          <w:p>
            <w:pPr>
              <w:jc w:val="left"/>
            </w:pPr>
            <w:r>
              <w:rPr>
                <w:rFonts w:ascii="Times New Roman" w:hAnsi="Times New Roman"/>
                <w:color w:val="202529"/>
                <w:sz w:val="17"/>
              </w:rPr>
              <w:t>FR-11</w:t>
            </w:r>
          </w:p>
        </w:tc>
        <w:tc>
          <w:tcPr>
            <w:tcW w:type="dxa" w:w="3557"/>
            <w:tcMar>
              <w:top w:w="80" w:type="dxa"/>
              <w:start w:w="120" w:type="dxa"/>
              <w:bottom w:w="80" w:type="dxa"/>
              <w:end w:w="120" w:type="dxa"/>
            </w:tcMar>
            <w:vAlign w:val="center"/>
          </w:tcPr>
          <w:p>
            <w:pPr>
              <w:jc w:val="left"/>
            </w:pPr>
            <w:r>
              <w:rPr>
                <w:rFonts w:ascii="Times New Roman" w:hAnsi="Times New Roman"/>
                <w:color w:val="202529"/>
                <w:sz w:val="17"/>
              </w:rPr>
              <w:t>Mask Secret values in list responses and reveal them only through an explicit action.</w:t>
            </w:r>
          </w:p>
        </w:tc>
        <w:tc>
          <w:tcPr>
            <w:tcW w:type="dxa" w:w="4118"/>
            <w:tcMar>
              <w:top w:w="80" w:type="dxa"/>
              <w:start w:w="120" w:type="dxa"/>
              <w:bottom w:w="80" w:type="dxa"/>
              <w:end w:w="120" w:type="dxa"/>
            </w:tcMar>
            <w:vAlign w:val="center"/>
          </w:tcPr>
          <w:p>
            <w:pPr>
              <w:jc w:val="left"/>
            </w:pPr>
            <w:r>
              <w:rPr>
                <w:rFonts w:ascii="Times New Roman" w:hAnsi="Times New Roman"/>
                <w:color w:val="202529"/>
                <w:sz w:val="17"/>
              </w:rPr>
              <w:t>Handler and Secret E2E cases.</w:t>
            </w:r>
          </w:p>
        </w:tc>
      </w:tr>
    </w:tbl>
    <w:p>
      <w:pPr>
        <w:spacing w:after="0"/>
      </w:pPr>
    </w:p>
    <w:p>
      <w:pPr>
        <w:pStyle w:val="Heading2"/>
      </w:pPr>
      <w:r>
        <w:t>3.3 Non-functional and security requirements</w:t>
      </w:r>
    </w:p>
    <w:tbl>
      <w:tblPr>
        <w:tblStyle w:val="TableGrid"/>
        <w:tblW w:type="dxa" w:w="9360"/>
        <w:tblLayout w:type="fixed"/>
        <w:tblLook w:firstColumn="1" w:firstRow="1" w:lastColumn="0" w:lastRow="0" w:noHBand="0" w:noVBand="1" w:val="04A0"/>
        <w:jc w:val="left"/>
        <w:tblInd w:w="120" w:type="dxa"/>
      </w:tblPr>
      <w:tblGrid>
        <w:gridCol w:w="1685"/>
        <w:gridCol w:w="3557"/>
        <w:gridCol w:w="4118"/>
      </w:tblGrid>
      <w:tr>
        <w:trPr>
          <w:tblHeader w:val="true"/>
          <w:cantSplit/>
        </w:trPr>
        <w:tc>
          <w:tcPr>
            <w:tcW w:type="dxa" w:w="1685"/>
            <w:tcMar>
              <w:top w:w="80" w:type="dxa"/>
              <w:start w:w="120" w:type="dxa"/>
              <w:bottom w:w="80" w:type="dxa"/>
              <w:end w:w="120" w:type="dxa"/>
            </w:tcMar>
            <w:vAlign w:val="center"/>
            <w:shd w:fill="E8F0F4"/>
          </w:tcPr>
          <w:p>
            <w:pPr>
              <w:jc w:val="center"/>
            </w:pPr>
            <w:r>
              <w:rPr>
                <w:rFonts w:ascii="Times New Roman" w:hAnsi="Times New Roman"/>
                <w:b/>
                <w:color w:val="173B4F"/>
                <w:sz w:val="17"/>
              </w:rPr>
              <w:t>ID</w:t>
            </w:r>
          </w:p>
        </w:tc>
        <w:tc>
          <w:tcPr>
            <w:tcW w:type="dxa" w:w="3557"/>
            <w:tcMar>
              <w:top w:w="80" w:type="dxa"/>
              <w:start w:w="120" w:type="dxa"/>
              <w:bottom w:w="80" w:type="dxa"/>
              <w:end w:w="120" w:type="dxa"/>
            </w:tcMar>
            <w:vAlign w:val="center"/>
            <w:shd w:fill="E8F0F4"/>
          </w:tcPr>
          <w:p>
            <w:pPr>
              <w:jc w:val="center"/>
            </w:pPr>
            <w:r>
              <w:rPr>
                <w:rFonts w:ascii="Times New Roman" w:hAnsi="Times New Roman"/>
                <w:b/>
                <w:color w:val="173B4F"/>
                <w:sz w:val="17"/>
              </w:rPr>
              <w:t>Requirement</w:t>
            </w:r>
          </w:p>
        </w:tc>
        <w:tc>
          <w:tcPr>
            <w:tcW w:type="dxa" w:w="4118"/>
            <w:tcMar>
              <w:top w:w="80" w:type="dxa"/>
              <w:start w:w="120" w:type="dxa"/>
              <w:bottom w:w="80" w:type="dxa"/>
              <w:end w:w="120" w:type="dxa"/>
            </w:tcMar>
            <w:vAlign w:val="center"/>
            <w:shd w:fill="E8F0F4"/>
          </w:tcPr>
          <w:p>
            <w:pPr>
              <w:jc w:val="center"/>
            </w:pPr>
            <w:r>
              <w:rPr>
                <w:rFonts w:ascii="Times New Roman" w:hAnsi="Times New Roman"/>
                <w:b/>
                <w:color w:val="173B4F"/>
                <w:sz w:val="17"/>
              </w:rPr>
              <w:t>Design response</w:t>
            </w:r>
          </w:p>
        </w:tc>
      </w:tr>
      <w:tr>
        <w:trPr>
          <w:cantSplit/>
        </w:trPr>
        <w:tc>
          <w:tcPr>
            <w:tcW w:type="dxa" w:w="1685"/>
            <w:tcMar>
              <w:top w:w="80" w:type="dxa"/>
              <w:start w:w="120" w:type="dxa"/>
              <w:bottom w:w="80" w:type="dxa"/>
              <w:end w:w="120" w:type="dxa"/>
            </w:tcMar>
            <w:vAlign w:val="center"/>
          </w:tcPr>
          <w:p>
            <w:pPr>
              <w:jc w:val="left"/>
            </w:pPr>
            <w:r>
              <w:rPr>
                <w:rFonts w:ascii="Times New Roman" w:hAnsi="Times New Roman"/>
                <w:color w:val="202529"/>
                <w:sz w:val="17"/>
              </w:rPr>
              <w:t>NFR-01</w:t>
            </w:r>
          </w:p>
        </w:tc>
        <w:tc>
          <w:tcPr>
            <w:tcW w:type="dxa" w:w="3557"/>
            <w:tcMar>
              <w:top w:w="80" w:type="dxa"/>
              <w:start w:w="120" w:type="dxa"/>
              <w:bottom w:w="80" w:type="dxa"/>
              <w:end w:w="120" w:type="dxa"/>
            </w:tcMar>
            <w:vAlign w:val="center"/>
          </w:tcPr>
          <w:p>
            <w:pPr>
              <w:jc w:val="left"/>
            </w:pPr>
            <w:r>
              <w:rPr>
                <w:rFonts w:ascii="Times New Roman" w:hAnsi="Times New Roman"/>
                <w:color w:val="202529"/>
                <w:sz w:val="17"/>
              </w:rPr>
              <w:t>Ordinary API calls must not wait forever for an unreachable cluster.</w:t>
            </w:r>
          </w:p>
        </w:tc>
        <w:tc>
          <w:tcPr>
            <w:tcW w:type="dxa" w:w="4118"/>
            <w:tcMar>
              <w:top w:w="80" w:type="dxa"/>
              <w:start w:w="120" w:type="dxa"/>
              <w:bottom w:w="80" w:type="dxa"/>
              <w:end w:w="120" w:type="dxa"/>
            </w:tcMar>
            <w:vAlign w:val="center"/>
          </w:tcPr>
          <w:p>
            <w:pPr>
              <w:jc w:val="left"/>
            </w:pPr>
            <w:r>
              <w:rPr>
                <w:rFonts w:ascii="Times New Roman" w:hAnsi="Times New Roman"/>
                <w:color w:val="202529"/>
                <w:sz w:val="17"/>
              </w:rPr>
              <w:t>Non-streaming Kubernetes clients use a 55-second request timeout.</w:t>
            </w:r>
          </w:p>
        </w:tc>
      </w:tr>
      <w:tr>
        <w:trPr>
          <w:cantSplit/>
        </w:trPr>
        <w:tc>
          <w:tcPr>
            <w:tcW w:type="dxa" w:w="1685"/>
            <w:tcMar>
              <w:top w:w="80" w:type="dxa"/>
              <w:start w:w="120" w:type="dxa"/>
              <w:bottom w:w="80" w:type="dxa"/>
              <w:end w:w="120" w:type="dxa"/>
            </w:tcMar>
            <w:vAlign w:val="center"/>
          </w:tcPr>
          <w:p>
            <w:pPr>
              <w:jc w:val="left"/>
            </w:pPr>
            <w:r>
              <w:rPr>
                <w:rFonts w:ascii="Times New Roman" w:hAnsi="Times New Roman"/>
                <w:color w:val="202529"/>
                <w:sz w:val="17"/>
              </w:rPr>
              <w:t>NFR-02</w:t>
            </w:r>
          </w:p>
        </w:tc>
        <w:tc>
          <w:tcPr>
            <w:tcW w:type="dxa" w:w="3557"/>
            <w:tcMar>
              <w:top w:w="80" w:type="dxa"/>
              <w:start w:w="120" w:type="dxa"/>
              <w:bottom w:w="80" w:type="dxa"/>
              <w:end w:w="120" w:type="dxa"/>
            </w:tcMar>
            <w:vAlign w:val="center"/>
          </w:tcPr>
          <w:p>
            <w:pPr>
              <w:jc w:val="left"/>
            </w:pPr>
            <w:r>
              <w:rPr>
                <w:rFonts w:ascii="Times New Roman" w:hAnsi="Times New Roman"/>
                <w:color w:val="202529"/>
                <w:sz w:val="17"/>
              </w:rPr>
              <w:t>Streams must end when the browser disconnects or the server shuts down.</w:t>
            </w:r>
          </w:p>
        </w:tc>
        <w:tc>
          <w:tcPr>
            <w:tcW w:type="dxa" w:w="4118"/>
            <w:tcMar>
              <w:top w:w="80" w:type="dxa"/>
              <w:start w:w="120" w:type="dxa"/>
              <w:bottom w:w="80" w:type="dxa"/>
              <w:end w:w="120" w:type="dxa"/>
            </w:tcMar>
            <w:vAlign w:val="center"/>
          </w:tcPr>
          <w:p>
            <w:pPr>
              <w:jc w:val="left"/>
            </w:pPr>
            <w:r>
              <w:rPr>
                <w:rFonts w:ascii="Times New Roman" w:hAnsi="Times New Roman"/>
                <w:color w:val="202529"/>
                <w:sz w:val="17"/>
              </w:rPr>
              <w:t>Request contexts stop upstream watches and logs; shutdown cancels the server base context.</w:t>
            </w:r>
          </w:p>
        </w:tc>
      </w:tr>
      <w:tr>
        <w:trPr>
          <w:cantSplit/>
        </w:trPr>
        <w:tc>
          <w:tcPr>
            <w:tcW w:type="dxa" w:w="1685"/>
            <w:tcMar>
              <w:top w:w="80" w:type="dxa"/>
              <w:start w:w="120" w:type="dxa"/>
              <w:bottom w:w="80" w:type="dxa"/>
              <w:end w:w="120" w:type="dxa"/>
            </w:tcMar>
            <w:vAlign w:val="center"/>
          </w:tcPr>
          <w:p>
            <w:pPr>
              <w:jc w:val="left"/>
            </w:pPr>
            <w:r>
              <w:rPr>
                <w:rFonts w:ascii="Times New Roman" w:hAnsi="Times New Roman"/>
                <w:color w:val="202529"/>
                <w:sz w:val="17"/>
              </w:rPr>
              <w:t>NFR-03</w:t>
            </w:r>
          </w:p>
        </w:tc>
        <w:tc>
          <w:tcPr>
            <w:tcW w:type="dxa" w:w="3557"/>
            <w:tcMar>
              <w:top w:w="80" w:type="dxa"/>
              <w:start w:w="120" w:type="dxa"/>
              <w:bottom w:w="80" w:type="dxa"/>
              <w:end w:w="120" w:type="dxa"/>
            </w:tcMar>
            <w:vAlign w:val="center"/>
          </w:tcPr>
          <w:p>
            <w:pPr>
              <w:jc w:val="left"/>
            </w:pPr>
            <w:r>
              <w:rPr>
                <w:rFonts w:ascii="Times New Roman" w:hAnsi="Times New Roman"/>
                <w:color w:val="202529"/>
                <w:sz w:val="17"/>
              </w:rPr>
              <w:t>A slow history disk must not block informer callbacks.</w:t>
            </w:r>
          </w:p>
        </w:tc>
        <w:tc>
          <w:tcPr>
            <w:tcW w:type="dxa" w:w="4118"/>
            <w:tcMar>
              <w:top w:w="80" w:type="dxa"/>
              <w:start w:w="120" w:type="dxa"/>
              <w:bottom w:w="80" w:type="dxa"/>
              <w:end w:w="120" w:type="dxa"/>
            </w:tcMar>
            <w:vAlign w:val="center"/>
          </w:tcPr>
          <w:p>
            <w:pPr>
              <w:jc w:val="left"/>
            </w:pPr>
            <w:r>
              <w:rPr>
                <w:rFonts w:ascii="Times New Roman" w:hAnsi="Times New Roman"/>
                <w:color w:val="202529"/>
                <w:sz w:val="17"/>
              </w:rPr>
              <w:t>Recorder writes pass through a bounded non-blocking queue.</w:t>
            </w:r>
          </w:p>
        </w:tc>
      </w:tr>
      <w:tr>
        <w:trPr>
          <w:cantSplit/>
        </w:trPr>
        <w:tc>
          <w:tcPr>
            <w:tcW w:type="dxa" w:w="1685"/>
            <w:tcMar>
              <w:top w:w="80" w:type="dxa"/>
              <w:start w:w="120" w:type="dxa"/>
              <w:bottom w:w="80" w:type="dxa"/>
              <w:end w:w="120" w:type="dxa"/>
            </w:tcMar>
            <w:vAlign w:val="center"/>
          </w:tcPr>
          <w:p>
            <w:pPr>
              <w:jc w:val="left"/>
            </w:pPr>
            <w:r>
              <w:rPr>
                <w:rFonts w:ascii="Times New Roman" w:hAnsi="Times New Roman"/>
                <w:color w:val="202529"/>
                <w:sz w:val="17"/>
              </w:rPr>
              <w:t>NFR-04</w:t>
            </w:r>
          </w:p>
        </w:tc>
        <w:tc>
          <w:tcPr>
            <w:tcW w:type="dxa" w:w="3557"/>
            <w:tcMar>
              <w:top w:w="80" w:type="dxa"/>
              <w:start w:w="120" w:type="dxa"/>
              <w:bottom w:w="80" w:type="dxa"/>
              <w:end w:w="120" w:type="dxa"/>
            </w:tcMar>
            <w:vAlign w:val="center"/>
          </w:tcPr>
          <w:p>
            <w:pPr>
              <w:jc w:val="left"/>
            </w:pPr>
            <w:r>
              <w:rPr>
                <w:rFonts w:ascii="Times New Roman" w:hAnsi="Times New Roman"/>
                <w:color w:val="202529"/>
                <w:sz w:val="17"/>
              </w:rPr>
              <w:t>Missed recorder events must be recoverable where current state permits.</w:t>
            </w:r>
          </w:p>
        </w:tc>
        <w:tc>
          <w:tcPr>
            <w:tcW w:type="dxa" w:w="4118"/>
            <w:tcMar>
              <w:top w:w="80" w:type="dxa"/>
              <w:start w:w="120" w:type="dxa"/>
              <w:bottom w:w="80" w:type="dxa"/>
              <w:end w:w="120" w:type="dxa"/>
            </w:tcMar>
            <w:vAlign w:val="center"/>
          </w:tcPr>
          <w:p>
            <w:pPr>
              <w:jc w:val="left"/>
            </w:pPr>
            <w:r>
              <w:rPr>
                <w:rFonts w:ascii="Times New Roman" w:hAnsi="Times New Roman"/>
                <w:color w:val="202529"/>
                <w:sz w:val="17"/>
              </w:rPr>
              <w:t>Reconciliation compares informer caches with stored live objects.</w:t>
            </w:r>
          </w:p>
        </w:tc>
      </w:tr>
      <w:tr>
        <w:trPr>
          <w:cantSplit/>
        </w:trPr>
        <w:tc>
          <w:tcPr>
            <w:tcW w:type="dxa" w:w="1685"/>
            <w:tcMar>
              <w:top w:w="80" w:type="dxa"/>
              <w:start w:w="120" w:type="dxa"/>
              <w:bottom w:w="80" w:type="dxa"/>
              <w:end w:w="120" w:type="dxa"/>
            </w:tcMar>
            <w:vAlign w:val="center"/>
          </w:tcPr>
          <w:p>
            <w:pPr>
              <w:jc w:val="left"/>
            </w:pPr>
            <w:r>
              <w:rPr>
                <w:rFonts w:ascii="Times New Roman" w:hAnsi="Times New Roman"/>
                <w:color w:val="202529"/>
                <w:sz w:val="17"/>
              </w:rPr>
              <w:t>NFR-05</w:t>
            </w:r>
          </w:p>
        </w:tc>
        <w:tc>
          <w:tcPr>
            <w:tcW w:type="dxa" w:w="3557"/>
            <w:tcMar>
              <w:top w:w="80" w:type="dxa"/>
              <w:start w:w="120" w:type="dxa"/>
              <w:bottom w:w="80" w:type="dxa"/>
              <w:end w:w="120" w:type="dxa"/>
            </w:tcMar>
            <w:vAlign w:val="center"/>
          </w:tcPr>
          <w:p>
            <w:pPr>
              <w:jc w:val="left"/>
            </w:pPr>
            <w:r>
              <w:rPr>
                <w:rFonts w:ascii="Times New Roman" w:hAnsi="Times New Roman"/>
                <w:color w:val="202529"/>
                <w:sz w:val="17"/>
              </w:rPr>
              <w:t>History storage must remain bounded in time.</w:t>
            </w:r>
          </w:p>
        </w:tc>
        <w:tc>
          <w:tcPr>
            <w:tcW w:type="dxa" w:w="4118"/>
            <w:tcMar>
              <w:top w:w="80" w:type="dxa"/>
              <w:start w:w="120" w:type="dxa"/>
              <w:bottom w:w="80" w:type="dxa"/>
              <w:end w:w="120" w:type="dxa"/>
            </w:tcMar>
            <w:vAlign w:val="center"/>
          </w:tcPr>
          <w:p>
            <w:pPr>
              <w:jc w:val="left"/>
            </w:pPr>
            <w:r>
              <w:rPr>
                <w:rFonts w:ascii="Times New Roman" w:hAnsi="Times New Roman"/>
                <w:color w:val="202529"/>
                <w:sz w:val="17"/>
              </w:rPr>
              <w:t>A retention sweeper prunes old versions while retaining a reconstruction baseline.</w:t>
            </w:r>
          </w:p>
        </w:tc>
      </w:tr>
      <w:tr>
        <w:trPr>
          <w:cantSplit/>
        </w:trPr>
        <w:tc>
          <w:tcPr>
            <w:tcW w:type="dxa" w:w="1685"/>
            <w:tcMar>
              <w:top w:w="80" w:type="dxa"/>
              <w:start w:w="120" w:type="dxa"/>
              <w:bottom w:w="80" w:type="dxa"/>
              <w:end w:w="120" w:type="dxa"/>
            </w:tcMar>
            <w:vAlign w:val="center"/>
          </w:tcPr>
          <w:p>
            <w:pPr>
              <w:jc w:val="left"/>
            </w:pPr>
            <w:r>
              <w:rPr>
                <w:rFonts w:ascii="Times New Roman" w:hAnsi="Times New Roman"/>
                <w:color w:val="202529"/>
                <w:sz w:val="17"/>
              </w:rPr>
              <w:t>SEC-01</w:t>
            </w:r>
          </w:p>
        </w:tc>
        <w:tc>
          <w:tcPr>
            <w:tcW w:type="dxa" w:w="3557"/>
            <w:tcMar>
              <w:top w:w="80" w:type="dxa"/>
              <w:start w:w="120" w:type="dxa"/>
              <w:bottom w:w="80" w:type="dxa"/>
              <w:end w:w="120" w:type="dxa"/>
            </w:tcMar>
            <w:vAlign w:val="center"/>
          </w:tcPr>
          <w:p>
            <w:pPr>
              <w:jc w:val="left"/>
            </w:pPr>
            <w:r>
              <w:rPr>
                <w:rFonts w:ascii="Times New Roman" w:hAnsi="Times New Roman"/>
                <w:color w:val="202529"/>
                <w:sz w:val="17"/>
              </w:rPr>
              <w:t>KubeView must not mutate cluster objects.</w:t>
            </w:r>
          </w:p>
        </w:tc>
        <w:tc>
          <w:tcPr>
            <w:tcW w:type="dxa" w:w="4118"/>
            <w:tcMar>
              <w:top w:w="80" w:type="dxa"/>
              <w:start w:w="120" w:type="dxa"/>
              <w:bottom w:w="80" w:type="dxa"/>
              <w:end w:w="120" w:type="dxa"/>
            </w:tcMar>
            <w:vAlign w:val="center"/>
          </w:tcPr>
          <w:p>
            <w:pPr>
              <w:jc w:val="left"/>
            </w:pPr>
            <w:r>
              <w:rPr>
                <w:rFonts w:ascii="Times New Roman" w:hAnsi="Times New Roman"/>
                <w:color w:val="202529"/>
                <w:sz w:val="17"/>
              </w:rPr>
              <w:t>The API has read handlers only and RBAC grants get, list, and watch.</w:t>
            </w:r>
          </w:p>
        </w:tc>
      </w:tr>
      <w:tr>
        <w:trPr>
          <w:cantSplit/>
        </w:trPr>
        <w:tc>
          <w:tcPr>
            <w:tcW w:type="dxa" w:w="1685"/>
            <w:tcMar>
              <w:top w:w="80" w:type="dxa"/>
              <w:start w:w="120" w:type="dxa"/>
              <w:bottom w:w="80" w:type="dxa"/>
              <w:end w:w="120" w:type="dxa"/>
            </w:tcMar>
            <w:vAlign w:val="center"/>
          </w:tcPr>
          <w:p>
            <w:pPr>
              <w:jc w:val="left"/>
            </w:pPr>
            <w:r>
              <w:rPr>
                <w:rFonts w:ascii="Times New Roman" w:hAnsi="Times New Roman"/>
                <w:color w:val="202529"/>
                <w:sz w:val="17"/>
              </w:rPr>
              <w:t>SEC-02</w:t>
            </w:r>
          </w:p>
        </w:tc>
        <w:tc>
          <w:tcPr>
            <w:tcW w:type="dxa" w:w="3557"/>
            <w:tcMar>
              <w:top w:w="80" w:type="dxa"/>
              <w:start w:w="120" w:type="dxa"/>
              <w:bottom w:w="80" w:type="dxa"/>
              <w:end w:w="120" w:type="dxa"/>
            </w:tcMar>
            <w:vAlign w:val="center"/>
          </w:tcPr>
          <w:p>
            <w:pPr>
              <w:jc w:val="left"/>
            </w:pPr>
            <w:r>
              <w:rPr>
                <w:rFonts w:ascii="Times New Roman" w:hAnsi="Times New Roman"/>
                <w:color w:val="202529"/>
                <w:sz w:val="17"/>
              </w:rPr>
              <w:t>Unknown context values must not select arbitrary configuration.</w:t>
            </w:r>
          </w:p>
        </w:tc>
        <w:tc>
          <w:tcPr>
            <w:tcW w:type="dxa" w:w="4118"/>
            <w:tcMar>
              <w:top w:w="80" w:type="dxa"/>
              <w:start w:w="120" w:type="dxa"/>
              <w:bottom w:w="80" w:type="dxa"/>
              <w:end w:w="120" w:type="dxa"/>
            </w:tcMar>
            <w:vAlign w:val="center"/>
          </w:tcPr>
          <w:p>
            <w:pPr>
              <w:jc w:val="left"/>
            </w:pPr>
            <w:r>
              <w:rPr>
                <w:rFonts w:ascii="Times New Roman" w:hAnsi="Times New Roman"/>
                <w:color w:val="202529"/>
                <w:sz w:val="17"/>
              </w:rPr>
              <w:t>ClientManager rejects names absent from the loaded kubeconfig.</w:t>
            </w:r>
          </w:p>
        </w:tc>
      </w:tr>
      <w:tr>
        <w:trPr>
          <w:cantSplit/>
        </w:trPr>
        <w:tc>
          <w:tcPr>
            <w:tcW w:type="dxa" w:w="1685"/>
            <w:tcMar>
              <w:top w:w="80" w:type="dxa"/>
              <w:start w:w="120" w:type="dxa"/>
              <w:bottom w:w="80" w:type="dxa"/>
              <w:end w:w="120" w:type="dxa"/>
            </w:tcMar>
            <w:vAlign w:val="center"/>
          </w:tcPr>
          <w:p>
            <w:pPr>
              <w:jc w:val="left"/>
            </w:pPr>
            <w:r>
              <w:rPr>
                <w:rFonts w:ascii="Times New Roman" w:hAnsi="Times New Roman"/>
                <w:color w:val="202529"/>
                <w:sz w:val="17"/>
              </w:rPr>
              <w:t>SEC-03</w:t>
            </w:r>
          </w:p>
        </w:tc>
        <w:tc>
          <w:tcPr>
            <w:tcW w:type="dxa" w:w="3557"/>
            <w:tcMar>
              <w:top w:w="80" w:type="dxa"/>
              <w:start w:w="120" w:type="dxa"/>
              <w:bottom w:w="80" w:type="dxa"/>
              <w:end w:w="120" w:type="dxa"/>
            </w:tcMar>
            <w:vAlign w:val="center"/>
          </w:tcPr>
          <w:p>
            <w:pPr>
              <w:jc w:val="left"/>
            </w:pPr>
            <w:r>
              <w:rPr>
                <w:rFonts w:ascii="Times New Roman" w:hAnsi="Times New Roman"/>
                <w:color w:val="202529"/>
                <w:sz w:val="17"/>
              </w:rPr>
              <w:t>Cross-origin browser access must be restricted.</w:t>
            </w:r>
          </w:p>
        </w:tc>
        <w:tc>
          <w:tcPr>
            <w:tcW w:type="dxa" w:w="4118"/>
            <w:tcMar>
              <w:top w:w="80" w:type="dxa"/>
              <w:start w:w="120" w:type="dxa"/>
              <w:bottom w:w="80" w:type="dxa"/>
              <w:end w:w="120" w:type="dxa"/>
            </w:tcMar>
            <w:vAlign w:val="center"/>
          </w:tcPr>
          <w:p>
            <w:pPr>
              <w:jc w:val="left"/>
            </w:pPr>
            <w:r>
              <w:rPr>
                <w:rFonts w:ascii="Times New Roman" w:hAnsi="Times New Roman"/>
                <w:color w:val="202529"/>
                <w:sz w:val="17"/>
              </w:rPr>
              <w:t>Exact-match CORS allow-list with no wildcard behavior.</w:t>
            </w:r>
          </w:p>
        </w:tc>
      </w:tr>
      <w:tr>
        <w:trPr>
          <w:cantSplit/>
        </w:trPr>
        <w:tc>
          <w:tcPr>
            <w:tcW w:type="dxa" w:w="1685"/>
            <w:tcMar>
              <w:top w:w="80" w:type="dxa"/>
              <w:start w:w="120" w:type="dxa"/>
              <w:bottom w:w="80" w:type="dxa"/>
              <w:end w:w="120" w:type="dxa"/>
            </w:tcMar>
            <w:vAlign w:val="center"/>
          </w:tcPr>
          <w:p>
            <w:pPr>
              <w:jc w:val="left"/>
            </w:pPr>
            <w:r>
              <w:rPr>
                <w:rFonts w:ascii="Times New Roman" w:hAnsi="Times New Roman"/>
                <w:color w:val="202529"/>
                <w:sz w:val="17"/>
              </w:rPr>
              <w:t>SEC-04</w:t>
            </w:r>
          </w:p>
        </w:tc>
        <w:tc>
          <w:tcPr>
            <w:tcW w:type="dxa" w:w="3557"/>
            <w:tcMar>
              <w:top w:w="80" w:type="dxa"/>
              <w:start w:w="120" w:type="dxa"/>
              <w:bottom w:w="80" w:type="dxa"/>
              <w:end w:w="120" w:type="dxa"/>
            </w:tcMar>
            <w:vAlign w:val="center"/>
          </w:tcPr>
          <w:p>
            <w:pPr>
              <w:jc w:val="left"/>
            </w:pPr>
            <w:r>
              <w:rPr>
                <w:rFonts w:ascii="Times New Roman" w:hAnsi="Times New Roman"/>
                <w:color w:val="202529"/>
                <w:sz w:val="17"/>
              </w:rPr>
              <w:t>Containers should run with reduced operating-system privileges.</w:t>
            </w:r>
          </w:p>
        </w:tc>
        <w:tc>
          <w:tcPr>
            <w:tcW w:type="dxa" w:w="4118"/>
            <w:tcMar>
              <w:top w:w="80" w:type="dxa"/>
              <w:start w:w="120" w:type="dxa"/>
              <w:bottom w:w="80" w:type="dxa"/>
              <w:end w:w="120" w:type="dxa"/>
            </w:tcMar>
            <w:vAlign w:val="center"/>
          </w:tcPr>
          <w:p>
            <w:pPr>
              <w:jc w:val="left"/>
            </w:pPr>
            <w:r>
              <w:rPr>
                <w:rFonts w:ascii="Times New Roman" w:hAnsi="Times New Roman"/>
                <w:color w:val="202529"/>
                <w:sz w:val="17"/>
              </w:rPr>
              <w:t>Non-root users, dropped capabilities, and read-only root filesystems.</w:t>
            </w:r>
          </w:p>
        </w:tc>
      </w:tr>
      <w:tr>
        <w:trPr>
          <w:cantSplit/>
        </w:trPr>
        <w:tc>
          <w:tcPr>
            <w:tcW w:type="dxa" w:w="1685"/>
            <w:tcMar>
              <w:top w:w="80" w:type="dxa"/>
              <w:start w:w="120" w:type="dxa"/>
              <w:bottom w:w="80" w:type="dxa"/>
              <w:end w:w="120" w:type="dxa"/>
            </w:tcMar>
            <w:vAlign w:val="center"/>
          </w:tcPr>
          <w:p>
            <w:pPr>
              <w:jc w:val="left"/>
            </w:pPr>
            <w:r>
              <w:rPr>
                <w:rFonts w:ascii="Times New Roman" w:hAnsi="Times New Roman"/>
                <w:color w:val="202529"/>
                <w:sz w:val="17"/>
              </w:rPr>
              <w:t>SEC-05</w:t>
            </w:r>
          </w:p>
        </w:tc>
        <w:tc>
          <w:tcPr>
            <w:tcW w:type="dxa" w:w="3557"/>
            <w:tcMar>
              <w:top w:w="80" w:type="dxa"/>
              <w:start w:w="120" w:type="dxa"/>
              <w:bottom w:w="80" w:type="dxa"/>
              <w:end w:w="120" w:type="dxa"/>
            </w:tcMar>
            <w:vAlign w:val="center"/>
          </w:tcPr>
          <w:p>
            <w:pPr>
              <w:jc w:val="left"/>
            </w:pPr>
            <w:r>
              <w:rPr>
                <w:rFonts w:ascii="Times New Roman" w:hAnsi="Times New Roman"/>
                <w:color w:val="202529"/>
                <w:sz w:val="17"/>
              </w:rPr>
              <w:t>Deployment guidance must disclose data exposure.</w:t>
            </w:r>
          </w:p>
        </w:tc>
        <w:tc>
          <w:tcPr>
            <w:tcW w:type="dxa" w:w="4118"/>
            <w:tcMar>
              <w:top w:w="80" w:type="dxa"/>
              <w:start w:w="120" w:type="dxa"/>
              <w:bottom w:w="80" w:type="dxa"/>
              <w:end w:w="120" w:type="dxa"/>
            </w:tcMar>
            <w:vAlign w:val="center"/>
          </w:tcPr>
          <w:p>
            <w:pPr>
              <w:jc w:val="left"/>
            </w:pPr>
            <w:r>
              <w:rPr>
                <w:rFonts w:ascii="Times New Roman" w:hAnsi="Times New Roman"/>
                <w:color w:val="202529"/>
                <w:sz w:val="17"/>
              </w:rPr>
              <w:t>Manuals warn that logs and revealed Secret values require protected access.</w:t>
            </w:r>
          </w:p>
        </w:tc>
      </w:tr>
    </w:tbl>
    <w:p>
      <w:pPr>
        <w:spacing w:after="0"/>
      </w:pPr>
    </w:p>
    <w:p>
      <w:pPr>
        <w:pStyle w:val="Heading2"/>
      </w:pPr>
      <w:r>
        <w:t>3.4 Success criteria</w:t>
      </w:r>
    </w:p>
    <w:p>
      <w:r>
        <w:rPr>
          <w:rFonts w:ascii="Times New Roman" w:hAnsi="Times New Roman"/>
          <w:color w:val="202529"/>
        </w:rPr>
        <w:t>The project succeeds functionally if all supported views work against a real Kubernetes cluster, live changes converge after connection failures, historical state can be reconstructed, and context selection does not cross cluster boundaries. It succeeds in engineering quality if the frozen commit builds, its automated checks pass, the deployment permissions match the documented scope, and another user can follow the installation guide.</w:t>
      </w:r>
    </w:p>
    <w:p>
      <w:r>
        <w:rPr>
          <w:rFonts w:ascii="Times New Roman" w:hAnsi="Times New Roman"/>
          <w:color w:val="202529"/>
        </w:rPr>
        <w:t>Performance and usability require separate measurements. This report does not convert source counts or passing tests into performance claims. Accessibility, large-cluster behavior, memory growth under sustained churn, and clean installation remain explicit open checks.</w:t>
      </w:r>
    </w:p>
    <w:p>
      <w:r>
        <w:br w:type="page"/>
      </w:r>
    </w:p>
    <w:p>
      <w:pPr>
        <w:pStyle w:val="Heading1"/>
      </w:pPr>
      <w:r>
        <w:t>4. Architecture and design</w:t>
      </w:r>
    </w:p>
    <w:p>
      <w:pPr>
        <w:pStyle w:val="Heading2"/>
      </w:pPr>
      <w:r>
        <w:t>4.1 System structure</w:t>
      </w:r>
    </w:p>
    <w:p>
      <w:pPr>
        <w:jc w:val="center"/>
      </w:pPr>
      <w:r>
        <w:drawing>
          <wp:inline xmlns:a="http://schemas.openxmlformats.org/drawingml/2006/main" xmlns:pic="http://schemas.openxmlformats.org/drawingml/2006/picture">
            <wp:extent cx="5669280" cy="3188970"/>
            <wp:docPr id="2" name="Picture 2" title="Figure 2. KubeView system context and credential boundary" descr="Figure 2. KubeView system context and credential boundary"/>
            <wp:cNvGraphicFramePr>
              <a:graphicFrameLocks noChangeAspect="1"/>
            </wp:cNvGraphicFramePr>
            <a:graphic>
              <a:graphicData uri="http://schemas.openxmlformats.org/drawingml/2006/picture">
                <pic:pic>
                  <pic:nvPicPr>
                    <pic:cNvPr id="0" name="system-context.png"/>
                    <pic:cNvPicPr/>
                  </pic:nvPicPr>
                  <pic:blipFill>
                    <a:blip r:embed="rId12"/>
                    <a:stretch>
                      <a:fillRect/>
                    </a:stretch>
                  </pic:blipFill>
                  <pic:spPr>
                    <a:xfrm>
                      <a:off x="0" y="0"/>
                      <a:ext cx="5669280" cy="3188970"/>
                    </a:xfrm>
                    <a:prstGeom prst="rect"/>
                  </pic:spPr>
                </pic:pic>
              </a:graphicData>
            </a:graphic>
          </wp:inline>
        </w:drawing>
      </w:r>
    </w:p>
    <w:p>
      <w:pPr>
        <w:pStyle w:val="Caption"/>
        <w:jc w:val="center"/>
      </w:pPr>
      <w:r>
        <w:rPr>
          <w:rFonts w:ascii="Times New Roman" w:hAnsi="Times New Roman"/>
          <w:color w:val="5D6870"/>
          <w:sz w:val="18"/>
        </w:rPr>
        <w:t>Figure 2. KubeView system context and credential boundary</w:t>
      </w:r>
    </w:p>
    <w:p>
      <w:r>
        <w:rPr>
          <w:rFonts w:ascii="Times New Roman" w:hAnsi="Times New Roman"/>
          <w:color w:val="202529"/>
        </w:rPr>
        <w:t>KubeView has a browser-facing Next.js frontend, a Go HTTP backend, one or more Kubernetes API servers selected through context, and an optional local bbolt file. The browser loads the frontend and then calls the backend for JSON and SSE. The backend alone holds Kubernetes credentials.</w:t>
      </w:r>
    </w:p>
    <w:p>
      <w:r>
        <w:rPr>
          <w:rFonts w:ascii="Times New Roman" w:hAnsi="Times New Roman"/>
          <w:color w:val="202529"/>
        </w:rPr>
        <w:t xml:space="preserve">Figure 2 shows the system boundary and credential flow. The editable source for this and the live-update, context-isolation, history, and deployment diagrams is in </w:t>
      </w:r>
      <w:r>
        <w:rPr>
          <w:rFonts w:ascii="Consolas" w:hAnsi="Consolas"/>
          <w:color w:val="173B4F"/>
          <w:sz w:val="21"/>
        </w:rPr>
        <w:t>submission/architecture/ARCHITECTURE.md</w:t>
      </w:r>
      <w:r>
        <w:rPr>
          <w:rFonts w:ascii="Times New Roman" w:hAnsi="Times New Roman"/>
          <w:color w:val="202529"/>
        </w:rPr>
        <w:t>.</w:t>
      </w:r>
    </w:p>
    <w:p>
      <w:pPr>
        <w:pStyle w:val="Heading2"/>
      </w:pPr>
      <w:r>
        <w:t>4.2 Frontend design</w:t>
      </w:r>
    </w:p>
    <w:p>
      <w:r>
        <w:rPr>
          <w:rFonts w:ascii="Times New Roman" w:hAnsi="Times New Roman"/>
          <w:color w:val="202529"/>
        </w:rPr>
        <w:t xml:space="preserve">The frontend uses Next.js 16, React 19, and TypeScript. Resource pages share hooks and list components instead of implementing separate networking behavior. An initial fetch supplies a complete list. </w:t>
      </w:r>
      <w:r>
        <w:rPr>
          <w:rFonts w:ascii="Consolas" w:hAnsi="Consolas"/>
          <w:color w:val="173B4F"/>
          <w:sz w:val="21"/>
        </w:rPr>
        <w:t>useWatchList</w:t>
      </w:r>
      <w:r>
        <w:rPr>
          <w:rFonts w:ascii="Times New Roman" w:hAnsi="Times New Roman"/>
          <w:color w:val="202529"/>
        </w:rPr>
        <w:t xml:space="preserve"> subscribes the page to live updates unless the application is pinned to a past timestamp.</w:t>
      </w:r>
    </w:p>
    <w:p>
      <w:r>
        <w:rPr>
          <w:rFonts w:ascii="Times New Roman" w:hAnsi="Times New Roman"/>
          <w:color w:val="202529"/>
        </w:rPr>
        <w:t xml:space="preserve">The watch manager groups all subscribers for one namespace into one </w:t>
      </w:r>
      <w:r>
        <w:rPr>
          <w:rFonts w:ascii="Consolas" w:hAnsi="Consolas"/>
          <w:color w:val="173B4F"/>
          <w:sz w:val="21"/>
        </w:rPr>
        <w:t>EventSource</w:t>
      </w:r>
      <w:r>
        <w:rPr>
          <w:rFonts w:ascii="Times New Roman" w:hAnsi="Times New Roman"/>
          <w:color w:val="202529"/>
        </w:rPr>
        <w:t>. It computes the set of required resource kinds and reopens the stream only when that set changes. The design avoids one stream per resource page. On stream failure, exponential backoff starts at one second and is capped at 30 seconds. Persistent failures also trigger list retries so the screen does not freeze silently when list access works but watch access does not.</w:t>
      </w:r>
    </w:p>
    <w:p>
      <w:r>
        <w:rPr>
          <w:rFonts w:ascii="Times New Roman" w:hAnsi="Times New Roman"/>
          <w:color w:val="202529"/>
        </w:rPr>
        <w:t>The frontend stores the selected context in browser local storage. It also writes the value into the API helper before React children fetch data. Historical timestamps are not persisted. A reload returns to live mode. A context switch clears the current historical pin during rendering so no child issues a request for a timestamp associated with another cluster.</w:t>
      </w:r>
    </w:p>
    <w:p>
      <w:pPr>
        <w:pStyle w:val="Heading2"/>
      </w:pPr>
      <w:r>
        <w:t>4.3 Backend HTTP API</w:t>
      </w:r>
    </w:p>
    <w:p>
      <w:r>
        <w:rPr>
          <w:rFonts w:ascii="Times New Roman" w:hAnsi="Times New Roman"/>
          <w:color w:val="202529"/>
        </w:rPr>
        <w:t xml:space="preserve">The backend uses Go's </w:t>
      </w:r>
      <w:r>
        <w:rPr>
          <w:rFonts w:ascii="Consolas" w:hAnsi="Consolas"/>
          <w:color w:val="173B4F"/>
          <w:sz w:val="21"/>
        </w:rPr>
        <w:t>net/http</w:t>
      </w:r>
      <w:r>
        <w:rPr>
          <w:rFonts w:ascii="Times New Roman" w:hAnsi="Times New Roman"/>
          <w:color w:val="202529"/>
        </w:rPr>
        <w:t xml:space="preserve"> package and method-aware routes [9]. It has endpoints for health, contexts, cluster summary, supported resources, pod detail, pod logs, a combined watch, and three history operations. Response transformers reduce Kubernetes objects to the fields required by the interface. This keeps frontend contracts stable and avoids sending entire API objects.</w:t>
      </w:r>
    </w:p>
    <w:p>
      <w:r>
        <w:rPr>
          <w:rFonts w:ascii="Times New Roman" w:hAnsi="Times New Roman"/>
          <w:color w:val="202529"/>
        </w:rPr>
        <w:t>Non-streaming requests use clients with a 55-second timeout. Watch and followed-log requests use separate clients without that timeout. Both clientsets use the same context configuration. This distinction prevents an unreachable API server from hanging a normal request while preserving the intended lifetime of a stream.</w:t>
      </w:r>
    </w:p>
    <w:p>
      <w:r>
        <w:rPr>
          <w:rFonts w:ascii="Times New Roman" w:hAnsi="Times New Roman"/>
          <w:color w:val="202529"/>
        </w:rPr>
        <w:t>The HTTP server has a read timeout and an idle timeout but no write timeout because SSE and log responses are intentionally long lived. On process shutdown, the server cancels a shared base context. Existing stream handlers then stop their upstream Kubernetes operations before the bounded graceful shutdown completes.</w:t>
      </w:r>
    </w:p>
    <w:p>
      <w:pPr>
        <w:pStyle w:val="Heading2"/>
      </w:pPr>
      <w:r>
        <w:t>4.4 Live update protocol</w:t>
      </w:r>
    </w:p>
    <w:p>
      <w:r>
        <w:rPr>
          <w:rFonts w:ascii="Times New Roman" w:hAnsi="Times New Roman"/>
          <w:color w:val="202529"/>
        </w:rPr>
        <w:t>The browser sends one watch request containing a sorted list of resource kinds and an optional namespace. The backend validates each kind, opens corresponding Kubernetes watches, and forwards their events into one SSE response. A resource event carries its kind, event type, and transformed object. A 30-second SSE comment keeps idle connections active and helps expose half-open network paths.</w:t>
      </w:r>
    </w:p>
    <w:p>
      <w:r>
        <w:rPr>
          <w:rFonts w:ascii="Times New Roman" w:hAnsi="Times New Roman"/>
          <w:color w:val="202529"/>
        </w:rPr>
        <w:t>Each Kubernetes watch runs in its own forwarding goroutine. The request context and write errors stop the group. An invalid watch request fails before the response stream begins. The design does not persist an event cursor for browser watches, so reconnection recovery depends on the list-after-open process in the frontend.</w:t>
      </w:r>
    </w:p>
    <w:p>
      <w:pPr>
        <w:pStyle w:val="Heading2"/>
      </w:pPr>
      <w:r>
        <w:t>4.5 Pod logs</w:t>
      </w:r>
    </w:p>
    <w:p>
      <w:r>
        <w:rPr>
          <w:rFonts w:ascii="Times New Roman" w:hAnsi="Times New Roman"/>
          <w:color w:val="202529"/>
        </w:rPr>
        <w:t>Pod log requests identify namespace, pod name, and container. A tail parameter defaults to 100 lines and is clamped between 1 and 5,000 lines. This prevents a request from forcing an arbitrarily large buffered response. The stream path scans lines with a one-megabyte maximum token size, emits each line as an SSE log event, and sends an explicit end event when the upstream stream completes.</w:t>
      </w:r>
    </w:p>
    <w:p>
      <w:r>
        <w:rPr>
          <w:rFonts w:ascii="Times New Roman" w:hAnsi="Times New Roman"/>
          <w:color w:val="202529"/>
        </w:rPr>
        <w:t>The pod transformer matches container status by name rather than array position. It distinguishes regular containers, init containers, sidecars represented by restartable init containers, and ephemeral containers. The interface can therefore request logs for a specific container in a multi-container pod.</w:t>
      </w:r>
    </w:p>
    <w:p>
      <w:pPr>
        <w:pStyle w:val="Heading2"/>
      </w:pPr>
      <w:r>
        <w:t>4.6 Context isolation</w:t>
      </w:r>
    </w:p>
    <w:p>
      <w:r>
        <w:rPr>
          <w:rFonts w:ascii="Times New Roman" w:hAnsi="Times New Roman"/>
          <w:color w:val="202529"/>
        </w:rPr>
        <w:t xml:space="preserve">At startup, </w:t>
      </w:r>
      <w:r>
        <w:rPr>
          <w:rFonts w:ascii="Consolas" w:hAnsi="Consolas"/>
          <w:color w:val="173B4F"/>
          <w:sz w:val="21"/>
        </w:rPr>
        <w:t>ClientManager</w:t>
      </w:r>
      <w:r>
        <w:rPr>
          <w:rFonts w:ascii="Times New Roman" w:hAnsi="Times New Roman"/>
          <w:color w:val="202529"/>
        </w:rPr>
        <w:t xml:space="preserve"> loads kubeconfig according to client-go rules or falls back to in-cluster configuration. It sorts exposed contexts, validates the current context, and eagerly creates only the default client. Other contexts are built and cached on first request.</w:t>
      </w:r>
    </w:p>
    <w:p>
      <w:r>
        <w:rPr>
          <w:rFonts w:ascii="Times New Roman" w:hAnsi="Times New Roman"/>
          <w:color w:val="202529"/>
        </w:rPr>
        <w:t xml:space="preserve">The query parameter is not passed to client-go as an arbitrary file or server address. The manager first checks membership in the known context list. Each resulting </w:t>
      </w:r>
      <w:r>
        <w:rPr>
          <w:rFonts w:ascii="Consolas" w:hAnsi="Consolas"/>
          <w:color w:val="173B4F"/>
          <w:sz w:val="21"/>
        </w:rPr>
        <w:t>Client</w:t>
      </w:r>
      <w:r>
        <w:rPr>
          <w:rFonts w:ascii="Times New Roman" w:hAnsi="Times New Roman"/>
          <w:color w:val="202529"/>
        </w:rPr>
        <w:t xml:space="preserve"> records its context and cluster name. List handlers, watch handlers, log handlers, and history handlers all receive a resolved client through one wrapper. This shared resolution point reduces the chance that one endpoint forgets context validation.</w:t>
      </w:r>
    </w:p>
    <w:p>
      <w:pPr>
        <w:pStyle w:val="Heading2"/>
      </w:pPr>
      <w:r>
        <w:t>4.7 Flight recorder</w:t>
      </w:r>
    </w:p>
    <w:p>
      <w:r>
        <w:rPr>
          <w:rFonts w:ascii="Times New Roman" w:hAnsi="Times New Roman"/>
          <w:color w:val="202529"/>
        </w:rPr>
        <w:t>The recorder creates shared informers for all supported resource types. The default context starts at backend startup, while another context starts when a user first browses it. Add, update, and delete callbacks transform objects into the same compact response form used by the UI and place records on a bounded queue.</w:t>
      </w:r>
    </w:p>
    <w:p>
      <w:r>
        <w:rPr>
          <w:rFonts w:ascii="Times New Roman" w:hAnsi="Times New Roman"/>
          <w:color w:val="202529"/>
        </w:rPr>
        <w:t>Informer callbacks use a non-blocking send. A full queue can drop a version, which is an intentional availability trade-off. The recorder reconciles after cache synchronization and at later sweeps. It re-records cached objects, relying on store deduplication to ignore unchanged bodies, and writes tombstones for stored live objects absent from the cache. This repairs dropped current-state changes and deletions missed while the recorder was stopped. It cannot reconstruct every intermediate state that occurred during a long outage.</w:t>
      </w:r>
    </w:p>
    <w:p>
      <w:r>
        <w:rPr>
          <w:rFonts w:ascii="Times New Roman" w:hAnsi="Times New Roman"/>
          <w:color w:val="202529"/>
        </w:rPr>
        <w:t>The writer batches records into bbolt transactions. The database has one top-level bucket per context and one child bucket per resource kind. A version key contains the object key, a null separator, and a big-endian nanosecond timestamp. This order groups an object's versions chronologically. The value stores change type, creation time, and transformed JSON. Age-only differences do not create a new version because age is recalculated for the selected historical moment.</w:t>
      </w:r>
    </w:p>
    <w:p>
      <w:r>
        <w:rPr>
          <w:rFonts w:ascii="Times New Roman" w:hAnsi="Times New Roman"/>
          <w:color w:val="202529"/>
        </w:rPr>
        <w:t>The pruner removes versions older than the retention boundary but keeps the version needed as a baseline immediately before the boundary. Without that baseline, an object created earlier and unchanged during the retained window would disappear from reconstructed state.</w:t>
      </w:r>
    </w:p>
    <w:p>
      <w:pPr>
        <w:pStyle w:val="Heading2"/>
      </w:pPr>
      <w:r>
        <w:t>4.8 Historical reconstruction and differences</w:t>
      </w:r>
    </w:p>
    <w:p>
      <w:r>
        <w:rPr>
          <w:rFonts w:ascii="Consolas" w:hAnsi="Consolas"/>
          <w:color w:val="173B4F"/>
          <w:sz w:val="21"/>
        </w:rPr>
        <w:t>StateAt</w:t>
      </w:r>
      <w:r>
        <w:rPr>
          <w:rFonts w:ascii="Times New Roman" w:hAnsi="Times New Roman"/>
          <w:color w:val="202529"/>
        </w:rPr>
        <w:t xml:space="preserve"> scans versions up to the requested moment and applies the latest version for each object. A deletion tombstone removes the object. The history endpoint returns every supported kind, including empty arrays, and recalculates age fields relative to the viewed time.</w:t>
      </w:r>
    </w:p>
    <w:p>
      <w:r>
        <w:rPr>
          <w:rFonts w:ascii="Times New Roman" w:hAnsi="Times New Roman"/>
          <w:color w:val="202529"/>
        </w:rPr>
        <w:t>The diff endpoint reconstructs both endpoint states and compares objects by key. It reports added, removed, and modified resources. Modified-object summaries compare scalar fields and named list entries while ignoring volatile age fields. The summary is capped at 12 lines to keep the interface bounded. Kubernetes events recorded inside the interval are returned as an activity feed.</w:t>
      </w:r>
    </w:p>
    <w:p>
      <w:r>
        <w:br w:type="page"/>
      </w:r>
    </w:p>
    <w:p>
      <w:pPr>
        <w:pStyle w:val="Heading2"/>
      </w:pPr>
      <w:r>
        <w:t>4.9 Deployment design</w:t>
      </w:r>
    </w:p>
    <w:p>
      <w:r>
        <w:rPr>
          <w:rFonts w:ascii="Times New Roman" w:hAnsi="Times New Roman"/>
          <w:color w:val="202529"/>
        </w:rPr>
        <w:t>Local source execution runs the frontend and backend separately. Docker Compose mounts one kubeconfig file read-only, persists history in a named volume, and uses host networking for backend access to local clusters. The Kubernetes deployment creates a namespace, service account, read-only ClusterRole and binding, frontend and backend Deployments and Services, and a NetworkPolicy. Kustomize applies the set [10].</w:t>
      </w:r>
    </w:p>
    <w:p>
      <w:r>
        <w:rPr>
          <w:rFonts w:ascii="Times New Roman" w:hAnsi="Times New Roman"/>
          <w:color w:val="202529"/>
        </w:rPr>
        <w:t xml:space="preserve">The in-cluster backend uses an </w:t>
      </w:r>
      <w:r>
        <w:rPr>
          <w:rFonts w:ascii="Consolas" w:hAnsi="Consolas"/>
          <w:color w:val="173B4F"/>
          <w:sz w:val="21"/>
        </w:rPr>
        <w:t>emptyDir</w:t>
      </w:r>
      <w:r>
        <w:rPr>
          <w:rFonts w:ascii="Times New Roman" w:hAnsi="Times New Roman"/>
          <w:color w:val="202529"/>
        </w:rPr>
        <w:t xml:space="preserve"> history volume with a one-gibibyte size limit. It survives a container restart in the same pod but not pod rescheduling. Operators who require longer persistence must replace it with suitable persistent storage. One backend replica remains the supported storage model.</w:t>
      </w:r>
    </w:p>
    <w:p>
      <w:r>
        <w:br w:type="page"/>
      </w:r>
    </w:p>
    <w:p>
      <w:pPr>
        <w:pStyle w:val="Heading1"/>
      </w:pPr>
      <w:r>
        <w:t>5. Implementation</w:t>
      </w:r>
    </w:p>
    <w:p>
      <w:pPr>
        <w:pStyle w:val="Heading2"/>
      </w:pPr>
      <w:r>
        <w:t>5.1 Backend organization</w:t>
      </w:r>
    </w:p>
    <w:p>
      <w:r>
        <w:rPr>
          <w:rFonts w:ascii="Consolas" w:hAnsi="Consolas"/>
          <w:color w:val="173B4F"/>
          <w:sz w:val="21"/>
        </w:rPr>
        <w:t>main.go</w:t>
      </w:r>
      <w:r>
        <w:rPr>
          <w:rFonts w:ascii="Times New Roman" w:hAnsi="Times New Roman"/>
          <w:color w:val="202529"/>
        </w:rPr>
        <w:t xml:space="preserve"> owns startup, HTTP server settings, signals, and shutdown. </w:t>
      </w:r>
      <w:r>
        <w:rPr>
          <w:rFonts w:ascii="Consolas" w:hAnsi="Consolas"/>
          <w:color w:val="173B4F"/>
          <w:sz w:val="21"/>
        </w:rPr>
        <w:t>clients.go</w:t>
      </w:r>
      <w:r>
        <w:rPr>
          <w:rFonts w:ascii="Times New Roman" w:hAnsi="Times New Roman"/>
          <w:color w:val="202529"/>
        </w:rPr>
        <w:t xml:space="preserve"> resolves kubeconfig and context-specific clients. </w:t>
      </w:r>
      <w:r>
        <w:rPr>
          <w:rFonts w:ascii="Consolas" w:hAnsi="Consolas"/>
          <w:color w:val="173B4F"/>
          <w:sz w:val="21"/>
        </w:rPr>
        <w:t>handlers.go</w:t>
      </w:r>
      <w:r>
        <w:rPr>
          <w:rFonts w:ascii="Times New Roman" w:hAnsi="Times New Roman"/>
          <w:color w:val="202529"/>
        </w:rPr>
        <w:t xml:space="preserve"> defines routes, CORS, resource handlers, logs, and live watches. </w:t>
      </w:r>
      <w:r>
        <w:rPr>
          <w:rFonts w:ascii="Consolas" w:hAnsi="Consolas"/>
          <w:color w:val="173B4F"/>
          <w:sz w:val="21"/>
        </w:rPr>
        <w:t>kube.go</w:t>
      </w:r>
      <w:r>
        <w:rPr>
          <w:rFonts w:ascii="Times New Roman" w:hAnsi="Times New Roman"/>
          <w:color w:val="202529"/>
        </w:rPr>
        <w:t xml:space="preserve">, </w:t>
      </w:r>
      <w:r>
        <w:rPr>
          <w:rFonts w:ascii="Consolas" w:hAnsi="Consolas"/>
          <w:color w:val="173B4F"/>
          <w:sz w:val="21"/>
        </w:rPr>
        <w:t>resources.go</w:t>
      </w:r>
      <w:r>
        <w:rPr>
          <w:rFonts w:ascii="Times New Roman" w:hAnsi="Times New Roman"/>
          <w:color w:val="202529"/>
        </w:rPr>
        <w:t xml:space="preserve">, and </w:t>
      </w:r>
      <w:r>
        <w:rPr>
          <w:rFonts w:ascii="Consolas" w:hAnsi="Consolas"/>
          <w:color w:val="173B4F"/>
          <w:sz w:val="21"/>
        </w:rPr>
        <w:t>workloads.go</w:t>
      </w:r>
      <w:r>
        <w:rPr>
          <w:rFonts w:ascii="Times New Roman" w:hAnsi="Times New Roman"/>
          <w:color w:val="202529"/>
        </w:rPr>
        <w:t xml:space="preserve"> contain Kubernetes operations. </w:t>
      </w:r>
      <w:r>
        <w:rPr>
          <w:rFonts w:ascii="Consolas" w:hAnsi="Consolas"/>
          <w:color w:val="173B4F"/>
          <w:sz w:val="21"/>
        </w:rPr>
        <w:t>transformers.go</w:t>
      </w:r>
      <w:r>
        <w:rPr>
          <w:rFonts w:ascii="Times New Roman" w:hAnsi="Times New Roman"/>
          <w:color w:val="202529"/>
        </w:rPr>
        <w:t xml:space="preserve"> maps Kubernetes objects into response types. The history subsystem is split into configuration, recording, storage, handlers, and diff logic.</w:t>
      </w:r>
    </w:p>
    <w:p>
      <w:r>
        <w:rPr>
          <w:rFonts w:ascii="Times New Roman" w:hAnsi="Times New Roman"/>
          <w:color w:val="202529"/>
        </w:rPr>
        <w:t>This organization follows runtime responsibilities. It keeps persistent recording separate from request-scoped watch forwarding even though both consume Kubernetes watches.</w:t>
      </w:r>
    </w:p>
    <w:p>
      <w:pPr>
        <w:pStyle w:val="Heading2"/>
      </w:pPr>
      <w:r>
        <w:t>5.2 Resource transformation</w:t>
      </w:r>
    </w:p>
    <w:p>
      <w:r>
        <w:rPr>
          <w:rFonts w:ascii="Times New Roman" w:hAnsi="Times New Roman"/>
          <w:color w:val="202529"/>
        </w:rPr>
        <w:t>Kubernetes API objects contain much more data than each table needs. Transformers return typed response shapes with names, namespaces, status, counts, addresses, ports, conditions, and age. Shared helpers calculate age and normalize absent fields.</w:t>
      </w:r>
    </w:p>
    <w:p>
      <w:r>
        <w:rPr>
          <w:rFonts w:ascii="Times New Roman" w:hAnsi="Times New Roman"/>
          <w:color w:val="202529"/>
        </w:rPr>
        <w:t>Secret lists expose key names and byte lengths, not decoded values. A separate detail request performs explicit reveal. This reduces accidental exposure in the default table but does not make Secrets safe to expose publicly. Base64 encoding in the Kubernetes API is not encryption.</w:t>
      </w:r>
    </w:p>
    <w:p>
      <w:pPr>
        <w:pStyle w:val="Heading2"/>
      </w:pPr>
      <w:r>
        <w:t>5.3 Frontend state reconciliation</w:t>
      </w:r>
    </w:p>
    <w:p>
      <w:pPr>
        <w:jc w:val="center"/>
      </w:pPr>
      <w:r>
        <w:drawing>
          <wp:inline xmlns:a="http://schemas.openxmlformats.org/drawingml/2006/main" xmlns:pic="http://schemas.openxmlformats.org/drawingml/2006/picture">
            <wp:extent cx="5669280" cy="3188970"/>
            <wp:docPr id="3" name="Picture 3" title="Figure 3. Pod detail view" descr="Figure 3. Pod detail view"/>
            <wp:cNvGraphicFramePr>
              <a:graphicFrameLocks noChangeAspect="1"/>
            </wp:cNvGraphicFramePr>
            <a:graphic>
              <a:graphicData uri="http://schemas.openxmlformats.org/drawingml/2006/picture">
                <pic:pic>
                  <pic:nvPicPr>
                    <pic:cNvPr id="0" name="04-pod-detail.png"/>
                    <pic:cNvPicPr/>
                  </pic:nvPicPr>
                  <pic:blipFill>
                    <a:blip r:embed="rId13"/>
                    <a:stretch>
                      <a:fillRect/>
                    </a:stretch>
                  </pic:blipFill>
                  <pic:spPr>
                    <a:xfrm>
                      <a:off x="0" y="0"/>
                      <a:ext cx="5669280" cy="3188970"/>
                    </a:xfrm>
                    <a:prstGeom prst="rect"/>
                  </pic:spPr>
                </pic:pic>
              </a:graphicData>
            </a:graphic>
          </wp:inline>
        </w:drawing>
      </w:r>
    </w:p>
    <w:p>
      <w:pPr>
        <w:pStyle w:val="Caption"/>
        <w:jc w:val="center"/>
      </w:pPr>
      <w:r>
        <w:rPr>
          <w:rFonts w:ascii="Times New Roman" w:hAnsi="Times New Roman"/>
          <w:color w:val="5D6870"/>
          <w:sz w:val="18"/>
        </w:rPr>
        <w:t>Figure 3. Pod detail view</w:t>
      </w:r>
    </w:p>
    <w:p>
      <w:pPr>
        <w:jc w:val="center"/>
      </w:pPr>
      <w:r>
        <w:drawing>
          <wp:inline xmlns:a="http://schemas.openxmlformats.org/drawingml/2006/main" xmlns:pic="http://schemas.openxmlformats.org/drawingml/2006/picture">
            <wp:extent cx="5669280" cy="3188970"/>
            <wp:docPr id="4" name="Picture 4" title="Figure 4. Pod log view" descr="Figure 4. Pod log view"/>
            <wp:cNvGraphicFramePr>
              <a:graphicFrameLocks noChangeAspect="1"/>
            </wp:cNvGraphicFramePr>
            <a:graphic>
              <a:graphicData uri="http://schemas.openxmlformats.org/drawingml/2006/picture">
                <pic:pic>
                  <pic:nvPicPr>
                    <pic:cNvPr id="0" name="05-pod-logs.png"/>
                    <pic:cNvPicPr/>
                  </pic:nvPicPr>
                  <pic:blipFill>
                    <a:blip r:embed="rId14"/>
                    <a:stretch>
                      <a:fillRect/>
                    </a:stretch>
                  </pic:blipFill>
                  <pic:spPr>
                    <a:xfrm>
                      <a:off x="0" y="0"/>
                      <a:ext cx="5669280" cy="3188970"/>
                    </a:xfrm>
                    <a:prstGeom prst="rect"/>
                  </pic:spPr>
                </pic:pic>
              </a:graphicData>
            </a:graphic>
          </wp:inline>
        </w:drawing>
      </w:r>
    </w:p>
    <w:p>
      <w:pPr>
        <w:pStyle w:val="Caption"/>
        <w:jc w:val="center"/>
      </w:pPr>
      <w:r>
        <w:rPr>
          <w:rFonts w:ascii="Times New Roman" w:hAnsi="Times New Roman"/>
          <w:color w:val="5D6870"/>
          <w:sz w:val="18"/>
        </w:rPr>
        <w:t>Figure 4. Pod log view</w:t>
      </w:r>
    </w:p>
    <w:p>
      <w:r>
        <w:rPr>
          <w:rFonts w:ascii="Times New Roman" w:hAnsi="Times New Roman"/>
          <w:color w:val="202529"/>
        </w:rPr>
        <w:t>The resource hook assigns a token to each list refresh. Only the latest overlapping request can replace state. Events arriving during a fetch are buffered, then reduced over the returned snapshot. A delete event removes the matching object; an add or modify event replaces or inserts it by resource identity. This protects against a stale list resurrecting an object deleted while the request was in flight.</w:t>
      </w:r>
    </w:p>
    <w:p>
      <w:r>
        <w:rPr>
          <w:rFonts w:ascii="Times New Roman" w:hAnsi="Times New Roman"/>
          <w:color w:val="202529"/>
        </w:rPr>
        <w:t>Live mode subscribes to watches. Past mode reads a reconstructed snapshot and does not subscribe. This prevents live events from contaminating a historical view. The timeline page requests available range, state, and differences through the same context-aware API helper.</w:t>
      </w:r>
    </w:p>
    <w:p>
      <w:pPr>
        <w:pStyle w:val="Heading2"/>
      </w:pPr>
      <w:r>
        <w:t>5.4 Error handling and bounded operations</w:t>
      </w:r>
    </w:p>
    <w:p>
      <w:r>
        <w:rPr>
          <w:rFonts w:ascii="Times New Roman" w:hAnsi="Times New Roman"/>
          <w:color w:val="202529"/>
        </w:rPr>
        <w:t>The backend maps unknown contexts and malformed timestamps to client errors. Kubernetes not-found responses retain their meaning. Other failures return a server error without granting broader access. Log tails, scanner token size, request timeouts, history retention, write queues, batch sizes, and diff summaries all have explicit limits.</w:t>
      </w:r>
    </w:p>
    <w:p>
      <w:r>
        <w:rPr>
          <w:rFonts w:ascii="Times New Roman" w:hAnsi="Times New Roman"/>
          <w:color w:val="202529"/>
        </w:rPr>
        <w:t>History is best effort. An invalid history directory, file lock, or database-open error disables history and leaves live inspection running. The range endpoint reports whether history is enabled. This choice favors current cluster access over an all-or-nothing startup failure, but it requires operators to monitor startup logs and the history status.</w:t>
      </w:r>
    </w:p>
    <w:p>
      <w:pPr>
        <w:pStyle w:val="Heading2"/>
      </w:pPr>
      <w:r>
        <w:t>5.5 Build and delivery</w:t>
      </w:r>
    </w:p>
    <w:p>
      <w:r>
        <w:rPr>
          <w:rFonts w:ascii="Times New Roman" w:hAnsi="Times New Roman"/>
          <w:color w:val="202529"/>
        </w:rPr>
        <w:t xml:space="preserve">Both application components have multi-stage Dockerfiles. The Kubernetes manifests apply resource requests and memory limits. GitHub Actions builds and tests the backend, validates frontend types and lint, creates a production frontend build, scans both language groups, and starts a real </w:t>
      </w:r>
      <w:r>
        <w:rPr>
          <w:rFonts w:ascii="Consolas" w:hAnsi="Consolas"/>
          <w:color w:val="173B4F"/>
          <w:sz w:val="21"/>
        </w:rPr>
        <w:t>kind</w:t>
      </w:r>
      <w:r>
        <w:rPr>
          <w:rFonts w:ascii="Times New Roman" w:hAnsi="Times New Roman"/>
          <w:color w:val="202529"/>
        </w:rPr>
        <w:t xml:space="preserve"> cluster for browser tests [11], [12], [13]. The source submission ZIP is produced from Git commit </w:t>
      </w:r>
      <w:r>
        <w:rPr>
          <w:rFonts w:ascii="Consolas" w:hAnsi="Consolas"/>
          <w:color w:val="173B4F"/>
          <w:sz w:val="21"/>
        </w:rPr>
        <w:t>8ee601c</w:t>
      </w:r>
      <w:r>
        <w:rPr>
          <w:rFonts w:ascii="Times New Roman" w:hAnsi="Times New Roman"/>
          <w:color w:val="202529"/>
        </w:rPr>
        <w:t>, not from the working directory, so it excludes local caches, untracked documentation, and Git metadata.</w:t>
      </w:r>
    </w:p>
    <w:p>
      <w:r>
        <w:br w:type="page"/>
      </w:r>
    </w:p>
    <w:p>
      <w:pPr>
        <w:pStyle w:val="Heading1"/>
      </w:pPr>
      <w:r>
        <w:t>6. Security and privacy</w:t>
      </w:r>
    </w:p>
    <w:p>
      <w:pPr>
        <w:pStyle w:val="Heading2"/>
      </w:pPr>
      <w:r>
        <w:t>6.1 Assets and trust boundaries</w:t>
      </w:r>
    </w:p>
    <w:p>
      <w:r>
        <w:rPr>
          <w:rFonts w:ascii="Times New Roman" w:hAnsi="Times New Roman"/>
          <w:color w:val="202529"/>
        </w:rPr>
        <w:t>Protected assets include kubeconfig credentials, service-account credentials, cluster metadata, workload configuration, pod logs, Secret values, and recorded history. The browser is outside the backend trust boundary. The backend possesses the Kubernetes identity and enforces only cluster-level permissions. It does not authenticate the browser user.</w:t>
      </w:r>
    </w:p>
    <w:p>
      <w:r>
        <w:rPr>
          <w:rFonts w:ascii="Times New Roman" w:hAnsi="Times New Roman"/>
          <w:color w:val="202529"/>
        </w:rPr>
        <w:t xml:space="preserve">The practical deployment rule is strict: do not expose the backend to an untrusted network. Use </w:t>
      </w:r>
      <w:r>
        <w:rPr>
          <w:rFonts w:ascii="Consolas" w:hAnsi="Consolas"/>
          <w:color w:val="173B4F"/>
          <w:sz w:val="21"/>
        </w:rPr>
        <w:t>kubectl port-forward</w:t>
      </w:r>
      <w:r>
        <w:rPr>
          <w:rFonts w:ascii="Times New Roman" w:hAnsi="Times New Roman"/>
          <w:color w:val="202529"/>
        </w:rPr>
        <w:t>, an authenticated reverse proxy, or an ingress with verified identity and transport security. CORS is a browser control, not authentication, and does not stop non-browser HTTP clients.</w:t>
      </w:r>
    </w:p>
    <w:p>
      <w:pPr>
        <w:pStyle w:val="Heading2"/>
      </w:pPr>
      <w:r>
        <w:t>6.2 Threat analysis</w:t>
      </w:r>
    </w:p>
    <w:tbl>
      <w:tblPr>
        <w:tblStyle w:val="TableGrid"/>
        <w:tblW w:type="dxa" w:w="9360"/>
        <w:tblLayout w:type="fixed"/>
        <w:tblLook w:firstColumn="1" w:firstRow="1" w:lastColumn="0" w:lastRow="0" w:noHBand="0" w:noVBand="1" w:val="04A0"/>
        <w:jc w:val="left"/>
        <w:tblInd w:w="120" w:type="dxa"/>
      </w:tblPr>
      <w:tblGrid>
        <w:gridCol w:w="1685"/>
        <w:gridCol w:w="3557"/>
        <w:gridCol w:w="4118"/>
      </w:tblGrid>
      <w:tr>
        <w:trPr>
          <w:tblHeader w:val="true"/>
          <w:cantSplit/>
        </w:trPr>
        <w:tc>
          <w:tcPr>
            <w:tcW w:type="dxa" w:w="1685"/>
            <w:tcMar>
              <w:top w:w="80" w:type="dxa"/>
              <w:start w:w="120" w:type="dxa"/>
              <w:bottom w:w="80" w:type="dxa"/>
              <w:end w:w="120" w:type="dxa"/>
            </w:tcMar>
            <w:vAlign w:val="center"/>
            <w:shd w:fill="E8F0F4"/>
          </w:tcPr>
          <w:p>
            <w:pPr>
              <w:jc w:val="center"/>
            </w:pPr>
            <w:r>
              <w:rPr>
                <w:rFonts w:ascii="Times New Roman" w:hAnsi="Times New Roman"/>
                <w:b/>
                <w:color w:val="173B4F"/>
                <w:sz w:val="17"/>
              </w:rPr>
              <w:t>Threat</w:t>
            </w:r>
          </w:p>
        </w:tc>
        <w:tc>
          <w:tcPr>
            <w:tcW w:type="dxa" w:w="3557"/>
            <w:tcMar>
              <w:top w:w="80" w:type="dxa"/>
              <w:start w:w="120" w:type="dxa"/>
              <w:bottom w:w="80" w:type="dxa"/>
              <w:end w:w="120" w:type="dxa"/>
            </w:tcMar>
            <w:vAlign w:val="center"/>
            <w:shd w:fill="E8F0F4"/>
          </w:tcPr>
          <w:p>
            <w:pPr>
              <w:jc w:val="center"/>
            </w:pPr>
            <w:r>
              <w:rPr>
                <w:rFonts w:ascii="Times New Roman" w:hAnsi="Times New Roman"/>
                <w:b/>
                <w:color w:val="173B4F"/>
                <w:sz w:val="17"/>
              </w:rPr>
              <w:t>Existing control</w:t>
            </w:r>
          </w:p>
        </w:tc>
        <w:tc>
          <w:tcPr>
            <w:tcW w:type="dxa" w:w="4118"/>
            <w:tcMar>
              <w:top w:w="80" w:type="dxa"/>
              <w:start w:w="120" w:type="dxa"/>
              <w:bottom w:w="80" w:type="dxa"/>
              <w:end w:w="120" w:type="dxa"/>
            </w:tcMar>
            <w:vAlign w:val="center"/>
            <w:shd w:fill="E8F0F4"/>
          </w:tcPr>
          <w:p>
            <w:pPr>
              <w:jc w:val="center"/>
            </w:pPr>
            <w:r>
              <w:rPr>
                <w:rFonts w:ascii="Times New Roman" w:hAnsi="Times New Roman"/>
                <w:b/>
                <w:color w:val="173B4F"/>
                <w:sz w:val="17"/>
              </w:rPr>
              <w:t>Remaining risk or action</w:t>
            </w:r>
          </w:p>
        </w:tc>
      </w:tr>
      <w:tr>
        <w:trPr>
          <w:cantSplit/>
        </w:trPr>
        <w:tc>
          <w:tcPr>
            <w:tcW w:type="dxa" w:w="1685"/>
            <w:tcMar>
              <w:top w:w="80" w:type="dxa"/>
              <w:start w:w="120" w:type="dxa"/>
              <w:bottom w:w="80" w:type="dxa"/>
              <w:end w:w="120" w:type="dxa"/>
            </w:tcMar>
            <w:vAlign w:val="center"/>
          </w:tcPr>
          <w:p>
            <w:pPr>
              <w:jc w:val="left"/>
            </w:pPr>
            <w:r>
              <w:rPr>
                <w:rFonts w:ascii="Times New Roman" w:hAnsi="Times New Roman"/>
                <w:color w:val="202529"/>
                <w:sz w:val="17"/>
              </w:rPr>
              <w:t>Workload mutation through KubeView</w:t>
            </w:r>
          </w:p>
        </w:tc>
        <w:tc>
          <w:tcPr>
            <w:tcW w:type="dxa" w:w="3557"/>
            <w:tcMar>
              <w:top w:w="80" w:type="dxa"/>
              <w:start w:w="120" w:type="dxa"/>
              <w:bottom w:w="80" w:type="dxa"/>
              <w:end w:w="120" w:type="dxa"/>
            </w:tcMar>
            <w:vAlign w:val="center"/>
          </w:tcPr>
          <w:p>
            <w:pPr>
              <w:jc w:val="left"/>
            </w:pPr>
            <w:r>
              <w:rPr>
                <w:rFonts w:ascii="Times New Roman" w:hAnsi="Times New Roman"/>
                <w:color w:val="202529"/>
                <w:sz w:val="17"/>
              </w:rPr>
              <w:t>No mutation routes; RBAC omits write verbs.</w:t>
            </w:r>
          </w:p>
        </w:tc>
        <w:tc>
          <w:tcPr>
            <w:tcW w:type="dxa" w:w="4118"/>
            <w:tcMar>
              <w:top w:w="80" w:type="dxa"/>
              <w:start w:w="120" w:type="dxa"/>
              <w:bottom w:w="80" w:type="dxa"/>
              <w:end w:w="120" w:type="dxa"/>
            </w:tcMar>
            <w:vAlign w:val="center"/>
          </w:tcPr>
          <w:p>
            <w:pPr>
              <w:jc w:val="left"/>
            </w:pPr>
            <w:r>
              <w:rPr>
                <w:rFonts w:ascii="Times New Roman" w:hAnsi="Times New Roman"/>
                <w:color w:val="202529"/>
                <w:sz w:val="17"/>
              </w:rPr>
              <w:t>A compromised Kubernetes identity outside KubeView remains out of scope.</w:t>
            </w:r>
          </w:p>
        </w:tc>
      </w:tr>
      <w:tr>
        <w:trPr>
          <w:cantSplit/>
        </w:trPr>
        <w:tc>
          <w:tcPr>
            <w:tcW w:type="dxa" w:w="1685"/>
            <w:tcMar>
              <w:top w:w="80" w:type="dxa"/>
              <w:start w:w="120" w:type="dxa"/>
              <w:bottom w:w="80" w:type="dxa"/>
              <w:end w:w="120" w:type="dxa"/>
            </w:tcMar>
            <w:vAlign w:val="center"/>
          </w:tcPr>
          <w:p>
            <w:pPr>
              <w:jc w:val="left"/>
            </w:pPr>
            <w:r>
              <w:rPr>
                <w:rFonts w:ascii="Times New Roman" w:hAnsi="Times New Roman"/>
                <w:color w:val="202529"/>
                <w:sz w:val="17"/>
              </w:rPr>
              <w:t>Arbitrary context selection</w:t>
            </w:r>
          </w:p>
        </w:tc>
        <w:tc>
          <w:tcPr>
            <w:tcW w:type="dxa" w:w="3557"/>
            <w:tcMar>
              <w:top w:w="80" w:type="dxa"/>
              <w:start w:w="120" w:type="dxa"/>
              <w:bottom w:w="80" w:type="dxa"/>
              <w:end w:w="120" w:type="dxa"/>
            </w:tcMar>
            <w:vAlign w:val="center"/>
          </w:tcPr>
          <w:p>
            <w:pPr>
              <w:jc w:val="left"/>
            </w:pPr>
            <w:r>
              <w:rPr>
                <w:rFonts w:ascii="Times New Roman" w:hAnsi="Times New Roman"/>
                <w:color w:val="202529"/>
                <w:sz w:val="17"/>
              </w:rPr>
              <w:t>Context name must exist in loaded kubeconfig.</w:t>
            </w:r>
          </w:p>
        </w:tc>
        <w:tc>
          <w:tcPr>
            <w:tcW w:type="dxa" w:w="4118"/>
            <w:tcMar>
              <w:top w:w="80" w:type="dxa"/>
              <w:start w:w="120" w:type="dxa"/>
              <w:bottom w:w="80" w:type="dxa"/>
              <w:end w:w="120" w:type="dxa"/>
            </w:tcMar>
            <w:vAlign w:val="center"/>
          </w:tcPr>
          <w:p>
            <w:pPr>
              <w:jc w:val="left"/>
            </w:pPr>
            <w:r>
              <w:rPr>
                <w:rFonts w:ascii="Times New Roman" w:hAnsi="Times New Roman"/>
                <w:color w:val="202529"/>
                <w:sz w:val="17"/>
              </w:rPr>
              <w:t>Every configured context remains reachable to anyone who can call the backend.</w:t>
            </w:r>
          </w:p>
        </w:tc>
      </w:tr>
      <w:tr>
        <w:trPr>
          <w:cantSplit/>
        </w:trPr>
        <w:tc>
          <w:tcPr>
            <w:tcW w:type="dxa" w:w="1685"/>
            <w:tcMar>
              <w:top w:w="80" w:type="dxa"/>
              <w:start w:w="120" w:type="dxa"/>
              <w:bottom w:w="80" w:type="dxa"/>
              <w:end w:w="120" w:type="dxa"/>
            </w:tcMar>
            <w:vAlign w:val="center"/>
          </w:tcPr>
          <w:p>
            <w:pPr>
              <w:jc w:val="left"/>
            </w:pPr>
            <w:r>
              <w:rPr>
                <w:rFonts w:ascii="Times New Roman" w:hAnsi="Times New Roman"/>
                <w:color w:val="202529"/>
                <w:sz w:val="17"/>
              </w:rPr>
              <w:t>Secret or log disclosure</w:t>
            </w:r>
          </w:p>
        </w:tc>
        <w:tc>
          <w:tcPr>
            <w:tcW w:type="dxa" w:w="3557"/>
            <w:tcMar>
              <w:top w:w="80" w:type="dxa"/>
              <w:start w:w="120" w:type="dxa"/>
              <w:bottom w:w="80" w:type="dxa"/>
              <w:end w:w="120" w:type="dxa"/>
            </w:tcMar>
            <w:vAlign w:val="center"/>
          </w:tcPr>
          <w:p>
            <w:pPr>
              <w:jc w:val="left"/>
            </w:pPr>
            <w:r>
              <w:rPr>
                <w:rFonts w:ascii="Times New Roman" w:hAnsi="Times New Roman"/>
                <w:color w:val="202529"/>
                <w:sz w:val="17"/>
              </w:rPr>
              <w:t>Read-only role and explicit Secret reveal.</w:t>
            </w:r>
          </w:p>
        </w:tc>
        <w:tc>
          <w:tcPr>
            <w:tcW w:type="dxa" w:w="4118"/>
            <w:tcMar>
              <w:top w:w="80" w:type="dxa"/>
              <w:start w:w="120" w:type="dxa"/>
              <w:bottom w:w="80" w:type="dxa"/>
              <w:end w:w="120" w:type="dxa"/>
            </w:tcMar>
            <w:vAlign w:val="center"/>
          </w:tcPr>
          <w:p>
            <w:pPr>
              <w:jc w:val="left"/>
            </w:pPr>
            <w:r>
              <w:rPr>
                <w:rFonts w:ascii="Times New Roman" w:hAnsi="Times New Roman"/>
                <w:color w:val="202529"/>
                <w:sz w:val="17"/>
              </w:rPr>
              <w:t>Read access is still sensitive; add user authentication before shared exposure.</w:t>
            </w:r>
          </w:p>
        </w:tc>
      </w:tr>
      <w:tr>
        <w:trPr>
          <w:cantSplit/>
        </w:trPr>
        <w:tc>
          <w:tcPr>
            <w:tcW w:type="dxa" w:w="1685"/>
            <w:tcMar>
              <w:top w:w="80" w:type="dxa"/>
              <w:start w:w="120" w:type="dxa"/>
              <w:bottom w:w="80" w:type="dxa"/>
              <w:end w:w="120" w:type="dxa"/>
            </w:tcMar>
            <w:vAlign w:val="center"/>
          </w:tcPr>
          <w:p>
            <w:pPr>
              <w:jc w:val="left"/>
            </w:pPr>
            <w:r>
              <w:rPr>
                <w:rFonts w:ascii="Times New Roman" w:hAnsi="Times New Roman"/>
                <w:color w:val="202529"/>
                <w:sz w:val="17"/>
              </w:rPr>
              <w:t>Cross-origin browser request</w:t>
            </w:r>
          </w:p>
        </w:tc>
        <w:tc>
          <w:tcPr>
            <w:tcW w:type="dxa" w:w="3557"/>
            <w:tcMar>
              <w:top w:w="80" w:type="dxa"/>
              <w:start w:w="120" w:type="dxa"/>
              <w:bottom w:w="80" w:type="dxa"/>
              <w:end w:w="120" w:type="dxa"/>
            </w:tcMar>
            <w:vAlign w:val="center"/>
          </w:tcPr>
          <w:p>
            <w:pPr>
              <w:jc w:val="left"/>
            </w:pPr>
            <w:r>
              <w:rPr>
                <w:rFonts w:ascii="Times New Roman" w:hAnsi="Times New Roman"/>
                <w:color w:val="202529"/>
                <w:sz w:val="17"/>
              </w:rPr>
              <w:t>Exact CORS allow-list.</w:t>
            </w:r>
          </w:p>
        </w:tc>
        <w:tc>
          <w:tcPr>
            <w:tcW w:type="dxa" w:w="4118"/>
            <w:tcMar>
              <w:top w:w="80" w:type="dxa"/>
              <w:start w:w="120" w:type="dxa"/>
              <w:bottom w:w="80" w:type="dxa"/>
              <w:end w:w="120" w:type="dxa"/>
            </w:tcMar>
            <w:vAlign w:val="center"/>
          </w:tcPr>
          <w:p>
            <w:pPr>
              <w:jc w:val="left"/>
            </w:pPr>
            <w:r>
              <w:rPr>
                <w:rFonts w:ascii="Times New Roman" w:hAnsi="Times New Roman"/>
                <w:color w:val="202529"/>
                <w:sz w:val="17"/>
              </w:rPr>
              <w:t>CORS does not protect direct clients and must not be treated as authorization.</w:t>
            </w:r>
          </w:p>
        </w:tc>
      </w:tr>
      <w:tr>
        <w:trPr>
          <w:cantSplit/>
        </w:trPr>
        <w:tc>
          <w:tcPr>
            <w:tcW w:type="dxa" w:w="1685"/>
            <w:tcMar>
              <w:top w:w="80" w:type="dxa"/>
              <w:start w:w="120" w:type="dxa"/>
              <w:bottom w:w="80" w:type="dxa"/>
              <w:end w:w="120" w:type="dxa"/>
            </w:tcMar>
            <w:vAlign w:val="center"/>
          </w:tcPr>
          <w:p>
            <w:pPr>
              <w:jc w:val="left"/>
            </w:pPr>
            <w:r>
              <w:rPr>
                <w:rFonts w:ascii="Times New Roman" w:hAnsi="Times New Roman"/>
                <w:color w:val="202529"/>
                <w:sz w:val="17"/>
              </w:rPr>
              <w:t>Excessive log-tail memory use</w:t>
            </w:r>
          </w:p>
        </w:tc>
        <w:tc>
          <w:tcPr>
            <w:tcW w:type="dxa" w:w="3557"/>
            <w:tcMar>
              <w:top w:w="80" w:type="dxa"/>
              <w:start w:w="120" w:type="dxa"/>
              <w:bottom w:w="80" w:type="dxa"/>
              <w:end w:w="120" w:type="dxa"/>
            </w:tcMar>
            <w:vAlign w:val="center"/>
          </w:tcPr>
          <w:p>
            <w:pPr>
              <w:jc w:val="left"/>
            </w:pPr>
            <w:r>
              <w:rPr>
                <w:rFonts w:ascii="Times New Roman" w:hAnsi="Times New Roman"/>
                <w:color w:val="202529"/>
                <w:sz w:val="17"/>
              </w:rPr>
              <w:t>Tail capped at 5,000 lines and line size capped at 1 MiB.</w:t>
            </w:r>
          </w:p>
        </w:tc>
        <w:tc>
          <w:tcPr>
            <w:tcW w:type="dxa" w:w="4118"/>
            <w:tcMar>
              <w:top w:w="80" w:type="dxa"/>
              <w:start w:w="120" w:type="dxa"/>
              <w:bottom w:w="80" w:type="dxa"/>
              <w:end w:w="120" w:type="dxa"/>
            </w:tcMar>
            <w:vAlign w:val="center"/>
          </w:tcPr>
          <w:p>
            <w:pPr>
              <w:jc w:val="left"/>
            </w:pPr>
            <w:r>
              <w:rPr>
                <w:rFonts w:ascii="Times New Roman" w:hAnsi="Times New Roman"/>
                <w:color w:val="202529"/>
                <w:sz w:val="17"/>
              </w:rPr>
              <w:t>Many concurrent streams can still consume resources; concurrency limits are not implemented.</w:t>
            </w:r>
          </w:p>
        </w:tc>
      </w:tr>
      <w:tr>
        <w:trPr>
          <w:cantSplit/>
        </w:trPr>
        <w:tc>
          <w:tcPr>
            <w:tcW w:type="dxa" w:w="1685"/>
            <w:tcMar>
              <w:top w:w="80" w:type="dxa"/>
              <w:start w:w="120" w:type="dxa"/>
              <w:bottom w:w="80" w:type="dxa"/>
              <w:end w:w="120" w:type="dxa"/>
            </w:tcMar>
            <w:vAlign w:val="center"/>
          </w:tcPr>
          <w:p>
            <w:pPr>
              <w:jc w:val="left"/>
            </w:pPr>
            <w:r>
              <w:rPr>
                <w:rFonts w:ascii="Times New Roman" w:hAnsi="Times New Roman"/>
                <w:color w:val="202529"/>
                <w:sz w:val="17"/>
              </w:rPr>
              <w:t>Hung API request</w:t>
            </w:r>
          </w:p>
        </w:tc>
        <w:tc>
          <w:tcPr>
            <w:tcW w:type="dxa" w:w="3557"/>
            <w:tcMar>
              <w:top w:w="80" w:type="dxa"/>
              <w:start w:w="120" w:type="dxa"/>
              <w:bottom w:w="80" w:type="dxa"/>
              <w:end w:w="120" w:type="dxa"/>
            </w:tcMar>
            <w:vAlign w:val="center"/>
          </w:tcPr>
          <w:p>
            <w:pPr>
              <w:jc w:val="left"/>
            </w:pPr>
            <w:r>
              <w:rPr>
                <w:rFonts w:ascii="Times New Roman" w:hAnsi="Times New Roman"/>
                <w:color w:val="202529"/>
                <w:sz w:val="17"/>
              </w:rPr>
              <w:t>55-second timeout for non-streaming clients.</w:t>
            </w:r>
          </w:p>
        </w:tc>
        <w:tc>
          <w:tcPr>
            <w:tcW w:type="dxa" w:w="4118"/>
            <w:tcMar>
              <w:top w:w="80" w:type="dxa"/>
              <w:start w:w="120" w:type="dxa"/>
              <w:bottom w:w="80" w:type="dxa"/>
              <w:end w:w="120" w:type="dxa"/>
            </w:tcMar>
            <w:vAlign w:val="center"/>
          </w:tcPr>
          <w:p>
            <w:pPr>
              <w:jc w:val="left"/>
            </w:pPr>
            <w:r>
              <w:rPr>
                <w:rFonts w:ascii="Times New Roman" w:hAnsi="Times New Roman"/>
                <w:color w:val="202529"/>
                <w:sz w:val="17"/>
              </w:rPr>
              <w:t>Streams are intentionally unbounded until disconnect or error.</w:t>
            </w:r>
          </w:p>
        </w:tc>
      </w:tr>
      <w:tr>
        <w:trPr>
          <w:cantSplit/>
        </w:trPr>
        <w:tc>
          <w:tcPr>
            <w:tcW w:type="dxa" w:w="1685"/>
            <w:tcMar>
              <w:top w:w="80" w:type="dxa"/>
              <w:start w:w="120" w:type="dxa"/>
              <w:bottom w:w="80" w:type="dxa"/>
              <w:end w:w="120" w:type="dxa"/>
            </w:tcMar>
            <w:vAlign w:val="center"/>
          </w:tcPr>
          <w:p>
            <w:pPr>
              <w:jc w:val="left"/>
            </w:pPr>
            <w:r>
              <w:rPr>
                <w:rFonts w:ascii="Times New Roman" w:hAnsi="Times New Roman"/>
                <w:color w:val="202529"/>
                <w:sz w:val="17"/>
              </w:rPr>
              <w:t>History-file disclosure</w:t>
            </w:r>
          </w:p>
        </w:tc>
        <w:tc>
          <w:tcPr>
            <w:tcW w:type="dxa" w:w="3557"/>
            <w:tcMar>
              <w:top w:w="80" w:type="dxa"/>
              <w:start w:w="120" w:type="dxa"/>
              <w:bottom w:w="80" w:type="dxa"/>
              <w:end w:w="120" w:type="dxa"/>
            </w:tcMar>
            <w:vAlign w:val="center"/>
          </w:tcPr>
          <w:p>
            <w:pPr>
              <w:jc w:val="left"/>
            </w:pPr>
            <w:r>
              <w:rPr>
                <w:rFonts w:ascii="Times New Roman" w:hAnsi="Times New Roman"/>
                <w:color w:val="202529"/>
                <w:sz w:val="17"/>
              </w:rPr>
              <w:t>Owner-only directory and file modes; container volume.</w:t>
            </w:r>
          </w:p>
        </w:tc>
        <w:tc>
          <w:tcPr>
            <w:tcW w:type="dxa" w:w="4118"/>
            <w:tcMar>
              <w:top w:w="80" w:type="dxa"/>
              <w:start w:w="120" w:type="dxa"/>
              <w:bottom w:w="80" w:type="dxa"/>
              <w:end w:w="120" w:type="dxa"/>
            </w:tcMar>
            <w:vAlign w:val="center"/>
          </w:tcPr>
          <w:p>
            <w:pPr>
              <w:jc w:val="left"/>
            </w:pPr>
            <w:r>
              <w:rPr>
                <w:rFonts w:ascii="Times New Roman" w:hAnsi="Times New Roman"/>
                <w:color w:val="202529"/>
                <w:sz w:val="17"/>
              </w:rPr>
              <w:t>The database contains cluster metadata and must be protected in backups.</w:t>
            </w:r>
          </w:p>
        </w:tc>
      </w:tr>
      <w:tr>
        <w:trPr>
          <w:cantSplit/>
        </w:trPr>
        <w:tc>
          <w:tcPr>
            <w:tcW w:type="dxa" w:w="1685"/>
            <w:tcMar>
              <w:top w:w="80" w:type="dxa"/>
              <w:start w:w="120" w:type="dxa"/>
              <w:bottom w:w="80" w:type="dxa"/>
              <w:end w:w="120" w:type="dxa"/>
            </w:tcMar>
            <w:vAlign w:val="center"/>
          </w:tcPr>
          <w:p>
            <w:pPr>
              <w:jc w:val="left"/>
            </w:pPr>
            <w:r>
              <w:rPr>
                <w:rFonts w:ascii="Times New Roman" w:hAnsi="Times New Roman"/>
                <w:color w:val="202529"/>
                <w:sz w:val="17"/>
              </w:rPr>
              <w:t>Container privilege escalation</w:t>
            </w:r>
          </w:p>
        </w:tc>
        <w:tc>
          <w:tcPr>
            <w:tcW w:type="dxa" w:w="3557"/>
            <w:tcMar>
              <w:top w:w="80" w:type="dxa"/>
              <w:start w:w="120" w:type="dxa"/>
              <w:bottom w:w="80" w:type="dxa"/>
              <w:end w:w="120" w:type="dxa"/>
            </w:tcMar>
            <w:vAlign w:val="center"/>
          </w:tcPr>
          <w:p>
            <w:pPr>
              <w:jc w:val="left"/>
            </w:pPr>
            <w:r>
              <w:rPr>
                <w:rFonts w:ascii="Times New Roman" w:hAnsi="Times New Roman"/>
                <w:color w:val="202529"/>
                <w:sz w:val="17"/>
              </w:rPr>
              <w:t>Non-root user, dropped capabilities, read-only root.</w:t>
            </w:r>
          </w:p>
        </w:tc>
        <w:tc>
          <w:tcPr>
            <w:tcW w:type="dxa" w:w="4118"/>
            <w:tcMar>
              <w:top w:w="80" w:type="dxa"/>
              <w:start w:w="120" w:type="dxa"/>
              <w:bottom w:w="80" w:type="dxa"/>
              <w:end w:w="120" w:type="dxa"/>
            </w:tcMar>
            <w:vAlign w:val="center"/>
          </w:tcPr>
          <w:p>
            <w:pPr>
              <w:jc w:val="left"/>
            </w:pPr>
            <w:r>
              <w:rPr>
                <w:rFonts w:ascii="Times New Roman" w:hAnsi="Times New Roman"/>
                <w:color w:val="202529"/>
                <w:sz w:val="17"/>
              </w:rPr>
              <w:t>Image provenance and runtime policy still require operator control.</w:t>
            </w:r>
          </w:p>
        </w:tc>
      </w:tr>
      <w:tr>
        <w:trPr>
          <w:cantSplit/>
        </w:trPr>
        <w:tc>
          <w:tcPr>
            <w:tcW w:type="dxa" w:w="1685"/>
            <w:tcMar>
              <w:top w:w="80" w:type="dxa"/>
              <w:start w:w="120" w:type="dxa"/>
              <w:bottom w:w="80" w:type="dxa"/>
              <w:end w:w="120" w:type="dxa"/>
            </w:tcMar>
            <w:vAlign w:val="center"/>
          </w:tcPr>
          <w:p>
            <w:pPr>
              <w:jc w:val="left"/>
            </w:pPr>
            <w:r>
              <w:rPr>
                <w:rFonts w:ascii="Times New Roman" w:hAnsi="Times New Roman"/>
                <w:color w:val="202529"/>
                <w:sz w:val="17"/>
              </w:rPr>
              <w:t>Untrusted pod-to-backend access</w:t>
            </w:r>
          </w:p>
        </w:tc>
        <w:tc>
          <w:tcPr>
            <w:tcW w:type="dxa" w:w="3557"/>
            <w:tcMar>
              <w:top w:w="80" w:type="dxa"/>
              <w:start w:w="120" w:type="dxa"/>
              <w:bottom w:w="80" w:type="dxa"/>
              <w:end w:w="120" w:type="dxa"/>
            </w:tcMar>
            <w:vAlign w:val="center"/>
          </w:tcPr>
          <w:p>
            <w:pPr>
              <w:jc w:val="left"/>
            </w:pPr>
            <w:r>
              <w:rPr>
                <w:rFonts w:ascii="Times New Roman" w:hAnsi="Times New Roman"/>
                <w:color w:val="202529"/>
                <w:sz w:val="17"/>
              </w:rPr>
              <w:t>NetworkPolicy allows ingress from the frontend pod label.</w:t>
            </w:r>
          </w:p>
        </w:tc>
        <w:tc>
          <w:tcPr>
            <w:tcW w:type="dxa" w:w="4118"/>
            <w:tcMar>
              <w:top w:w="80" w:type="dxa"/>
              <w:start w:w="120" w:type="dxa"/>
              <w:bottom w:w="80" w:type="dxa"/>
              <w:end w:w="120" w:type="dxa"/>
            </w:tcMar>
            <w:vAlign w:val="center"/>
          </w:tcPr>
          <w:p>
            <w:pPr>
              <w:jc w:val="left"/>
            </w:pPr>
            <w:r>
              <w:rPr>
                <w:rFonts w:ascii="Times New Roman" w:hAnsi="Times New Roman"/>
                <w:color w:val="202529"/>
                <w:sz w:val="17"/>
              </w:rPr>
              <w:t>Policy enforcement depends on the cluster network plugin.</w:t>
            </w:r>
          </w:p>
        </w:tc>
      </w:tr>
      <w:tr>
        <w:trPr>
          <w:cantSplit/>
        </w:trPr>
        <w:tc>
          <w:tcPr>
            <w:tcW w:type="dxa" w:w="1685"/>
            <w:tcMar>
              <w:top w:w="80" w:type="dxa"/>
              <w:start w:w="120" w:type="dxa"/>
              <w:bottom w:w="80" w:type="dxa"/>
              <w:end w:w="120" w:type="dxa"/>
            </w:tcMar>
            <w:vAlign w:val="center"/>
          </w:tcPr>
          <w:p>
            <w:pPr>
              <w:jc w:val="left"/>
            </w:pPr>
            <w:r>
              <w:rPr>
                <w:rFonts w:ascii="Times New Roman" w:hAnsi="Times New Roman"/>
                <w:color w:val="202529"/>
                <w:sz w:val="17"/>
              </w:rPr>
              <w:t>Vulnerable dependency</w:t>
            </w:r>
          </w:p>
        </w:tc>
        <w:tc>
          <w:tcPr>
            <w:tcW w:type="dxa" w:w="3557"/>
            <w:tcMar>
              <w:top w:w="80" w:type="dxa"/>
              <w:start w:w="120" w:type="dxa"/>
              <w:bottom w:w="80" w:type="dxa"/>
              <w:end w:w="120" w:type="dxa"/>
            </w:tcMar>
            <w:vAlign w:val="center"/>
          </w:tcPr>
          <w:p>
            <w:pPr>
              <w:jc w:val="left"/>
            </w:pPr>
            <w:r>
              <w:rPr>
                <w:rFonts w:ascii="Times New Roman" w:hAnsi="Times New Roman"/>
                <w:color w:val="202529"/>
                <w:sz w:val="17"/>
              </w:rPr>
              <w:t>Locked versions, govulncheck, CodeQL, dependency manifests.</w:t>
            </w:r>
          </w:p>
        </w:tc>
        <w:tc>
          <w:tcPr>
            <w:tcW w:type="dxa" w:w="4118"/>
            <w:tcMar>
              <w:top w:w="80" w:type="dxa"/>
              <w:start w:w="120" w:type="dxa"/>
              <w:bottom w:w="80" w:type="dxa"/>
              <w:end w:w="120" w:type="dxa"/>
            </w:tcMar>
            <w:vAlign w:val="center"/>
          </w:tcPr>
          <w:p>
            <w:pPr>
              <w:jc w:val="left"/>
            </w:pPr>
            <w:r>
              <w:rPr>
                <w:rFonts w:ascii="Times New Roman" w:hAnsi="Times New Roman"/>
                <w:color w:val="202529"/>
                <w:sz w:val="17"/>
              </w:rPr>
              <w:t>Scanners have incomplete coverage; updates and manual review remain necessary.</w:t>
            </w:r>
          </w:p>
        </w:tc>
      </w:tr>
    </w:tbl>
    <w:p>
      <w:pPr>
        <w:spacing w:after="0"/>
      </w:pPr>
    </w:p>
    <w:p>
      <w:pPr>
        <w:pStyle w:val="Heading2"/>
      </w:pPr>
      <w:r>
        <w:t>6.3 RBAC analysis</w:t>
      </w:r>
    </w:p>
    <w:p>
      <w:r>
        <w:rPr>
          <w:rFonts w:ascii="Times New Roman" w:hAnsi="Times New Roman"/>
          <w:color w:val="202529"/>
        </w:rPr>
        <w:t xml:space="preserve">The supplied ClusterRole grants </w:t>
      </w:r>
      <w:r>
        <w:rPr>
          <w:rFonts w:ascii="Consolas" w:hAnsi="Consolas"/>
          <w:color w:val="173B4F"/>
          <w:sz w:val="21"/>
        </w:rPr>
        <w:t>get</w:t>
      </w:r>
      <w:r>
        <w:rPr>
          <w:rFonts w:ascii="Times New Roman" w:hAnsi="Times New Roman"/>
          <w:color w:val="202529"/>
        </w:rPr>
        <w:t xml:space="preserve">, </w:t>
      </w:r>
      <w:r>
        <w:rPr>
          <w:rFonts w:ascii="Consolas" w:hAnsi="Consolas"/>
          <w:color w:val="173B4F"/>
          <w:sz w:val="21"/>
        </w:rPr>
        <w:t>list</w:t>
      </w:r>
      <w:r>
        <w:rPr>
          <w:rFonts w:ascii="Times New Roman" w:hAnsi="Times New Roman"/>
          <w:color w:val="202529"/>
        </w:rPr>
        <w:t xml:space="preserve">, and </w:t>
      </w:r>
      <w:r>
        <w:rPr>
          <w:rFonts w:ascii="Consolas" w:hAnsi="Consolas"/>
          <w:color w:val="173B4F"/>
          <w:sz w:val="21"/>
        </w:rPr>
        <w:t>watch</w:t>
      </w:r>
      <w:r>
        <w:rPr>
          <w:rFonts w:ascii="Times New Roman" w:hAnsi="Times New Roman"/>
          <w:color w:val="202529"/>
        </w:rPr>
        <w:t xml:space="preserve"> for displayed core, apps, and networking resources [14]. It includes </w:t>
      </w:r>
      <w:r>
        <w:rPr>
          <w:rFonts w:ascii="Consolas" w:hAnsi="Consolas"/>
          <w:color w:val="173B4F"/>
          <w:sz w:val="21"/>
        </w:rPr>
        <w:t>pods/log</w:t>
      </w:r>
      <w:r>
        <w:rPr>
          <w:rFonts w:ascii="Times New Roman" w:hAnsi="Times New Roman"/>
          <w:color w:val="202529"/>
        </w:rPr>
        <w:t xml:space="preserve"> and </w:t>
      </w:r>
      <w:r>
        <w:rPr>
          <w:rFonts w:ascii="Consolas" w:hAnsi="Consolas"/>
          <w:color w:val="173B4F"/>
          <w:sz w:val="21"/>
        </w:rPr>
        <w:t>secrets</w:t>
      </w:r>
      <w:r>
        <w:rPr>
          <w:rFonts w:ascii="Times New Roman" w:hAnsi="Times New Roman"/>
          <w:color w:val="202529"/>
        </w:rPr>
        <w:t xml:space="preserve">, which are high-sensitivity read permissions. The role does not grant </w:t>
      </w:r>
      <w:r>
        <w:rPr>
          <w:rFonts w:ascii="Consolas" w:hAnsi="Consolas"/>
          <w:color w:val="173B4F"/>
          <w:sz w:val="21"/>
        </w:rPr>
        <w:t>create</w:t>
      </w:r>
      <w:r>
        <w:rPr>
          <w:rFonts w:ascii="Times New Roman" w:hAnsi="Times New Roman"/>
          <w:color w:val="202529"/>
        </w:rPr>
        <w:t xml:space="preserve">, </w:t>
      </w:r>
      <w:r>
        <w:rPr>
          <w:rFonts w:ascii="Consolas" w:hAnsi="Consolas"/>
          <w:color w:val="173B4F"/>
          <w:sz w:val="21"/>
        </w:rPr>
        <w:t>update</w:t>
      </w:r>
      <w:r>
        <w:rPr>
          <w:rFonts w:ascii="Times New Roman" w:hAnsi="Times New Roman"/>
          <w:color w:val="202529"/>
        </w:rPr>
        <w:t xml:space="preserve">, </w:t>
      </w:r>
      <w:r>
        <w:rPr>
          <w:rFonts w:ascii="Consolas" w:hAnsi="Consolas"/>
          <w:color w:val="173B4F"/>
          <w:sz w:val="21"/>
        </w:rPr>
        <w:t>patch</w:t>
      </w:r>
      <w:r>
        <w:rPr>
          <w:rFonts w:ascii="Times New Roman" w:hAnsi="Times New Roman"/>
          <w:color w:val="202529"/>
        </w:rPr>
        <w:t xml:space="preserve">, </w:t>
      </w:r>
      <w:r>
        <w:rPr>
          <w:rFonts w:ascii="Consolas" w:hAnsi="Consolas"/>
          <w:color w:val="173B4F"/>
          <w:sz w:val="21"/>
        </w:rPr>
        <w:t>delete</w:t>
      </w:r>
      <w:r>
        <w:rPr>
          <w:rFonts w:ascii="Times New Roman" w:hAnsi="Times New Roman"/>
          <w:color w:val="202529"/>
        </w:rPr>
        <w:t>, impersonation, exec, attach, or port-forward access.</w:t>
      </w:r>
    </w:p>
    <w:p>
      <w:r>
        <w:rPr>
          <w:rFonts w:ascii="Times New Roman" w:hAnsi="Times New Roman"/>
          <w:color w:val="202529"/>
        </w:rPr>
        <w:t>Cluster-wide scope is needed for multi-namespace resource lists and cluster-scoped Nodes and Namespaces. A deployment that only needs selected namespaces should replace the ClusterRole with narrower Roles where possible. Secret access can be removed if reveal is not required.</w:t>
      </w:r>
    </w:p>
    <w:p>
      <w:pPr>
        <w:pStyle w:val="Heading2"/>
      </w:pPr>
      <w:r>
        <w:t>6.4 Privacy and retention</w:t>
      </w:r>
    </w:p>
    <w:p>
      <w:r>
        <w:rPr>
          <w:rFonts w:ascii="Times New Roman" w:hAnsi="Times New Roman"/>
          <w:color w:val="202529"/>
        </w:rPr>
        <w:t>Historical records can contain resource names, labels, image names, configuration keys, event messages, and the masked Secret metadata returned by transformers. The recorder stores transformed objects rather than full API objects, reducing but not eliminating sensitive data. Pod log content is streamed and not written to the KubeView history database.</w:t>
      </w:r>
    </w:p>
    <w:p>
      <w:r>
        <w:rPr>
          <w:rFonts w:ascii="Times New Roman" w:hAnsi="Times New Roman"/>
          <w:color w:val="202529"/>
        </w:rPr>
        <w:t>Retention defaults to 72 hours and can be changed or disabled. A final deployment should document the retention choice, database location, backup behavior, deletion process, and authorized users.</w:t>
      </w:r>
    </w:p>
    <w:p>
      <w:r>
        <w:br w:type="page"/>
      </w:r>
    </w:p>
    <w:p>
      <w:pPr>
        <w:pStyle w:val="Heading1"/>
      </w:pPr>
      <w:r>
        <w:t>7. Testing and validation</w:t>
      </w:r>
    </w:p>
    <w:p>
      <w:pPr>
        <w:pStyle w:val="Heading2"/>
      </w:pPr>
      <w:r>
        <w:t>7.1 Strategy</w:t>
      </w:r>
    </w:p>
    <w:p>
      <w:r>
        <w:rPr>
          <w:rFonts w:ascii="Times New Roman" w:hAnsi="Times New Roman"/>
          <w:color w:val="202529"/>
        </w:rPr>
        <w:t xml:space="preserve">Validation uses several layers because no single test type covers the system. Go tests exercise transformation, handlers, clients, streaming, storage, reconciliation, and diff behavior. Vitest and Testing Library exercise API construction, hooks, providers, shared components, and pages [15]. Playwright runs user workflows through the real frontend and backend against a </w:t>
      </w:r>
      <w:r>
        <w:rPr>
          <w:rFonts w:ascii="Consolas" w:hAnsi="Consolas"/>
          <w:color w:val="173B4F"/>
          <w:sz w:val="21"/>
        </w:rPr>
        <w:t>kind</w:t>
      </w:r>
      <w:r>
        <w:rPr>
          <w:rFonts w:ascii="Times New Roman" w:hAnsi="Times New Roman"/>
          <w:color w:val="202529"/>
        </w:rPr>
        <w:t xml:space="preserve"> Kubernetes cluster [11], [12]. Static checks cover types, formatting, common defects, and selected security queries [13].</w:t>
      </w:r>
    </w:p>
    <w:p>
      <w:r>
        <w:rPr>
          <w:rFonts w:ascii="Times New Roman" w:hAnsi="Times New Roman"/>
          <w:color w:val="202529"/>
        </w:rPr>
        <w:t xml:space="preserve">The detailed matrix is </w:t>
      </w:r>
      <w:r>
        <w:rPr>
          <w:rFonts w:ascii="Consolas" w:hAnsi="Consolas"/>
          <w:color w:val="173B4F"/>
          <w:sz w:val="21"/>
        </w:rPr>
        <w:t>submission/testing/KubeView_Test_Case_Matrix.xlsx</w:t>
      </w:r>
      <w:r>
        <w:rPr>
          <w:rFonts w:ascii="Times New Roman" w:hAnsi="Times New Roman"/>
          <w:color w:val="202529"/>
        </w:rPr>
        <w:t>. It contains 34 traceable validation cases. At the current evidence baseline, 31 are marked Pass and three remain Not run: accessibility, performance, and clean installation.</w:t>
      </w:r>
    </w:p>
    <w:p>
      <w:pPr>
        <w:pStyle w:val="Heading2"/>
      </w:pPr>
      <w:r>
        <w:t>7.2 Retained CI evidence</w:t>
      </w:r>
    </w:p>
    <w:p>
      <w:r>
        <w:rPr>
          <w:rFonts w:ascii="Times New Roman" w:hAnsi="Times New Roman"/>
          <w:color w:val="202529"/>
        </w:rPr>
        <w:t xml:space="preserve">GitHub Actions run </w:t>
      </w:r>
      <w:r>
        <w:rPr>
          <w:rFonts w:ascii="Consolas" w:hAnsi="Consolas"/>
          <w:color w:val="173B4F"/>
          <w:sz w:val="21"/>
        </w:rPr>
        <w:t>33142315221</w:t>
      </w:r>
      <w:r>
        <w:rPr>
          <w:rFonts w:ascii="Times New Roman" w:hAnsi="Times New Roman"/>
          <w:color w:val="202529"/>
        </w:rPr>
        <w:t xml:space="preserve"> applies to commit </w:t>
      </w:r>
      <w:r>
        <w:rPr>
          <w:rFonts w:ascii="Consolas" w:hAnsi="Consolas"/>
          <w:color w:val="173B4F"/>
          <w:sz w:val="21"/>
        </w:rPr>
        <w:t>8ee601c</w:t>
      </w:r>
      <w:r>
        <w:rPr>
          <w:rFonts w:ascii="Times New Roman" w:hAnsi="Times New Roman"/>
          <w:color w:val="202529"/>
        </w:rPr>
        <w:t xml:space="preserve"> and completed on 28 August 2026. Six jobs passed:</w:t>
      </w:r>
    </w:p>
    <w:p>
      <w:pPr>
        <w:pStyle w:val="ListBullet"/>
      </w:pPr>
      <w:r>
        <w:rPr>
          <w:rFonts w:ascii="Times New Roman" w:hAnsi="Times New Roman"/>
          <w:color w:val="202529"/>
        </w:rPr>
        <w:t xml:space="preserve"> backend build and tests with the race detector and coverage collection;</w:t>
      </w:r>
    </w:p>
    <w:p>
      <w:pPr>
        <w:pStyle w:val="ListBullet"/>
      </w:pPr>
      <w:r>
        <w:rPr>
          <w:rFonts w:ascii="Times New Roman" w:hAnsi="Times New Roman"/>
          <w:color w:val="202529"/>
        </w:rPr>
        <w:t xml:space="preserve"> backend dependency tidiness, formatting, vet, staticcheck, golangci-lint, and govulncheck;</w:t>
      </w:r>
    </w:p>
    <w:p>
      <w:pPr>
        <w:pStyle w:val="ListBullet"/>
      </w:pPr>
      <w:r>
        <w:rPr>
          <w:rFonts w:ascii="Times New Roman" w:hAnsi="Times New Roman"/>
          <w:color w:val="202529"/>
        </w:rPr>
        <w:t xml:space="preserve"> frontend type checking, ESLint, Vitest, and production build;</w:t>
      </w:r>
    </w:p>
    <w:p>
      <w:pPr>
        <w:pStyle w:val="ListBullet"/>
      </w:pPr>
      <w:r>
        <w:rPr>
          <w:rFonts w:ascii="Times New Roman" w:hAnsi="Times New Roman"/>
          <w:color w:val="202529"/>
        </w:rPr>
        <w:t xml:space="preserve"> CodeQL for Go;</w:t>
      </w:r>
    </w:p>
    <w:p>
      <w:pPr>
        <w:pStyle w:val="ListBullet"/>
      </w:pPr>
      <w:r>
        <w:rPr>
          <w:rFonts w:ascii="Times New Roman" w:hAnsi="Times New Roman"/>
          <w:color w:val="202529"/>
        </w:rPr>
        <w:t xml:space="preserve"> CodeQL for JavaScript and TypeScript;</w:t>
      </w:r>
    </w:p>
    <w:p>
      <w:pPr>
        <w:pStyle w:val="ListBullet"/>
      </w:pPr>
      <w:r>
        <w:rPr>
          <w:rFonts w:ascii="Times New Roman" w:hAnsi="Times New Roman"/>
          <w:color w:val="202529"/>
        </w:rPr>
        <w:t xml:space="preserve"> Playwright E2E against Kubernetes 1.34 in </w:t>
      </w:r>
      <w:r>
        <w:rPr>
          <w:rFonts w:ascii="Consolas" w:hAnsi="Consolas"/>
          <w:color w:val="173B4F"/>
          <w:sz w:val="21"/>
        </w:rPr>
        <w:t>kind</w:t>
      </w:r>
      <w:r>
        <w:rPr>
          <w:rFonts w:ascii="Times New Roman" w:hAnsi="Times New Roman"/>
          <w:color w:val="202529"/>
        </w:rPr>
        <w:t>.</w:t>
      </w:r>
    </w:p>
    <w:p>
      <w:r>
        <w:rPr>
          <w:rFonts w:ascii="Times New Roman" w:hAnsi="Times New Roman"/>
          <w:color w:val="202529"/>
        </w:rPr>
        <w:t xml:space="preserve">The check-run metadata is retained in </w:t>
      </w:r>
      <w:r>
        <w:rPr>
          <w:rFonts w:ascii="Consolas" w:hAnsi="Consolas"/>
          <w:color w:val="173B4F"/>
          <w:sz w:val="21"/>
        </w:rPr>
        <w:t>submission/evidence/ci/check-runs-8ee601c.json</w:t>
      </w:r>
      <w:r>
        <w:rPr>
          <w:rFonts w:ascii="Times New Roman" w:hAnsi="Times New Roman"/>
          <w:color w:val="202529"/>
        </w:rPr>
        <w:t xml:space="preserve">. The Playwright report archive is retained with SHA-256 digest </w:t>
      </w:r>
      <w:r>
        <w:rPr>
          <w:rFonts w:ascii="Consolas" w:hAnsi="Consolas"/>
          <w:color w:val="173B4F"/>
          <w:sz w:val="21"/>
        </w:rPr>
        <w:t>0609a544f0b7c76bcd94442bceb93b90ad2e3430bd9fe6b7a6c3675b16a2d62f</w:t>
      </w:r>
      <w:r>
        <w:rPr>
          <w:rFonts w:ascii="Times New Roman" w:hAnsi="Times New Roman"/>
          <w:color w:val="202529"/>
        </w:rPr>
        <w:t>.</w:t>
      </w:r>
    </w:p>
    <w:p>
      <w:pPr>
        <w:pStyle w:val="Heading2"/>
      </w:pPr>
      <w:r>
        <w:t>7.3 Test inventory and covered behavior</w:t>
      </w:r>
    </w:p>
    <w:p>
      <w:r>
        <w:rPr>
          <w:rFonts w:ascii="Times New Roman" w:hAnsi="Times New Roman"/>
          <w:color w:val="202529"/>
        </w:rPr>
        <w:t>The frozen source contains 227 Go test functions, 60 frontend Vitest cases, and 45 Playwright cases. The E2E fixtures cover dashboard health, namespace and search behavior, pods, multi-container details, logs, workloads, Services, Nodes, Events, ConfigMaps, Secrets, Ingresses, StatefulSets, DaemonSets, navigation, live updates, and time travel.</w:t>
      </w:r>
    </w:p>
    <w:p>
      <w:r>
        <w:rPr>
          <w:rFonts w:ascii="Times New Roman" w:hAnsi="Times New Roman"/>
          <w:color w:val="202529"/>
        </w:rPr>
        <w:t>Recorder tests include reconstruction across versions, deletion tombstones, unchanged-version deduplication, age-only changes, file locking, retention boundaries, context isolation, concurrent reads and writes, dropped-event repair, and deletions missed during downtime. Stream tests cover heartbeats, cancellation, watch errors, oversized log lines, and connection shutdown.</w:t>
      </w:r>
    </w:p>
    <w:p>
      <w:pPr>
        <w:pStyle w:val="Heading2"/>
      </w:pPr>
      <w:r>
        <w:t>7.4 Limits of the evidence</w:t>
      </w:r>
    </w:p>
    <w:p>
      <w:r>
        <w:rPr>
          <w:rFonts w:ascii="Times New Roman" w:hAnsi="Times New Roman"/>
          <w:color w:val="202529"/>
        </w:rPr>
        <w:t>A passing CI run shows that the defined checks succeeded in one controlled environment. It does not prove defect absence. The workflow generated Go coverage but did not retain a coverage percentage or HTML report. Chromium is the only browser in the E2E job. No measured performance envelope exists for cluster size, event rate, concurrent users, storage growth, or response latency.</w:t>
      </w:r>
    </w:p>
    <w:p>
      <w:r>
        <w:rPr>
          <w:rFonts w:ascii="Times New Roman" w:hAnsi="Times New Roman"/>
          <w:color w:val="202529"/>
        </w:rPr>
        <w:t>The final validation pass should retain tool versions, run the documented clean installation, capture coverage output, run an accessibility audit, and measure at least one defined load profile. Results must be inserted without changing the original baseline evidence.</w:t>
      </w:r>
    </w:p>
    <w:p>
      <w:r>
        <w:br w:type="page"/>
      </w:r>
    </w:p>
    <w:p>
      <w:pPr>
        <w:pStyle w:val="Heading1"/>
      </w:pPr>
      <w:r>
        <w:t>8. Results and evaluation</w:t>
      </w:r>
    </w:p>
    <w:p>
      <w:pPr>
        <w:pStyle w:val="Heading2"/>
      </w:pPr>
      <w:r>
        <w:t>8.1 Functional result</w:t>
      </w:r>
    </w:p>
    <w:p>
      <w:r>
        <w:rPr>
          <w:rFonts w:ascii="Times New Roman" w:hAnsi="Times New Roman"/>
          <w:color w:val="202529"/>
        </w:rPr>
        <w:t>The retained automated evidence meets the functional criteria represented in the current test matrix. The application lists the supported resources, handles multi-container pod details, streams updates and logs, switches contexts, masks default Secret output, records state, reconstructs a past moment, and compares two moments. The real-cluster tests are stronger evidence than mocked unit tests alone because they exercise Kubernetes API behavior, application processes, HTTP, SSE, and Chromium together.</w:t>
      </w:r>
    </w:p>
    <w:p>
      <w:pPr>
        <w:pStyle w:val="Heading2"/>
      </w:pPr>
      <w:r>
        <w:t>8.2 Reliability result</w:t>
      </w:r>
    </w:p>
    <w:p>
      <w:r>
        <w:rPr>
          <w:rFonts w:ascii="Times New Roman" w:hAnsi="Times New Roman"/>
          <w:color w:val="202529"/>
        </w:rPr>
        <w:t>The implementation includes explicit recovery for two failure classes. Frontend watch reconnection performs a new list after the stream is re-established. Recorder reconciliation repairs dropped current-state writes and tombstones objects absent after downtime. Both mechanisms converge toward current state. Neither can reproduce every intermediate event lost while disconnected.</w:t>
      </w:r>
    </w:p>
    <w:p>
      <w:r>
        <w:rPr>
          <w:rFonts w:ascii="Times New Roman" w:hAnsi="Times New Roman"/>
          <w:color w:val="202529"/>
        </w:rPr>
        <w:t>Graceful shutdown cancels long-running request contexts, and ordinary Kubernetes calls have a bounded timeout. Race-enabled backend tests passed in the retained CI run. A longer soak test is still needed before making availability or throughput claims.</w:t>
      </w:r>
    </w:p>
    <w:p>
      <w:pPr>
        <w:pStyle w:val="Heading2"/>
      </w:pPr>
      <w:r>
        <w:t>8.3 Security result</w:t>
      </w:r>
    </w:p>
    <w:p>
      <w:r>
        <w:rPr>
          <w:rFonts w:ascii="Times New Roman" w:hAnsi="Times New Roman"/>
          <w:color w:val="202529"/>
        </w:rPr>
        <w:t>The code and manifests meet the stated read-only objective. The RBAC verbs exclude mutation, and the runtime hardening reduces container privileges. CodeQL and govulncheck completed successfully in CI. The most important residual issue is not hidden by these results: the backend does not identify or authorize individual users. Deployment-level access control is mandatory.</w:t>
      </w:r>
    </w:p>
    <w:p>
      <w:pPr>
        <w:pStyle w:val="Heading2"/>
      </w:pPr>
      <w:r>
        <w:t>8.4 Reproducibility result</w:t>
      </w:r>
    </w:p>
    <w:p>
      <w:r>
        <w:rPr>
          <w:rFonts w:ascii="Times New Roman" w:hAnsi="Times New Roman"/>
          <w:color w:val="202529"/>
        </w:rPr>
        <w:t xml:space="preserve">The project includes locked Go and npm dependencies, Dockerfiles, Docker Compose, Kubernetes manifests, a Kustomize entry point, deterministic E2E fixture versions, and a source ZIP created from a named commit. The source archive digest is </w:t>
      </w:r>
      <w:r>
        <w:rPr>
          <w:rFonts w:ascii="Consolas" w:hAnsi="Consolas"/>
          <w:color w:val="173B4F"/>
          <w:sz w:val="21"/>
        </w:rPr>
        <w:t>8a1da44011802158e57d4dcc067f50d08695315b9fe246bf328e73051e441d8f</w:t>
      </w:r>
      <w:r>
        <w:rPr>
          <w:rFonts w:ascii="Times New Roman" w:hAnsi="Times New Roman"/>
          <w:color w:val="202529"/>
        </w:rPr>
        <w:t>. A separate clean-machine installation remains necessary to validate the written guide outside CI.</w:t>
      </w:r>
    </w:p>
    <w:p>
      <w:pPr>
        <w:pStyle w:val="Heading2"/>
      </w:pPr>
      <w:r>
        <w:t>8.5 Evaluation against success criteria</w:t>
      </w:r>
    </w:p>
    <w:tbl>
      <w:tblPr>
        <w:tblStyle w:val="TableGrid"/>
        <w:tblW w:type="dxa" w:w="9360"/>
        <w:tblLayout w:type="fixed"/>
        <w:tblLook w:firstColumn="1" w:firstRow="1" w:lastColumn="0" w:lastRow="0" w:noHBand="0" w:noVBand="1" w:val="04A0"/>
        <w:jc w:val="left"/>
        <w:tblInd w:w="120" w:type="dxa"/>
      </w:tblPr>
      <w:tblGrid>
        <w:gridCol w:w="1685"/>
        <w:gridCol w:w="3557"/>
        <w:gridCol w:w="4118"/>
      </w:tblGrid>
      <w:tr>
        <w:trPr>
          <w:tblHeader w:val="true"/>
          <w:cantSplit/>
        </w:trPr>
        <w:tc>
          <w:tcPr>
            <w:tcW w:type="dxa" w:w="1685"/>
            <w:tcMar>
              <w:top w:w="80" w:type="dxa"/>
              <w:start w:w="120" w:type="dxa"/>
              <w:bottom w:w="80" w:type="dxa"/>
              <w:end w:w="120" w:type="dxa"/>
            </w:tcMar>
            <w:vAlign w:val="center"/>
            <w:shd w:fill="E8F0F4"/>
          </w:tcPr>
          <w:p>
            <w:pPr>
              <w:jc w:val="center"/>
            </w:pPr>
            <w:r>
              <w:rPr>
                <w:rFonts w:ascii="Times New Roman" w:hAnsi="Times New Roman"/>
                <w:b/>
                <w:color w:val="173B4F"/>
                <w:sz w:val="17"/>
              </w:rPr>
              <w:t>Criterion</w:t>
            </w:r>
          </w:p>
        </w:tc>
        <w:tc>
          <w:tcPr>
            <w:tcW w:type="dxa" w:w="3557"/>
            <w:tcMar>
              <w:top w:w="80" w:type="dxa"/>
              <w:start w:w="120" w:type="dxa"/>
              <w:bottom w:w="80" w:type="dxa"/>
              <w:end w:w="120" w:type="dxa"/>
            </w:tcMar>
            <w:vAlign w:val="center"/>
            <w:shd w:fill="E8F0F4"/>
          </w:tcPr>
          <w:p>
            <w:pPr>
              <w:jc w:val="center"/>
            </w:pPr>
            <w:r>
              <w:rPr>
                <w:rFonts w:ascii="Times New Roman" w:hAnsi="Times New Roman"/>
                <w:b/>
                <w:color w:val="173B4F"/>
                <w:sz w:val="17"/>
              </w:rPr>
              <w:t>Current status</w:t>
            </w:r>
          </w:p>
        </w:tc>
        <w:tc>
          <w:tcPr>
            <w:tcW w:type="dxa" w:w="4118"/>
            <w:tcMar>
              <w:top w:w="80" w:type="dxa"/>
              <w:start w:w="120" w:type="dxa"/>
              <w:bottom w:w="80" w:type="dxa"/>
              <w:end w:w="120" w:type="dxa"/>
            </w:tcMar>
            <w:vAlign w:val="center"/>
            <w:shd w:fill="E8F0F4"/>
          </w:tcPr>
          <w:p>
            <w:pPr>
              <w:jc w:val="center"/>
            </w:pPr>
            <w:r>
              <w:rPr>
                <w:rFonts w:ascii="Times New Roman" w:hAnsi="Times New Roman"/>
                <w:b/>
                <w:color w:val="173B4F"/>
                <w:sz w:val="17"/>
              </w:rPr>
              <w:t>Basis</w:t>
            </w:r>
          </w:p>
        </w:tc>
      </w:tr>
      <w:tr>
        <w:trPr>
          <w:cantSplit/>
        </w:trPr>
        <w:tc>
          <w:tcPr>
            <w:tcW w:type="dxa" w:w="1685"/>
            <w:tcMar>
              <w:top w:w="80" w:type="dxa"/>
              <w:start w:w="120" w:type="dxa"/>
              <w:bottom w:w="80" w:type="dxa"/>
              <w:end w:w="120" w:type="dxa"/>
            </w:tcMar>
            <w:vAlign w:val="center"/>
          </w:tcPr>
          <w:p>
            <w:pPr>
              <w:jc w:val="left"/>
            </w:pPr>
            <w:r>
              <w:rPr>
                <w:rFonts w:ascii="Times New Roman" w:hAnsi="Times New Roman"/>
                <w:color w:val="202529"/>
                <w:sz w:val="17"/>
              </w:rPr>
              <w:t>Supported resources work against Kubernetes</w:t>
            </w:r>
          </w:p>
        </w:tc>
        <w:tc>
          <w:tcPr>
            <w:tcW w:type="dxa" w:w="3557"/>
            <w:tcMar>
              <w:top w:w="80" w:type="dxa"/>
              <w:start w:w="120" w:type="dxa"/>
              <w:bottom w:w="80" w:type="dxa"/>
              <w:end w:w="120" w:type="dxa"/>
            </w:tcMar>
            <w:vAlign w:val="center"/>
          </w:tcPr>
          <w:p>
            <w:pPr>
              <w:jc w:val="left"/>
            </w:pPr>
            <w:r>
              <w:rPr>
                <w:rFonts w:ascii="Times New Roman" w:hAnsi="Times New Roman"/>
                <w:color w:val="202529"/>
                <w:sz w:val="17"/>
              </w:rPr>
              <w:t>Met for tested fixtures</w:t>
            </w:r>
          </w:p>
        </w:tc>
        <w:tc>
          <w:tcPr>
            <w:tcW w:type="dxa" w:w="4118"/>
            <w:tcMar>
              <w:top w:w="80" w:type="dxa"/>
              <w:start w:w="120" w:type="dxa"/>
              <w:bottom w:w="80" w:type="dxa"/>
              <w:end w:w="120" w:type="dxa"/>
            </w:tcMar>
            <w:vAlign w:val="center"/>
          </w:tcPr>
          <w:p>
            <w:pPr>
              <w:jc w:val="left"/>
            </w:pPr>
            <w:r>
              <w:rPr>
                <w:rFonts w:ascii="Times New Roman" w:hAnsi="Times New Roman"/>
                <w:color w:val="202529"/>
                <w:sz w:val="17"/>
              </w:rPr>
              <w:t>Real-cluster Playwright run.</w:t>
            </w:r>
          </w:p>
        </w:tc>
      </w:tr>
      <w:tr>
        <w:trPr>
          <w:cantSplit/>
        </w:trPr>
        <w:tc>
          <w:tcPr>
            <w:tcW w:type="dxa" w:w="1685"/>
            <w:tcMar>
              <w:top w:w="80" w:type="dxa"/>
              <w:start w:w="120" w:type="dxa"/>
              <w:bottom w:w="80" w:type="dxa"/>
              <w:end w:w="120" w:type="dxa"/>
            </w:tcMar>
            <w:vAlign w:val="center"/>
          </w:tcPr>
          <w:p>
            <w:pPr>
              <w:jc w:val="left"/>
            </w:pPr>
            <w:r>
              <w:rPr>
                <w:rFonts w:ascii="Times New Roman" w:hAnsi="Times New Roman"/>
                <w:color w:val="202529"/>
                <w:sz w:val="17"/>
              </w:rPr>
              <w:t>Live state converges after changes</w:t>
            </w:r>
          </w:p>
        </w:tc>
        <w:tc>
          <w:tcPr>
            <w:tcW w:type="dxa" w:w="3557"/>
            <w:tcMar>
              <w:top w:w="80" w:type="dxa"/>
              <w:start w:w="120" w:type="dxa"/>
              <w:bottom w:w="80" w:type="dxa"/>
              <w:end w:w="120" w:type="dxa"/>
            </w:tcMar>
            <w:vAlign w:val="center"/>
          </w:tcPr>
          <w:p>
            <w:pPr>
              <w:jc w:val="left"/>
            </w:pPr>
            <w:r>
              <w:rPr>
                <w:rFonts w:ascii="Times New Roman" w:hAnsi="Times New Roman"/>
                <w:color w:val="202529"/>
                <w:sz w:val="17"/>
              </w:rPr>
              <w:t>Met for tested cases</w:t>
            </w:r>
          </w:p>
        </w:tc>
        <w:tc>
          <w:tcPr>
            <w:tcW w:type="dxa" w:w="4118"/>
            <w:tcMar>
              <w:top w:w="80" w:type="dxa"/>
              <w:start w:w="120" w:type="dxa"/>
              <w:bottom w:w="80" w:type="dxa"/>
              <w:end w:w="120" w:type="dxa"/>
            </w:tcMar>
            <w:vAlign w:val="center"/>
          </w:tcPr>
          <w:p>
            <w:pPr>
              <w:jc w:val="left"/>
            </w:pPr>
            <w:r>
              <w:rPr>
                <w:rFonts w:ascii="Times New Roman" w:hAnsi="Times New Roman"/>
                <w:color w:val="202529"/>
                <w:sz w:val="17"/>
              </w:rPr>
              <w:t>Watch unit tests and live-update E2E cases.</w:t>
            </w:r>
          </w:p>
        </w:tc>
      </w:tr>
      <w:tr>
        <w:trPr>
          <w:cantSplit/>
        </w:trPr>
        <w:tc>
          <w:tcPr>
            <w:tcW w:type="dxa" w:w="1685"/>
            <w:tcMar>
              <w:top w:w="80" w:type="dxa"/>
              <w:start w:w="120" w:type="dxa"/>
              <w:bottom w:w="80" w:type="dxa"/>
              <w:end w:w="120" w:type="dxa"/>
            </w:tcMar>
            <w:vAlign w:val="center"/>
          </w:tcPr>
          <w:p>
            <w:pPr>
              <w:jc w:val="left"/>
            </w:pPr>
            <w:r>
              <w:rPr>
                <w:rFonts w:ascii="Times New Roman" w:hAnsi="Times New Roman"/>
                <w:color w:val="202529"/>
                <w:sz w:val="17"/>
              </w:rPr>
              <w:t>Historical state and diff work</w:t>
            </w:r>
          </w:p>
        </w:tc>
        <w:tc>
          <w:tcPr>
            <w:tcW w:type="dxa" w:w="3557"/>
            <w:tcMar>
              <w:top w:w="80" w:type="dxa"/>
              <w:start w:w="120" w:type="dxa"/>
              <w:bottom w:w="80" w:type="dxa"/>
              <w:end w:w="120" w:type="dxa"/>
            </w:tcMar>
            <w:vAlign w:val="center"/>
          </w:tcPr>
          <w:p>
            <w:pPr>
              <w:jc w:val="left"/>
            </w:pPr>
            <w:r>
              <w:rPr>
                <w:rFonts w:ascii="Times New Roman" w:hAnsi="Times New Roman"/>
                <w:color w:val="202529"/>
                <w:sz w:val="17"/>
              </w:rPr>
              <w:t>Met for tested cases</w:t>
            </w:r>
          </w:p>
        </w:tc>
        <w:tc>
          <w:tcPr>
            <w:tcW w:type="dxa" w:w="4118"/>
            <w:tcMar>
              <w:top w:w="80" w:type="dxa"/>
              <w:start w:w="120" w:type="dxa"/>
              <w:bottom w:w="80" w:type="dxa"/>
              <w:end w:w="120" w:type="dxa"/>
            </w:tcMar>
            <w:vAlign w:val="center"/>
          </w:tcPr>
          <w:p>
            <w:pPr>
              <w:jc w:val="left"/>
            </w:pPr>
            <w:r>
              <w:rPr>
                <w:rFonts w:ascii="Times New Roman" w:hAnsi="Times New Roman"/>
                <w:color w:val="202529"/>
                <w:sz w:val="17"/>
              </w:rPr>
              <w:t>Store, handler, frontend, and E2E tests.</w:t>
            </w:r>
          </w:p>
        </w:tc>
      </w:tr>
      <w:tr>
        <w:trPr>
          <w:cantSplit/>
        </w:trPr>
        <w:tc>
          <w:tcPr>
            <w:tcW w:type="dxa" w:w="1685"/>
            <w:tcMar>
              <w:top w:w="80" w:type="dxa"/>
              <w:start w:w="120" w:type="dxa"/>
              <w:bottom w:w="80" w:type="dxa"/>
              <w:end w:w="120" w:type="dxa"/>
            </w:tcMar>
            <w:vAlign w:val="center"/>
          </w:tcPr>
          <w:p>
            <w:pPr>
              <w:jc w:val="left"/>
            </w:pPr>
            <w:r>
              <w:rPr>
                <w:rFonts w:ascii="Times New Roman" w:hAnsi="Times New Roman"/>
                <w:color w:val="202529"/>
                <w:sz w:val="17"/>
              </w:rPr>
              <w:t>Context separation is enforced</w:t>
            </w:r>
          </w:p>
        </w:tc>
        <w:tc>
          <w:tcPr>
            <w:tcW w:type="dxa" w:w="3557"/>
            <w:tcMar>
              <w:top w:w="80" w:type="dxa"/>
              <w:start w:w="120" w:type="dxa"/>
              <w:bottom w:w="80" w:type="dxa"/>
              <w:end w:w="120" w:type="dxa"/>
            </w:tcMar>
            <w:vAlign w:val="center"/>
          </w:tcPr>
          <w:p>
            <w:pPr>
              <w:jc w:val="left"/>
            </w:pPr>
            <w:r>
              <w:rPr>
                <w:rFonts w:ascii="Times New Roman" w:hAnsi="Times New Roman"/>
                <w:color w:val="202529"/>
                <w:sz w:val="17"/>
              </w:rPr>
              <w:t>Met for tested cases</w:t>
            </w:r>
          </w:p>
        </w:tc>
        <w:tc>
          <w:tcPr>
            <w:tcW w:type="dxa" w:w="4118"/>
            <w:tcMar>
              <w:top w:w="80" w:type="dxa"/>
              <w:start w:w="120" w:type="dxa"/>
              <w:bottom w:w="80" w:type="dxa"/>
              <w:end w:w="120" w:type="dxa"/>
            </w:tcMar>
            <w:vAlign w:val="center"/>
          </w:tcPr>
          <w:p>
            <w:pPr>
              <w:jc w:val="left"/>
            </w:pPr>
            <w:r>
              <w:rPr>
                <w:rFonts w:ascii="Times New Roman" w:hAnsi="Times New Roman"/>
                <w:color w:val="202529"/>
                <w:sz w:val="17"/>
              </w:rPr>
              <w:t>Client, API, provider, store, and UI tests.</w:t>
            </w:r>
          </w:p>
        </w:tc>
      </w:tr>
      <w:tr>
        <w:trPr>
          <w:cantSplit/>
        </w:trPr>
        <w:tc>
          <w:tcPr>
            <w:tcW w:type="dxa" w:w="1685"/>
            <w:tcMar>
              <w:top w:w="80" w:type="dxa"/>
              <w:start w:w="120" w:type="dxa"/>
              <w:bottom w:w="80" w:type="dxa"/>
              <w:end w:w="120" w:type="dxa"/>
            </w:tcMar>
            <w:vAlign w:val="center"/>
          </w:tcPr>
          <w:p>
            <w:pPr>
              <w:jc w:val="left"/>
            </w:pPr>
            <w:r>
              <w:rPr>
                <w:rFonts w:ascii="Times New Roman" w:hAnsi="Times New Roman"/>
                <w:color w:val="202529"/>
                <w:sz w:val="17"/>
              </w:rPr>
              <w:t>Cluster access is read-only</w:t>
            </w:r>
          </w:p>
        </w:tc>
        <w:tc>
          <w:tcPr>
            <w:tcW w:type="dxa" w:w="3557"/>
            <w:tcMar>
              <w:top w:w="80" w:type="dxa"/>
              <w:start w:w="120" w:type="dxa"/>
              <w:bottom w:w="80" w:type="dxa"/>
              <w:end w:w="120" w:type="dxa"/>
            </w:tcMar>
            <w:vAlign w:val="center"/>
          </w:tcPr>
          <w:p>
            <w:pPr>
              <w:jc w:val="left"/>
            </w:pPr>
            <w:r>
              <w:rPr>
                <w:rFonts w:ascii="Times New Roman" w:hAnsi="Times New Roman"/>
                <w:color w:val="202529"/>
                <w:sz w:val="17"/>
              </w:rPr>
              <w:t>Met by design and manifest review</w:t>
            </w:r>
          </w:p>
        </w:tc>
        <w:tc>
          <w:tcPr>
            <w:tcW w:type="dxa" w:w="4118"/>
            <w:tcMar>
              <w:top w:w="80" w:type="dxa"/>
              <w:start w:w="120" w:type="dxa"/>
              <w:bottom w:w="80" w:type="dxa"/>
              <w:end w:w="120" w:type="dxa"/>
            </w:tcMar>
            <w:vAlign w:val="center"/>
          </w:tcPr>
          <w:p>
            <w:pPr>
              <w:jc w:val="left"/>
            </w:pPr>
            <w:r>
              <w:rPr>
                <w:rFonts w:ascii="Times New Roman" w:hAnsi="Times New Roman"/>
                <w:color w:val="202529"/>
                <w:sz w:val="17"/>
              </w:rPr>
              <w:t>HTTP routes and ClusterRole verbs.</w:t>
            </w:r>
          </w:p>
        </w:tc>
      </w:tr>
      <w:tr>
        <w:trPr>
          <w:cantSplit/>
        </w:trPr>
        <w:tc>
          <w:tcPr>
            <w:tcW w:type="dxa" w:w="1685"/>
            <w:tcMar>
              <w:top w:w="80" w:type="dxa"/>
              <w:start w:w="120" w:type="dxa"/>
              <w:bottom w:w="80" w:type="dxa"/>
              <w:end w:w="120" w:type="dxa"/>
            </w:tcMar>
            <w:vAlign w:val="center"/>
          </w:tcPr>
          <w:p>
            <w:pPr>
              <w:jc w:val="left"/>
            </w:pPr>
            <w:r>
              <w:rPr>
                <w:rFonts w:ascii="Times New Roman" w:hAnsi="Times New Roman"/>
                <w:color w:val="202529"/>
                <w:sz w:val="17"/>
              </w:rPr>
              <w:t>Frozen source is reproducible</w:t>
            </w:r>
          </w:p>
        </w:tc>
        <w:tc>
          <w:tcPr>
            <w:tcW w:type="dxa" w:w="3557"/>
            <w:tcMar>
              <w:top w:w="80" w:type="dxa"/>
              <w:start w:w="120" w:type="dxa"/>
              <w:bottom w:w="80" w:type="dxa"/>
              <w:end w:w="120" w:type="dxa"/>
            </w:tcMar>
            <w:vAlign w:val="center"/>
          </w:tcPr>
          <w:p>
            <w:pPr>
              <w:jc w:val="left"/>
            </w:pPr>
            <w:r>
              <w:rPr>
                <w:rFonts w:ascii="Times New Roman" w:hAnsi="Times New Roman"/>
                <w:color w:val="202529"/>
                <w:sz w:val="17"/>
              </w:rPr>
              <w:t>Partly met</w:t>
            </w:r>
          </w:p>
        </w:tc>
        <w:tc>
          <w:tcPr>
            <w:tcW w:type="dxa" w:w="4118"/>
            <w:tcMar>
              <w:top w:w="80" w:type="dxa"/>
              <w:start w:w="120" w:type="dxa"/>
              <w:bottom w:w="80" w:type="dxa"/>
              <w:end w:w="120" w:type="dxa"/>
            </w:tcMar>
            <w:vAlign w:val="center"/>
          </w:tcPr>
          <w:p>
            <w:pPr>
              <w:jc w:val="left"/>
            </w:pPr>
            <w:r>
              <w:rPr>
                <w:rFonts w:ascii="Times New Roman" w:hAnsi="Times New Roman"/>
                <w:color w:val="202529"/>
                <w:sz w:val="17"/>
              </w:rPr>
              <w:t>Locked files, CI, source ZIP; clean-install run pending.</w:t>
            </w:r>
          </w:p>
        </w:tc>
      </w:tr>
      <w:tr>
        <w:trPr>
          <w:cantSplit/>
        </w:trPr>
        <w:tc>
          <w:tcPr>
            <w:tcW w:type="dxa" w:w="1685"/>
            <w:tcMar>
              <w:top w:w="80" w:type="dxa"/>
              <w:start w:w="120" w:type="dxa"/>
              <w:bottom w:w="80" w:type="dxa"/>
              <w:end w:w="120" w:type="dxa"/>
            </w:tcMar>
            <w:vAlign w:val="center"/>
          </w:tcPr>
          <w:p>
            <w:pPr>
              <w:jc w:val="left"/>
            </w:pPr>
            <w:r>
              <w:rPr>
                <w:rFonts w:ascii="Times New Roman" w:hAnsi="Times New Roman"/>
                <w:color w:val="202529"/>
                <w:sz w:val="17"/>
              </w:rPr>
              <w:t>Accessibility</w:t>
            </w:r>
          </w:p>
        </w:tc>
        <w:tc>
          <w:tcPr>
            <w:tcW w:type="dxa" w:w="3557"/>
            <w:tcMar>
              <w:top w:w="80" w:type="dxa"/>
              <w:start w:w="120" w:type="dxa"/>
              <w:bottom w:w="80" w:type="dxa"/>
              <w:end w:w="120" w:type="dxa"/>
            </w:tcMar>
            <w:vAlign w:val="center"/>
          </w:tcPr>
          <w:p>
            <w:pPr>
              <w:jc w:val="left"/>
            </w:pPr>
            <w:r>
              <w:rPr>
                <w:rFonts w:ascii="Times New Roman" w:hAnsi="Times New Roman"/>
                <w:color w:val="202529"/>
                <w:sz w:val="17"/>
              </w:rPr>
              <w:t>Not evaluated</w:t>
            </w:r>
          </w:p>
        </w:tc>
        <w:tc>
          <w:tcPr>
            <w:tcW w:type="dxa" w:w="4118"/>
            <w:tcMar>
              <w:top w:w="80" w:type="dxa"/>
              <w:start w:w="120" w:type="dxa"/>
              <w:bottom w:w="80" w:type="dxa"/>
              <w:end w:w="120" w:type="dxa"/>
            </w:tcMar>
            <w:vAlign w:val="center"/>
          </w:tcPr>
          <w:p>
            <w:pPr>
              <w:jc w:val="left"/>
            </w:pPr>
            <w:r>
              <w:rPr>
                <w:rFonts w:ascii="Times New Roman" w:hAnsi="Times New Roman"/>
                <w:color w:val="202529"/>
                <w:sz w:val="17"/>
              </w:rPr>
              <w:t>Dedicated audit pending.</w:t>
            </w:r>
          </w:p>
        </w:tc>
      </w:tr>
      <w:tr>
        <w:trPr>
          <w:cantSplit/>
        </w:trPr>
        <w:tc>
          <w:tcPr>
            <w:tcW w:type="dxa" w:w="1685"/>
            <w:tcMar>
              <w:top w:w="80" w:type="dxa"/>
              <w:start w:w="120" w:type="dxa"/>
              <w:bottom w:w="80" w:type="dxa"/>
              <w:end w:w="120" w:type="dxa"/>
            </w:tcMar>
            <w:vAlign w:val="center"/>
          </w:tcPr>
          <w:p>
            <w:pPr>
              <w:jc w:val="left"/>
            </w:pPr>
            <w:r>
              <w:rPr>
                <w:rFonts w:ascii="Times New Roman" w:hAnsi="Times New Roman"/>
                <w:color w:val="202529"/>
                <w:sz w:val="17"/>
              </w:rPr>
              <w:t>Performance envelope</w:t>
            </w:r>
          </w:p>
        </w:tc>
        <w:tc>
          <w:tcPr>
            <w:tcW w:type="dxa" w:w="3557"/>
            <w:tcMar>
              <w:top w:w="80" w:type="dxa"/>
              <w:start w:w="120" w:type="dxa"/>
              <w:bottom w:w="80" w:type="dxa"/>
              <w:end w:w="120" w:type="dxa"/>
            </w:tcMar>
            <w:vAlign w:val="center"/>
          </w:tcPr>
          <w:p>
            <w:pPr>
              <w:jc w:val="left"/>
            </w:pPr>
            <w:r>
              <w:rPr>
                <w:rFonts w:ascii="Times New Roman" w:hAnsi="Times New Roman"/>
                <w:color w:val="202529"/>
                <w:sz w:val="17"/>
              </w:rPr>
              <w:t>Not evaluated</w:t>
            </w:r>
          </w:p>
        </w:tc>
        <w:tc>
          <w:tcPr>
            <w:tcW w:type="dxa" w:w="4118"/>
            <w:tcMar>
              <w:top w:w="80" w:type="dxa"/>
              <w:start w:w="120" w:type="dxa"/>
              <w:bottom w:w="80" w:type="dxa"/>
              <w:end w:w="120" w:type="dxa"/>
            </w:tcMar>
            <w:vAlign w:val="center"/>
          </w:tcPr>
          <w:p>
            <w:pPr>
              <w:jc w:val="left"/>
            </w:pPr>
            <w:r>
              <w:rPr>
                <w:rFonts w:ascii="Times New Roman" w:hAnsi="Times New Roman"/>
                <w:color w:val="202529"/>
                <w:sz w:val="17"/>
              </w:rPr>
              <w:t>Defined measurement pending.</w:t>
            </w:r>
          </w:p>
        </w:tc>
      </w:tr>
    </w:tbl>
    <w:p>
      <w:pPr>
        <w:spacing w:after="0"/>
      </w:pPr>
    </w:p>
    <w:p>
      <w:r>
        <w:br w:type="page"/>
      </w:r>
    </w:p>
    <w:p>
      <w:pPr>
        <w:pStyle w:val="Heading1"/>
      </w:pPr>
      <w:r>
        <w:t>9. Project execution evidence and contribution record</w:t>
      </w:r>
    </w:p>
    <w:p>
      <w:pPr>
        <w:pStyle w:val="Heading2"/>
      </w:pPr>
      <w:r>
        <w:t>9.1 Version control evidence</w:t>
      </w:r>
    </w:p>
    <w:p>
      <w:r>
        <w:rPr>
          <w:rFonts w:ascii="Times New Roman" w:hAnsi="Times New Roman"/>
          <w:color w:val="202529"/>
        </w:rPr>
        <w:t>Repository: https://github.com/varundeepsaini/kubeview</w:t>
      </w:r>
    </w:p>
    <w:p>
      <w:r>
        <w:rPr>
          <w:rFonts w:ascii="Times New Roman" w:hAnsi="Times New Roman"/>
          <w:color w:val="202529"/>
        </w:rPr>
        <w:t xml:space="preserve">The source baseline for this report is commit </w:t>
      </w:r>
      <w:r>
        <w:rPr>
          <w:rFonts w:ascii="Consolas" w:hAnsi="Consolas"/>
          <w:color w:val="173B4F"/>
          <w:sz w:val="21"/>
        </w:rPr>
        <w:t>8ee601c8b54c717cba15470fdd03cea9a44c0424</w:t>
      </w:r>
      <w:r>
        <w:rPr>
          <w:rFonts w:ascii="Times New Roman" w:hAnsi="Times New Roman"/>
          <w:color w:val="202529"/>
        </w:rPr>
        <w:t xml:space="preserve">. The repository history through this commit contains 27 commits and 11 pull-request-linked changes. The full commit inventory is retained in </w:t>
      </w:r>
      <w:r>
        <w:rPr>
          <w:rFonts w:ascii="Consolas" w:hAnsi="Consolas"/>
          <w:color w:val="173B4F"/>
          <w:sz w:val="21"/>
        </w:rPr>
        <w:t>submission/inventories/CONTRIBUTION_HISTORY.csv</w:t>
      </w:r>
      <w:r>
        <w:rPr>
          <w:rFonts w:ascii="Times New Roman" w:hAnsi="Times New Roman"/>
          <w:color w:val="202529"/>
        </w:rPr>
        <w:t>.</w:t>
      </w:r>
    </w:p>
    <w:p>
      <w:r>
        <w:rPr>
          <w:rFonts w:ascii="Times New Roman" w:hAnsi="Times New Roman"/>
          <w:b/>
          <w:color w:val="8A2D1F"/>
          <w:highlight w:val="yellow"/>
        </w:rPr>
        <w:t>[PLACEHOLDER: insert a final GitHub commit-history screenshot after the submission branch is frozen]</w:t>
      </w:r>
    </w:p>
    <w:p>
      <w:pPr>
        <w:pStyle w:val="Heading2"/>
      </w:pPr>
      <w:r>
        <w:t>9.2 Weekly progress summary</w:t>
      </w:r>
    </w:p>
    <w:tbl>
      <w:tblPr>
        <w:tblStyle w:val="TableGrid"/>
        <w:tblW w:type="dxa" w:w="9360"/>
        <w:tblLayout w:type="fixed"/>
        <w:tblLook w:firstColumn="1" w:firstRow="1" w:lastColumn="0" w:lastRow="0" w:noHBand="0" w:noVBand="1" w:val="04A0"/>
        <w:jc w:val="left"/>
        <w:tblInd w:w="120" w:type="dxa"/>
      </w:tblPr>
      <w:tblGrid>
        <w:gridCol w:w="1685"/>
        <w:gridCol w:w="2808"/>
        <w:gridCol w:w="2059"/>
        <w:gridCol w:w="2808"/>
      </w:tblGrid>
      <w:tr>
        <w:trPr>
          <w:tblHeader w:val="true"/>
          <w:cantSplit/>
        </w:trPr>
        <w:tc>
          <w:tcPr>
            <w:tcW w:type="dxa" w:w="1685"/>
            <w:tcMar>
              <w:top w:w="80" w:type="dxa"/>
              <w:start w:w="120" w:type="dxa"/>
              <w:bottom w:w="80" w:type="dxa"/>
              <w:end w:w="120" w:type="dxa"/>
            </w:tcMar>
            <w:vAlign w:val="center"/>
            <w:shd w:fill="E8F0F4"/>
          </w:tcPr>
          <w:p>
            <w:pPr>
              <w:jc w:val="center"/>
            </w:pPr>
            <w:r>
              <w:rPr>
                <w:rFonts w:ascii="Times New Roman" w:hAnsi="Times New Roman"/>
                <w:b/>
                <w:color w:val="173B4F"/>
                <w:sz w:val="17"/>
              </w:rPr>
              <w:t>Week</w:t>
            </w:r>
          </w:p>
        </w:tc>
        <w:tc>
          <w:tcPr>
            <w:tcW w:type="dxa" w:w="2808"/>
            <w:tcMar>
              <w:top w:w="80" w:type="dxa"/>
              <w:start w:w="120" w:type="dxa"/>
              <w:bottom w:w="80" w:type="dxa"/>
              <w:end w:w="120" w:type="dxa"/>
            </w:tcMar>
            <w:vAlign w:val="center"/>
            <w:shd w:fill="E8F0F4"/>
          </w:tcPr>
          <w:p>
            <w:pPr>
              <w:jc w:val="center"/>
            </w:pPr>
            <w:r>
              <w:rPr>
                <w:rFonts w:ascii="Times New Roman" w:hAnsi="Times New Roman"/>
                <w:b/>
                <w:color w:val="173B4F"/>
                <w:sz w:val="17"/>
              </w:rPr>
              <w:t>Task planned</w:t>
            </w:r>
          </w:p>
        </w:tc>
        <w:tc>
          <w:tcPr>
            <w:tcW w:type="dxa" w:w="2059"/>
            <w:tcMar>
              <w:top w:w="80" w:type="dxa"/>
              <w:start w:w="120" w:type="dxa"/>
              <w:bottom w:w="80" w:type="dxa"/>
              <w:end w:w="120" w:type="dxa"/>
            </w:tcMar>
            <w:vAlign w:val="center"/>
            <w:shd w:fill="E8F0F4"/>
          </w:tcPr>
          <w:p>
            <w:pPr>
              <w:jc w:val="center"/>
            </w:pPr>
            <w:r>
              <w:rPr>
                <w:rFonts w:ascii="Times New Roman" w:hAnsi="Times New Roman"/>
                <w:b/>
                <w:color w:val="173B4F"/>
                <w:sz w:val="17"/>
              </w:rPr>
              <w:t>Task completed</w:t>
            </w:r>
          </w:p>
        </w:tc>
        <w:tc>
          <w:tcPr>
            <w:tcW w:type="dxa" w:w="2808"/>
            <w:tcMar>
              <w:top w:w="80" w:type="dxa"/>
              <w:start w:w="120" w:type="dxa"/>
              <w:bottom w:w="80" w:type="dxa"/>
              <w:end w:w="120" w:type="dxa"/>
            </w:tcMar>
            <w:vAlign w:val="center"/>
            <w:shd w:fill="E8F0F4"/>
          </w:tcPr>
          <w:p>
            <w:pPr>
              <w:jc w:val="center"/>
            </w:pPr>
            <w:r>
              <w:rPr>
                <w:rFonts w:ascii="Times New Roman" w:hAnsi="Times New Roman"/>
                <w:b/>
                <w:color w:val="173B4F"/>
                <w:sz w:val="17"/>
              </w:rPr>
              <w:t>Supervisor remark</w:t>
            </w:r>
          </w:p>
        </w:tc>
      </w:tr>
      <w:tr>
        <w:trPr>
          <w:cantSplit/>
        </w:trPr>
        <w:tc>
          <w:tcPr>
            <w:tcW w:type="dxa" w:w="1685"/>
            <w:tcMar>
              <w:top w:w="80" w:type="dxa"/>
              <w:start w:w="120" w:type="dxa"/>
              <w:bottom w:w="80" w:type="dxa"/>
              <w:end w:w="120" w:type="dxa"/>
            </w:tcMar>
            <w:vAlign w:val="center"/>
          </w:tcPr>
          <w:p>
            <w:pPr>
              <w:jc w:val="left"/>
            </w:pPr>
            <w:r>
              <w:rPr>
                <w:rFonts w:ascii="Times New Roman" w:hAnsi="Times New Roman"/>
                <w:color w:val="202529"/>
                <w:sz w:val="17"/>
              </w:rPr>
              <w:t>2-8 March 2026</w:t>
            </w:r>
          </w:p>
        </w:tc>
        <w:tc>
          <w:tcPr>
            <w:tcW w:type="dxa" w:w="2808"/>
            <w:tcMar>
              <w:top w:w="80" w:type="dxa"/>
              <w:start w:w="120" w:type="dxa"/>
              <w:bottom w:w="80" w:type="dxa"/>
              <w:end w:w="120" w:type="dxa"/>
            </w:tcMar>
            <w:vAlign w:val="center"/>
          </w:tcPr>
          <w:p>
            <w:pPr>
              <w:jc w:val="left"/>
            </w:pPr>
            <w:r>
              <w:rPr>
                <w:rFonts w:ascii="Times New Roman" w:hAnsi="Times New Roman"/>
                <w:color w:val="202529"/>
                <w:sz w:val="17"/>
              </w:rPr>
              <w:t>Establish the first working KubeView implementation.</w:t>
            </w:r>
          </w:p>
        </w:tc>
        <w:tc>
          <w:tcPr>
            <w:tcW w:type="dxa" w:w="2059"/>
            <w:tcMar>
              <w:top w:w="80" w:type="dxa"/>
              <w:start w:w="120" w:type="dxa"/>
              <w:bottom w:w="80" w:type="dxa"/>
              <w:end w:w="120" w:type="dxa"/>
            </w:tcMar>
            <w:vAlign w:val="center"/>
          </w:tcPr>
          <w:p>
            <w:pPr>
              <w:jc w:val="left"/>
            </w:pPr>
            <w:r>
              <w:rPr>
                <w:rFonts w:ascii="Times New Roman" w:hAnsi="Times New Roman"/>
                <w:color w:val="202529"/>
                <w:sz w:val="17"/>
              </w:rPr>
              <w:t>Initial repository and application implementation committed.</w:t>
            </w:r>
          </w:p>
        </w:tc>
        <w:tc>
          <w:tcPr>
            <w:tcW w:type="dxa" w:w="2808"/>
            <w:tcMar>
              <w:top w:w="80" w:type="dxa"/>
              <w:start w:w="120" w:type="dxa"/>
              <w:bottom w:w="80" w:type="dxa"/>
              <w:end w:w="120" w:type="dxa"/>
            </w:tcMar>
            <w:vAlign w:val="center"/>
          </w:tcPr>
          <w:p>
            <w:pPr>
              <w:jc w:val="left"/>
            </w:pPr>
            <w:r>
              <w:rPr>
                <w:rFonts w:ascii="Times New Roman" w:hAnsi="Times New Roman"/>
                <w:b/>
                <w:color w:val="8A2D1F"/>
                <w:sz w:val="17"/>
                <w:highlight w:val="yellow"/>
              </w:rPr>
              <w:t>[PLACEHOLDER: supervisor remark, if recorded]</w:t>
            </w:r>
          </w:p>
        </w:tc>
      </w:tr>
      <w:tr>
        <w:trPr>
          <w:cantSplit/>
        </w:trPr>
        <w:tc>
          <w:tcPr>
            <w:tcW w:type="dxa" w:w="1685"/>
            <w:tcMar>
              <w:top w:w="80" w:type="dxa"/>
              <w:start w:w="120" w:type="dxa"/>
              <w:bottom w:w="80" w:type="dxa"/>
              <w:end w:w="120" w:type="dxa"/>
            </w:tcMar>
            <w:vAlign w:val="center"/>
          </w:tcPr>
          <w:p>
            <w:pPr>
              <w:jc w:val="left"/>
            </w:pPr>
            <w:r>
              <w:rPr>
                <w:rFonts w:ascii="Times New Roman" w:hAnsi="Times New Roman"/>
                <w:color w:val="202529"/>
                <w:sz w:val="17"/>
              </w:rPr>
              <w:t>18-24 May 2026</w:t>
            </w:r>
          </w:p>
        </w:tc>
        <w:tc>
          <w:tcPr>
            <w:tcW w:type="dxa" w:w="2808"/>
            <w:tcMar>
              <w:top w:w="80" w:type="dxa"/>
              <w:start w:w="120" w:type="dxa"/>
              <w:bottom w:w="80" w:type="dxa"/>
              <w:end w:w="120" w:type="dxa"/>
            </w:tcMar>
            <w:vAlign w:val="center"/>
          </w:tcPr>
          <w:p>
            <w:pPr>
              <w:jc w:val="left"/>
            </w:pPr>
            <w:r>
              <w:rPr>
                <w:rFonts w:ascii="Times New Roman" w:hAnsi="Times New Roman"/>
                <w:color w:val="202529"/>
                <w:sz w:val="17"/>
              </w:rPr>
              <w:t>Replace the earlier backend and add backend tests.</w:t>
            </w:r>
          </w:p>
        </w:tc>
        <w:tc>
          <w:tcPr>
            <w:tcW w:type="dxa" w:w="2059"/>
            <w:tcMar>
              <w:top w:w="80" w:type="dxa"/>
              <w:start w:w="120" w:type="dxa"/>
              <w:bottom w:w="80" w:type="dxa"/>
              <w:end w:w="120" w:type="dxa"/>
            </w:tcMar>
            <w:vAlign w:val="center"/>
          </w:tcPr>
          <w:p>
            <w:pPr>
              <w:jc w:val="left"/>
            </w:pPr>
            <w:r>
              <w:rPr>
                <w:rFonts w:ascii="Times New Roman" w:hAnsi="Times New Roman"/>
                <w:color w:val="202529"/>
                <w:sz w:val="17"/>
              </w:rPr>
              <w:t>Go backend, Go test suite, backend replacement, and directory cleanup completed.</w:t>
            </w:r>
          </w:p>
        </w:tc>
        <w:tc>
          <w:tcPr>
            <w:tcW w:type="dxa" w:w="2808"/>
            <w:tcMar>
              <w:top w:w="80" w:type="dxa"/>
              <w:start w:w="120" w:type="dxa"/>
              <w:bottom w:w="80" w:type="dxa"/>
              <w:end w:w="120" w:type="dxa"/>
            </w:tcMar>
            <w:vAlign w:val="center"/>
          </w:tcPr>
          <w:p>
            <w:pPr>
              <w:jc w:val="left"/>
            </w:pPr>
            <w:r>
              <w:rPr>
                <w:rFonts w:ascii="Times New Roman" w:hAnsi="Times New Roman"/>
                <w:b/>
                <w:color w:val="8A2D1F"/>
                <w:sz w:val="17"/>
                <w:highlight w:val="yellow"/>
              </w:rPr>
              <w:t>[PLACEHOLDER: supervisor remark, if recorded]</w:t>
            </w:r>
          </w:p>
        </w:tc>
      </w:tr>
      <w:tr>
        <w:trPr>
          <w:cantSplit/>
        </w:trPr>
        <w:tc>
          <w:tcPr>
            <w:tcW w:type="dxa" w:w="1685"/>
            <w:tcMar>
              <w:top w:w="80" w:type="dxa"/>
              <w:start w:w="120" w:type="dxa"/>
              <w:bottom w:w="80" w:type="dxa"/>
              <w:end w:w="120" w:type="dxa"/>
            </w:tcMar>
            <w:vAlign w:val="center"/>
          </w:tcPr>
          <w:p>
            <w:pPr>
              <w:jc w:val="left"/>
            </w:pPr>
            <w:r>
              <w:rPr>
                <w:rFonts w:ascii="Times New Roman" w:hAnsi="Times New Roman"/>
                <w:color w:val="202529"/>
                <w:sz w:val="17"/>
              </w:rPr>
              <w:t>22-28 June 2026</w:t>
            </w:r>
          </w:p>
        </w:tc>
        <w:tc>
          <w:tcPr>
            <w:tcW w:type="dxa" w:w="2808"/>
            <w:tcMar>
              <w:top w:w="80" w:type="dxa"/>
              <w:start w:w="120" w:type="dxa"/>
              <w:bottom w:w="80" w:type="dxa"/>
              <w:end w:w="120" w:type="dxa"/>
            </w:tcMar>
            <w:vAlign w:val="center"/>
          </w:tcPr>
          <w:p>
            <w:pPr>
              <w:jc w:val="left"/>
            </w:pPr>
            <w:r>
              <w:rPr>
                <w:rFonts w:ascii="Times New Roman" w:hAnsi="Times New Roman"/>
                <w:color w:val="202529"/>
                <w:sz w:val="17"/>
              </w:rPr>
              <w:t>Harden the application and establish automated quality checks.</w:t>
            </w:r>
          </w:p>
        </w:tc>
        <w:tc>
          <w:tcPr>
            <w:tcW w:type="dxa" w:w="2059"/>
            <w:tcMar>
              <w:top w:w="80" w:type="dxa"/>
              <w:start w:w="120" w:type="dxa"/>
              <w:bottom w:w="80" w:type="dxa"/>
              <w:end w:w="120" w:type="dxa"/>
            </w:tcMar>
            <w:vAlign w:val="center"/>
          </w:tcPr>
          <w:p>
            <w:pPr>
              <w:jc w:val="left"/>
            </w:pPr>
            <w:r>
              <w:rPr>
                <w:rFonts w:ascii="Times New Roman" w:hAnsi="Times New Roman"/>
                <w:color w:val="202529"/>
                <w:sz w:val="17"/>
              </w:rPr>
              <w:t>Error handling, bounded logs, CI, CodeQL, vulnerability checks, lint cleanup, README, and Events view completed.</w:t>
            </w:r>
          </w:p>
        </w:tc>
        <w:tc>
          <w:tcPr>
            <w:tcW w:type="dxa" w:w="2808"/>
            <w:tcMar>
              <w:top w:w="80" w:type="dxa"/>
              <w:start w:w="120" w:type="dxa"/>
              <w:bottom w:w="80" w:type="dxa"/>
              <w:end w:w="120" w:type="dxa"/>
            </w:tcMar>
            <w:vAlign w:val="center"/>
          </w:tcPr>
          <w:p>
            <w:pPr>
              <w:jc w:val="left"/>
            </w:pPr>
            <w:r>
              <w:rPr>
                <w:rFonts w:ascii="Times New Roman" w:hAnsi="Times New Roman"/>
                <w:b/>
                <w:color w:val="8A2D1F"/>
                <w:sz w:val="17"/>
                <w:highlight w:val="yellow"/>
              </w:rPr>
              <w:t>[PLACEHOLDER: supervisor remark, if recorded]</w:t>
            </w:r>
          </w:p>
        </w:tc>
      </w:tr>
      <w:tr>
        <w:trPr>
          <w:cantSplit/>
        </w:trPr>
        <w:tc>
          <w:tcPr>
            <w:tcW w:type="dxa" w:w="1685"/>
            <w:tcMar>
              <w:top w:w="80" w:type="dxa"/>
              <w:start w:w="120" w:type="dxa"/>
              <w:bottom w:w="80" w:type="dxa"/>
              <w:end w:w="120" w:type="dxa"/>
            </w:tcMar>
            <w:vAlign w:val="center"/>
          </w:tcPr>
          <w:p>
            <w:pPr>
              <w:jc w:val="left"/>
            </w:pPr>
            <w:r>
              <w:rPr>
                <w:rFonts w:ascii="Times New Roman" w:hAnsi="Times New Roman"/>
                <w:color w:val="202529"/>
                <w:sz w:val="17"/>
              </w:rPr>
              <w:t>29 June-5 July 2026</w:t>
            </w:r>
          </w:p>
        </w:tc>
        <w:tc>
          <w:tcPr>
            <w:tcW w:type="dxa" w:w="2808"/>
            <w:tcMar>
              <w:top w:w="80" w:type="dxa"/>
              <w:start w:w="120" w:type="dxa"/>
              <w:bottom w:w="80" w:type="dxa"/>
              <w:end w:w="120" w:type="dxa"/>
            </w:tcMar>
            <w:vAlign w:val="center"/>
          </w:tcPr>
          <w:p>
            <w:pPr>
              <w:jc w:val="left"/>
            </w:pPr>
            <w:r>
              <w:rPr>
                <w:rFonts w:ascii="Times New Roman" w:hAnsi="Times New Roman"/>
                <w:color w:val="202529"/>
                <w:sz w:val="17"/>
              </w:rPr>
              <w:t>Improve container handling and produce deployable, real-cluster validation.</w:t>
            </w:r>
          </w:p>
        </w:tc>
        <w:tc>
          <w:tcPr>
            <w:tcW w:type="dxa" w:w="2059"/>
            <w:tcMar>
              <w:top w:w="80" w:type="dxa"/>
              <w:start w:w="120" w:type="dxa"/>
              <w:bottom w:w="80" w:type="dxa"/>
              <w:end w:w="120" w:type="dxa"/>
            </w:tcMar>
            <w:vAlign w:val="center"/>
          </w:tcPr>
          <w:p>
            <w:pPr>
              <w:jc w:val="left"/>
            </w:pPr>
            <w:r>
              <w:rPr>
                <w:rFonts w:ascii="Times New Roman" w:hAnsi="Times New Roman"/>
                <w:color w:val="202529"/>
                <w:sz w:val="17"/>
              </w:rPr>
              <w:t>Multi-container support, configuration, Docker and Kubernetes deployment, NetworkPolicy, and kind-based Playwright E2E tests completed.</w:t>
            </w:r>
          </w:p>
        </w:tc>
        <w:tc>
          <w:tcPr>
            <w:tcW w:type="dxa" w:w="2808"/>
            <w:tcMar>
              <w:top w:w="80" w:type="dxa"/>
              <w:start w:w="120" w:type="dxa"/>
              <w:bottom w:w="80" w:type="dxa"/>
              <w:end w:w="120" w:type="dxa"/>
            </w:tcMar>
            <w:vAlign w:val="center"/>
          </w:tcPr>
          <w:p>
            <w:pPr>
              <w:jc w:val="left"/>
            </w:pPr>
            <w:r>
              <w:rPr>
                <w:rFonts w:ascii="Times New Roman" w:hAnsi="Times New Roman"/>
                <w:b/>
                <w:color w:val="8A2D1F"/>
                <w:sz w:val="17"/>
                <w:highlight w:val="yellow"/>
              </w:rPr>
              <w:t>[PLACEHOLDER: supervisor remark, if recorded]</w:t>
            </w:r>
          </w:p>
        </w:tc>
      </w:tr>
      <w:tr>
        <w:trPr>
          <w:cantSplit/>
        </w:trPr>
        <w:tc>
          <w:tcPr>
            <w:tcW w:type="dxa" w:w="1685"/>
            <w:tcMar>
              <w:top w:w="80" w:type="dxa"/>
              <w:start w:w="120" w:type="dxa"/>
              <w:bottom w:w="80" w:type="dxa"/>
              <w:end w:w="120" w:type="dxa"/>
            </w:tcMar>
            <w:vAlign w:val="center"/>
          </w:tcPr>
          <w:p>
            <w:pPr>
              <w:jc w:val="left"/>
            </w:pPr>
            <w:r>
              <w:rPr>
                <w:rFonts w:ascii="Times New Roman" w:hAnsi="Times New Roman"/>
                <w:color w:val="202529"/>
                <w:sz w:val="17"/>
              </w:rPr>
              <w:t>24-30 August 2026</w:t>
            </w:r>
          </w:p>
        </w:tc>
        <w:tc>
          <w:tcPr>
            <w:tcW w:type="dxa" w:w="2808"/>
            <w:tcMar>
              <w:top w:w="80" w:type="dxa"/>
              <w:start w:w="120" w:type="dxa"/>
              <w:bottom w:w="80" w:type="dxa"/>
              <w:end w:w="120" w:type="dxa"/>
            </w:tcMar>
            <w:vAlign w:val="center"/>
          </w:tcPr>
          <w:p>
            <w:pPr>
              <w:jc w:val="left"/>
            </w:pPr>
            <w:r>
              <w:rPr>
                <w:rFonts w:ascii="Times New Roman" w:hAnsi="Times New Roman"/>
                <w:color w:val="202529"/>
                <w:sz w:val="17"/>
              </w:rPr>
              <w:t>Complete multi-cluster, live-update, resource coverage, frontend tests, and historical state.</w:t>
            </w:r>
          </w:p>
        </w:tc>
        <w:tc>
          <w:tcPr>
            <w:tcW w:type="dxa" w:w="2059"/>
            <w:tcMar>
              <w:top w:w="80" w:type="dxa"/>
              <w:start w:w="120" w:type="dxa"/>
              <w:bottom w:w="80" w:type="dxa"/>
              <w:end w:w="120" w:type="dxa"/>
            </w:tcMar>
            <w:vAlign w:val="center"/>
          </w:tcPr>
          <w:p>
            <w:pPr>
              <w:jc w:val="left"/>
            </w:pPr>
            <w:r>
              <w:rPr>
                <w:rFonts w:ascii="Times New Roman" w:hAnsi="Times New Roman"/>
                <w:color w:val="202529"/>
                <w:sz w:val="17"/>
              </w:rPr>
              <w:t>Multi-context switching, SSE resource updates, pod log streaming, additional resource views, Vitest coverage, and the flight recorder completed.</w:t>
            </w:r>
          </w:p>
        </w:tc>
        <w:tc>
          <w:tcPr>
            <w:tcW w:type="dxa" w:w="2808"/>
            <w:tcMar>
              <w:top w:w="80" w:type="dxa"/>
              <w:start w:w="120" w:type="dxa"/>
              <w:bottom w:w="80" w:type="dxa"/>
              <w:end w:w="120" w:type="dxa"/>
            </w:tcMar>
            <w:vAlign w:val="center"/>
          </w:tcPr>
          <w:p>
            <w:pPr>
              <w:jc w:val="left"/>
            </w:pPr>
            <w:r>
              <w:rPr>
                <w:rFonts w:ascii="Times New Roman" w:hAnsi="Times New Roman"/>
                <w:b/>
                <w:color w:val="8A2D1F"/>
                <w:sz w:val="17"/>
                <w:highlight w:val="yellow"/>
              </w:rPr>
              <w:t>[PLACEHOLDER: supervisor remark, if recorded]</w:t>
            </w:r>
          </w:p>
        </w:tc>
      </w:tr>
    </w:tbl>
    <w:p>
      <w:pPr>
        <w:spacing w:after="0"/>
      </w:pPr>
    </w:p>
    <w:p>
      <w:r>
        <w:rPr>
          <w:rFonts w:ascii="Times New Roman" w:hAnsi="Times New Roman"/>
          <w:color w:val="202529"/>
        </w:rPr>
        <w:t>The dates and completed work above come from Git history. Planned-task wording summarizes the corresponding commits. It does not claim undocumented supervisor remarks.</w:t>
      </w:r>
    </w:p>
    <w:p>
      <w:pPr>
        <w:pStyle w:val="Heading2"/>
      </w:pPr>
      <w:r>
        <w:t>9.3 Supervisor interaction summary</w:t>
      </w:r>
    </w:p>
    <w:tbl>
      <w:tblPr>
        <w:tblStyle w:val="TableGrid"/>
        <w:tblW w:type="dxa" w:w="9360"/>
        <w:tblLayout w:type="fixed"/>
        <w:tblLook w:firstColumn="1" w:firstRow="1" w:lastColumn="0" w:lastRow="0" w:noHBand="0" w:noVBand="1" w:val="04A0"/>
        <w:jc w:val="left"/>
        <w:tblInd w:w="120" w:type="dxa"/>
      </w:tblPr>
      <w:tblGrid>
        <w:gridCol w:w="1685"/>
        <w:gridCol w:w="2808"/>
        <w:gridCol w:w="2059"/>
        <w:gridCol w:w="2808"/>
      </w:tblGrid>
      <w:tr>
        <w:trPr>
          <w:tblHeader w:val="true"/>
          <w:cantSplit/>
        </w:trPr>
        <w:tc>
          <w:tcPr>
            <w:tcW w:type="dxa" w:w="1685"/>
            <w:tcMar>
              <w:top w:w="80" w:type="dxa"/>
              <w:start w:w="120" w:type="dxa"/>
              <w:bottom w:w="80" w:type="dxa"/>
              <w:end w:w="120" w:type="dxa"/>
            </w:tcMar>
            <w:vAlign w:val="center"/>
            <w:shd w:fill="E8F0F4"/>
          </w:tcPr>
          <w:p>
            <w:pPr>
              <w:jc w:val="center"/>
            </w:pPr>
            <w:r>
              <w:rPr>
                <w:rFonts w:ascii="Times New Roman" w:hAnsi="Times New Roman"/>
                <w:b/>
                <w:color w:val="173B4F"/>
                <w:sz w:val="17"/>
              </w:rPr>
              <w:t>Review date</w:t>
            </w:r>
          </w:p>
        </w:tc>
        <w:tc>
          <w:tcPr>
            <w:tcW w:type="dxa" w:w="2808"/>
            <w:tcMar>
              <w:top w:w="80" w:type="dxa"/>
              <w:start w:w="120" w:type="dxa"/>
              <w:bottom w:w="80" w:type="dxa"/>
              <w:end w:w="120" w:type="dxa"/>
            </w:tcMar>
            <w:vAlign w:val="center"/>
            <w:shd w:fill="E8F0F4"/>
          </w:tcPr>
          <w:p>
            <w:pPr>
              <w:jc w:val="center"/>
            </w:pPr>
            <w:r>
              <w:rPr>
                <w:rFonts w:ascii="Times New Roman" w:hAnsi="Times New Roman"/>
                <w:b/>
                <w:color w:val="173B4F"/>
                <w:sz w:val="17"/>
              </w:rPr>
              <w:t>Participants</w:t>
            </w:r>
          </w:p>
        </w:tc>
        <w:tc>
          <w:tcPr>
            <w:tcW w:type="dxa" w:w="2059"/>
            <w:tcMar>
              <w:top w:w="80" w:type="dxa"/>
              <w:start w:w="120" w:type="dxa"/>
              <w:bottom w:w="80" w:type="dxa"/>
              <w:end w:w="120" w:type="dxa"/>
            </w:tcMar>
            <w:vAlign w:val="center"/>
            <w:shd w:fill="E8F0F4"/>
          </w:tcPr>
          <w:p>
            <w:pPr>
              <w:jc w:val="center"/>
            </w:pPr>
            <w:r>
              <w:rPr>
                <w:rFonts w:ascii="Times New Roman" w:hAnsi="Times New Roman"/>
                <w:b/>
                <w:color w:val="173B4F"/>
                <w:sz w:val="17"/>
              </w:rPr>
              <w:t>Feedback or decision</w:t>
            </w:r>
          </w:p>
        </w:tc>
        <w:tc>
          <w:tcPr>
            <w:tcW w:type="dxa" w:w="2808"/>
            <w:tcMar>
              <w:top w:w="80" w:type="dxa"/>
              <w:start w:w="120" w:type="dxa"/>
              <w:bottom w:w="80" w:type="dxa"/>
              <w:end w:w="120" w:type="dxa"/>
            </w:tcMar>
            <w:vAlign w:val="center"/>
            <w:shd w:fill="E8F0F4"/>
          </w:tcPr>
          <w:p>
            <w:pPr>
              <w:jc w:val="center"/>
            </w:pPr>
            <w:r>
              <w:rPr>
                <w:rFonts w:ascii="Times New Roman" w:hAnsi="Times New Roman"/>
                <w:b/>
                <w:color w:val="173B4F"/>
                <w:sz w:val="17"/>
              </w:rPr>
              <w:t>Action taken</w:t>
            </w:r>
          </w:p>
        </w:tc>
      </w:tr>
      <w:tr>
        <w:trPr>
          <w:cantSplit/>
        </w:trPr>
        <w:tc>
          <w:tcPr>
            <w:tcW w:type="dxa" w:w="1685"/>
            <w:tcMar>
              <w:top w:w="80" w:type="dxa"/>
              <w:start w:w="120" w:type="dxa"/>
              <w:bottom w:w="80" w:type="dxa"/>
              <w:end w:w="120" w:type="dxa"/>
            </w:tcMar>
            <w:vAlign w:val="center"/>
          </w:tcPr>
          <w:p>
            <w:pPr>
              <w:jc w:val="left"/>
            </w:pPr>
            <w:r>
              <w:rPr>
                <w:rFonts w:ascii="Times New Roman" w:hAnsi="Times New Roman"/>
                <w:b/>
                <w:color w:val="8A2D1F"/>
                <w:sz w:val="17"/>
                <w:highlight w:val="yellow"/>
              </w:rPr>
              <w:t>[PLACEHOLDER: review date]</w:t>
            </w:r>
          </w:p>
        </w:tc>
        <w:tc>
          <w:tcPr>
            <w:tcW w:type="dxa" w:w="2808"/>
            <w:tcMar>
              <w:top w:w="80" w:type="dxa"/>
              <w:start w:w="120" w:type="dxa"/>
              <w:bottom w:w="80" w:type="dxa"/>
              <w:end w:w="120" w:type="dxa"/>
            </w:tcMar>
            <w:vAlign w:val="center"/>
          </w:tcPr>
          <w:p>
            <w:pPr>
              <w:jc w:val="left"/>
            </w:pPr>
            <w:r>
              <w:rPr>
                <w:rFonts w:ascii="Times New Roman" w:hAnsi="Times New Roman"/>
                <w:b/>
                <w:color w:val="8A2D1F"/>
                <w:sz w:val="17"/>
                <w:highlight w:val="yellow"/>
              </w:rPr>
              <w:t>[PLACEHOLDER: attendees]</w:t>
            </w:r>
          </w:p>
        </w:tc>
        <w:tc>
          <w:tcPr>
            <w:tcW w:type="dxa" w:w="2059"/>
            <w:tcMar>
              <w:top w:w="80" w:type="dxa"/>
              <w:start w:w="120" w:type="dxa"/>
              <w:bottom w:w="80" w:type="dxa"/>
              <w:end w:w="120" w:type="dxa"/>
            </w:tcMar>
            <w:vAlign w:val="center"/>
          </w:tcPr>
          <w:p>
            <w:pPr>
              <w:jc w:val="left"/>
            </w:pPr>
            <w:r>
              <w:rPr>
                <w:rFonts w:ascii="Times New Roman" w:hAnsi="Times New Roman"/>
                <w:b/>
                <w:color w:val="8A2D1F"/>
                <w:sz w:val="17"/>
                <w:highlight w:val="yellow"/>
              </w:rPr>
              <w:t>[PLACEHOLDER: supervisor feedback]</w:t>
            </w:r>
          </w:p>
        </w:tc>
        <w:tc>
          <w:tcPr>
            <w:tcW w:type="dxa" w:w="2808"/>
            <w:tcMar>
              <w:top w:w="80" w:type="dxa"/>
              <w:start w:w="120" w:type="dxa"/>
              <w:bottom w:w="80" w:type="dxa"/>
              <w:end w:w="120" w:type="dxa"/>
            </w:tcMar>
            <w:vAlign w:val="center"/>
          </w:tcPr>
          <w:p>
            <w:pPr>
              <w:jc w:val="left"/>
            </w:pPr>
            <w:r>
              <w:rPr>
                <w:rFonts w:ascii="Times New Roman" w:hAnsi="Times New Roman"/>
                <w:b/>
                <w:color w:val="8A2D1F"/>
                <w:sz w:val="17"/>
                <w:highlight w:val="yellow"/>
              </w:rPr>
              <w:t>[PLACEHOLDER: resulting action]</w:t>
            </w:r>
          </w:p>
        </w:tc>
      </w:tr>
    </w:tbl>
    <w:p>
      <w:pPr>
        <w:spacing w:after="0"/>
      </w:pPr>
    </w:p>
    <w:p>
      <w:r>
        <w:rPr>
          <w:rFonts w:ascii="Times New Roman" w:hAnsi="Times New Roman"/>
          <w:color w:val="202529"/>
        </w:rPr>
        <w:t>Add only meetings or written reviews for which the group has a record. Email, chat, or marked-document references may be cited instead of reconstructing informal conversations.</w:t>
      </w:r>
    </w:p>
    <w:p>
      <w:pPr>
        <w:pStyle w:val="Heading2"/>
      </w:pPr>
      <w:r>
        <w:t>9.4 Development history</w:t>
      </w:r>
    </w:p>
    <w:p>
      <w:r>
        <w:rPr>
          <w:rFonts w:ascii="Times New Roman" w:hAnsi="Times New Roman"/>
          <w:color w:val="202529"/>
        </w:rPr>
        <w:t xml:space="preserve">The Git history reachable from </w:t>
      </w:r>
      <w:r>
        <w:rPr>
          <w:rFonts w:ascii="Consolas" w:hAnsi="Consolas"/>
          <w:color w:val="173B4F"/>
          <w:sz w:val="21"/>
        </w:rPr>
        <w:t>8ee601c</w:t>
      </w:r>
      <w:r>
        <w:rPr>
          <w:rFonts w:ascii="Times New Roman" w:hAnsi="Times New Roman"/>
          <w:color w:val="202529"/>
        </w:rPr>
        <w:t xml:space="preserve"> contains 27 commits dated from 3 March to 28 August 2026. The work progressed through an initial implementation, replacement of the earlier Node.js backend with Go, backend tests, CI and security checks, resource and container handling, deployment assets, real-cluster E2E tests, multi-context support, live streams, additional resource pages, frontend unit tests, and the flight recorder.</w:t>
      </w:r>
    </w:p>
    <w:p>
      <w:r>
        <w:rPr>
          <w:rFonts w:ascii="Times New Roman" w:hAnsi="Times New Roman"/>
          <w:color w:val="202529"/>
        </w:rPr>
        <w:t xml:space="preserve">Commit subjects identify 11 pull-request-linked changes. The full commit record is in </w:t>
      </w:r>
      <w:r>
        <w:rPr>
          <w:rFonts w:ascii="Consolas" w:hAnsi="Consolas"/>
          <w:color w:val="173B4F"/>
          <w:sz w:val="21"/>
        </w:rPr>
        <w:t>submission/inventories/CONTRIBUTION_HISTORY.csv</w:t>
      </w:r>
      <w:r>
        <w:rPr>
          <w:rFonts w:ascii="Times New Roman" w:hAnsi="Times New Roman"/>
          <w:color w:val="202529"/>
        </w:rPr>
        <w:t>. This history supports chronology but does not establish the assessed ownership of each change.</w:t>
      </w:r>
    </w:p>
    <w:p>
      <w:pPr>
        <w:pStyle w:val="Heading2"/>
      </w:pPr>
      <w:r>
        <w:t>9.5 Contribution classification</w:t>
      </w:r>
    </w:p>
    <w:p>
      <w:r>
        <w:rPr>
          <w:rFonts w:ascii="Times New Roman" w:hAnsi="Times New Roman"/>
          <w:color w:val="202529"/>
        </w:rPr>
        <w:t xml:space="preserve">The repository records 18 commits by identities for Varun Deep Saini, seven by identities for Ankur Kalita, and two by </w:t>
      </w:r>
      <w:r>
        <w:rPr>
          <w:rFonts w:ascii="Consolas" w:hAnsi="Consolas"/>
          <w:color w:val="173B4F"/>
          <w:sz w:val="21"/>
        </w:rPr>
        <w:t>pradyutf</w:t>
      </w:r>
      <w:r>
        <w:rPr>
          <w:rFonts w:ascii="Times New Roman" w:hAnsi="Times New Roman"/>
          <w:color w:val="202529"/>
        </w:rPr>
        <w:t>, the repository identity used by Pradyut Fogla. All three are students in this group project. Commit counts combine name aliases and do not measure effort or originality. The final statement must describe each student's actual responsibilities.</w:t>
      </w:r>
    </w:p>
    <w:p>
      <w:r>
        <w:rPr>
          <w:rFonts w:ascii="Times New Roman" w:hAnsi="Times New Roman"/>
          <w:b/>
          <w:color w:val="8A2D1F"/>
          <w:highlight w:val="yellow"/>
        </w:rPr>
        <w:t>[PLACEHOLDER: insert an approved contribution statement that describes design, implementation, testing, documentation, and review responsibilities]</w:t>
      </w:r>
    </w:p>
    <w:p>
      <w:pPr>
        <w:pStyle w:val="Heading2"/>
      </w:pPr>
      <w:r>
        <w:t>9.6 Risk register</w:t>
      </w:r>
    </w:p>
    <w:tbl>
      <w:tblPr>
        <w:tblStyle w:val="TableGrid"/>
        <w:tblW w:type="dxa" w:w="9360"/>
        <w:tblLayout w:type="fixed"/>
        <w:tblLook w:firstColumn="1" w:firstRow="1" w:lastColumn="0" w:lastRow="0" w:noHBand="0" w:noVBand="1" w:val="04A0"/>
        <w:jc w:val="left"/>
        <w:tblInd w:w="120" w:type="dxa"/>
      </w:tblPr>
      <w:tblGrid>
        <w:gridCol w:w="1685"/>
        <w:gridCol w:w="2808"/>
        <w:gridCol w:w="2059"/>
        <w:gridCol w:w="2808"/>
      </w:tblGrid>
      <w:tr>
        <w:trPr>
          <w:tblHeader w:val="true"/>
          <w:cantSplit/>
        </w:trPr>
        <w:tc>
          <w:tcPr>
            <w:tcW w:type="dxa" w:w="1685"/>
            <w:tcMar>
              <w:top w:w="80" w:type="dxa"/>
              <w:start w:w="120" w:type="dxa"/>
              <w:bottom w:w="80" w:type="dxa"/>
              <w:end w:w="120" w:type="dxa"/>
            </w:tcMar>
            <w:vAlign w:val="center"/>
            <w:shd w:fill="E8F0F4"/>
          </w:tcPr>
          <w:p>
            <w:pPr>
              <w:jc w:val="center"/>
            </w:pPr>
            <w:r>
              <w:rPr>
                <w:rFonts w:ascii="Times New Roman" w:hAnsi="Times New Roman"/>
                <w:b/>
                <w:color w:val="173B4F"/>
                <w:sz w:val="17"/>
              </w:rPr>
              <w:t>Risk</w:t>
            </w:r>
          </w:p>
        </w:tc>
        <w:tc>
          <w:tcPr>
            <w:tcW w:type="dxa" w:w="2808"/>
            <w:tcMar>
              <w:top w:w="80" w:type="dxa"/>
              <w:start w:w="120" w:type="dxa"/>
              <w:bottom w:w="80" w:type="dxa"/>
              <w:end w:w="120" w:type="dxa"/>
            </w:tcMar>
            <w:vAlign w:val="center"/>
            <w:shd w:fill="E8F0F4"/>
          </w:tcPr>
          <w:p>
            <w:pPr>
              <w:jc w:val="center"/>
            </w:pPr>
            <w:r>
              <w:rPr>
                <w:rFonts w:ascii="Times New Roman" w:hAnsi="Times New Roman"/>
                <w:b/>
                <w:color w:val="173B4F"/>
                <w:sz w:val="17"/>
              </w:rPr>
              <w:t>Effect</w:t>
            </w:r>
          </w:p>
        </w:tc>
        <w:tc>
          <w:tcPr>
            <w:tcW w:type="dxa" w:w="2059"/>
            <w:tcMar>
              <w:top w:w="80" w:type="dxa"/>
              <w:start w:w="120" w:type="dxa"/>
              <w:bottom w:w="80" w:type="dxa"/>
              <w:end w:w="120" w:type="dxa"/>
            </w:tcMar>
            <w:vAlign w:val="center"/>
            <w:shd w:fill="E8F0F4"/>
          </w:tcPr>
          <w:p>
            <w:pPr>
              <w:jc w:val="center"/>
            </w:pPr>
            <w:r>
              <w:rPr>
                <w:rFonts w:ascii="Times New Roman" w:hAnsi="Times New Roman"/>
                <w:b/>
                <w:color w:val="173B4F"/>
                <w:sz w:val="17"/>
              </w:rPr>
              <w:t>Current treatment</w:t>
            </w:r>
          </w:p>
        </w:tc>
        <w:tc>
          <w:tcPr>
            <w:tcW w:type="dxa" w:w="2808"/>
            <w:tcMar>
              <w:top w:w="80" w:type="dxa"/>
              <w:start w:w="120" w:type="dxa"/>
              <w:bottom w:w="80" w:type="dxa"/>
              <w:end w:w="120" w:type="dxa"/>
            </w:tcMar>
            <w:vAlign w:val="center"/>
            <w:shd w:fill="E8F0F4"/>
          </w:tcPr>
          <w:p>
            <w:pPr>
              <w:jc w:val="center"/>
            </w:pPr>
            <w:r>
              <w:rPr>
                <w:rFonts w:ascii="Times New Roman" w:hAnsi="Times New Roman"/>
                <w:b/>
                <w:color w:val="173B4F"/>
                <w:sz w:val="17"/>
              </w:rPr>
              <w:t>Status</w:t>
            </w:r>
          </w:p>
        </w:tc>
      </w:tr>
      <w:tr>
        <w:trPr>
          <w:cantSplit/>
        </w:trPr>
        <w:tc>
          <w:tcPr>
            <w:tcW w:type="dxa" w:w="1685"/>
            <w:tcMar>
              <w:top w:w="80" w:type="dxa"/>
              <w:start w:w="120" w:type="dxa"/>
              <w:bottom w:w="80" w:type="dxa"/>
              <w:end w:w="120" w:type="dxa"/>
            </w:tcMar>
            <w:vAlign w:val="center"/>
          </w:tcPr>
          <w:p>
            <w:pPr>
              <w:jc w:val="left"/>
            </w:pPr>
            <w:r>
              <w:rPr>
                <w:rFonts w:ascii="Times New Roman" w:hAnsi="Times New Roman"/>
                <w:color w:val="202529"/>
                <w:sz w:val="17"/>
              </w:rPr>
              <w:t>Unauthenticated backend exposure</w:t>
            </w:r>
          </w:p>
        </w:tc>
        <w:tc>
          <w:tcPr>
            <w:tcW w:type="dxa" w:w="2808"/>
            <w:tcMar>
              <w:top w:w="80" w:type="dxa"/>
              <w:start w:w="120" w:type="dxa"/>
              <w:bottom w:w="80" w:type="dxa"/>
              <w:end w:w="120" w:type="dxa"/>
            </w:tcMar>
            <w:vAlign w:val="center"/>
          </w:tcPr>
          <w:p>
            <w:pPr>
              <w:jc w:val="left"/>
            </w:pPr>
            <w:r>
              <w:rPr>
                <w:rFonts w:ascii="Times New Roman" w:hAnsi="Times New Roman"/>
                <w:color w:val="202529"/>
                <w:sz w:val="17"/>
              </w:rPr>
              <w:t>Disclosure of cluster data, logs, or Secrets</w:t>
            </w:r>
          </w:p>
        </w:tc>
        <w:tc>
          <w:tcPr>
            <w:tcW w:type="dxa" w:w="2059"/>
            <w:tcMar>
              <w:top w:w="80" w:type="dxa"/>
              <w:start w:w="120" w:type="dxa"/>
              <w:bottom w:w="80" w:type="dxa"/>
              <w:end w:w="120" w:type="dxa"/>
            </w:tcMar>
            <w:vAlign w:val="center"/>
          </w:tcPr>
          <w:p>
            <w:pPr>
              <w:jc w:val="left"/>
            </w:pPr>
            <w:r>
              <w:rPr>
                <w:rFonts w:ascii="Times New Roman" w:hAnsi="Times New Roman"/>
                <w:color w:val="202529"/>
                <w:sz w:val="17"/>
              </w:rPr>
              <w:t>Protected access guidance and NetworkPolicy</w:t>
            </w:r>
          </w:p>
        </w:tc>
        <w:tc>
          <w:tcPr>
            <w:tcW w:type="dxa" w:w="2808"/>
            <w:tcMar>
              <w:top w:w="80" w:type="dxa"/>
              <w:start w:w="120" w:type="dxa"/>
              <w:bottom w:w="80" w:type="dxa"/>
              <w:end w:w="120" w:type="dxa"/>
            </w:tcMar>
            <w:vAlign w:val="center"/>
          </w:tcPr>
          <w:p>
            <w:pPr>
              <w:jc w:val="left"/>
            </w:pPr>
            <w:r>
              <w:rPr>
                <w:rFonts w:ascii="Times New Roman" w:hAnsi="Times New Roman"/>
                <w:color w:val="202529"/>
                <w:sz w:val="17"/>
              </w:rPr>
              <w:t>Open product limitation</w:t>
            </w:r>
          </w:p>
        </w:tc>
      </w:tr>
      <w:tr>
        <w:trPr>
          <w:cantSplit/>
        </w:trPr>
        <w:tc>
          <w:tcPr>
            <w:tcW w:type="dxa" w:w="1685"/>
            <w:tcMar>
              <w:top w:w="80" w:type="dxa"/>
              <w:start w:w="120" w:type="dxa"/>
              <w:bottom w:w="80" w:type="dxa"/>
              <w:end w:w="120" w:type="dxa"/>
            </w:tcMar>
            <w:vAlign w:val="center"/>
          </w:tcPr>
          <w:p>
            <w:pPr>
              <w:jc w:val="left"/>
            </w:pPr>
            <w:r>
              <w:rPr>
                <w:rFonts w:ascii="Times New Roman" w:hAnsi="Times New Roman"/>
                <w:color w:val="202529"/>
                <w:sz w:val="17"/>
              </w:rPr>
              <w:t>History loss on pod reschedule</w:t>
            </w:r>
          </w:p>
        </w:tc>
        <w:tc>
          <w:tcPr>
            <w:tcW w:type="dxa" w:w="2808"/>
            <w:tcMar>
              <w:top w:w="80" w:type="dxa"/>
              <w:start w:w="120" w:type="dxa"/>
              <w:bottom w:w="80" w:type="dxa"/>
              <w:end w:w="120" w:type="dxa"/>
            </w:tcMar>
            <w:vAlign w:val="center"/>
          </w:tcPr>
          <w:p>
            <w:pPr>
              <w:jc w:val="left"/>
            </w:pPr>
            <w:r>
              <w:rPr>
                <w:rFonts w:ascii="Times New Roman" w:hAnsi="Times New Roman"/>
                <w:color w:val="202529"/>
                <w:sz w:val="17"/>
              </w:rPr>
              <w:t>Recent diagnostic state disappears</w:t>
            </w:r>
          </w:p>
        </w:tc>
        <w:tc>
          <w:tcPr>
            <w:tcW w:type="dxa" w:w="2059"/>
            <w:tcMar>
              <w:top w:w="80" w:type="dxa"/>
              <w:start w:w="120" w:type="dxa"/>
              <w:bottom w:w="80" w:type="dxa"/>
              <w:end w:w="120" w:type="dxa"/>
            </w:tcMar>
            <w:vAlign w:val="center"/>
          </w:tcPr>
          <w:p>
            <w:pPr>
              <w:jc w:val="left"/>
            </w:pPr>
            <w:r>
              <w:rPr>
                <w:rFonts w:ascii="Times New Roman" w:hAnsi="Times New Roman"/>
                <w:color w:val="202529"/>
                <w:sz w:val="17"/>
              </w:rPr>
              <w:t>Document emptyDir; allow operator-selected persistent volume</w:t>
            </w:r>
          </w:p>
        </w:tc>
        <w:tc>
          <w:tcPr>
            <w:tcW w:type="dxa" w:w="2808"/>
            <w:tcMar>
              <w:top w:w="80" w:type="dxa"/>
              <w:start w:w="120" w:type="dxa"/>
              <w:bottom w:w="80" w:type="dxa"/>
              <w:end w:w="120" w:type="dxa"/>
            </w:tcMar>
            <w:vAlign w:val="center"/>
          </w:tcPr>
          <w:p>
            <w:pPr>
              <w:jc w:val="left"/>
            </w:pPr>
            <w:r>
              <w:rPr>
                <w:rFonts w:ascii="Times New Roman" w:hAnsi="Times New Roman"/>
                <w:color w:val="202529"/>
                <w:sz w:val="17"/>
              </w:rPr>
              <w:t>Accepted for default deployment</w:t>
            </w:r>
          </w:p>
        </w:tc>
      </w:tr>
      <w:tr>
        <w:trPr>
          <w:cantSplit/>
        </w:trPr>
        <w:tc>
          <w:tcPr>
            <w:tcW w:type="dxa" w:w="1685"/>
            <w:tcMar>
              <w:top w:w="80" w:type="dxa"/>
              <w:start w:w="120" w:type="dxa"/>
              <w:bottom w:w="80" w:type="dxa"/>
              <w:end w:w="120" w:type="dxa"/>
            </w:tcMar>
            <w:vAlign w:val="center"/>
          </w:tcPr>
          <w:p>
            <w:pPr>
              <w:jc w:val="left"/>
            </w:pPr>
            <w:r>
              <w:rPr>
                <w:rFonts w:ascii="Times New Roman" w:hAnsi="Times New Roman"/>
                <w:color w:val="202529"/>
                <w:sz w:val="17"/>
              </w:rPr>
              <w:t>Large event bursts</w:t>
            </w:r>
          </w:p>
        </w:tc>
        <w:tc>
          <w:tcPr>
            <w:tcW w:type="dxa" w:w="2808"/>
            <w:tcMar>
              <w:top w:w="80" w:type="dxa"/>
              <w:start w:w="120" w:type="dxa"/>
              <w:bottom w:w="80" w:type="dxa"/>
              <w:end w:w="120" w:type="dxa"/>
            </w:tcMar>
            <w:vAlign w:val="center"/>
          </w:tcPr>
          <w:p>
            <w:pPr>
              <w:jc w:val="left"/>
            </w:pPr>
            <w:r>
              <w:rPr>
                <w:rFonts w:ascii="Times New Roman" w:hAnsi="Times New Roman"/>
                <w:color w:val="202529"/>
                <w:sz w:val="17"/>
              </w:rPr>
              <w:t>Intermediate versions may be dropped</w:t>
            </w:r>
          </w:p>
        </w:tc>
        <w:tc>
          <w:tcPr>
            <w:tcW w:type="dxa" w:w="2059"/>
            <w:tcMar>
              <w:top w:w="80" w:type="dxa"/>
              <w:start w:w="120" w:type="dxa"/>
              <w:bottom w:w="80" w:type="dxa"/>
              <w:end w:w="120" w:type="dxa"/>
            </w:tcMar>
            <w:vAlign w:val="center"/>
          </w:tcPr>
          <w:p>
            <w:pPr>
              <w:jc w:val="left"/>
            </w:pPr>
            <w:r>
              <w:rPr>
                <w:rFonts w:ascii="Times New Roman" w:hAnsi="Times New Roman"/>
                <w:color w:val="202529"/>
                <w:sz w:val="17"/>
              </w:rPr>
              <w:t>Bounded queue and reconciliation</w:t>
            </w:r>
          </w:p>
        </w:tc>
        <w:tc>
          <w:tcPr>
            <w:tcW w:type="dxa" w:w="2808"/>
            <w:tcMar>
              <w:top w:w="80" w:type="dxa"/>
              <w:start w:w="120" w:type="dxa"/>
              <w:bottom w:w="80" w:type="dxa"/>
              <w:end w:w="120" w:type="dxa"/>
            </w:tcMar>
            <w:vAlign w:val="center"/>
          </w:tcPr>
          <w:p>
            <w:pPr>
              <w:jc w:val="left"/>
            </w:pPr>
            <w:r>
              <w:rPr>
                <w:rFonts w:ascii="Times New Roman" w:hAnsi="Times New Roman"/>
                <w:color w:val="202529"/>
                <w:sz w:val="17"/>
              </w:rPr>
              <w:t>Scale test pending</w:t>
            </w:r>
          </w:p>
        </w:tc>
      </w:tr>
      <w:tr>
        <w:trPr>
          <w:cantSplit/>
        </w:trPr>
        <w:tc>
          <w:tcPr>
            <w:tcW w:type="dxa" w:w="1685"/>
            <w:tcMar>
              <w:top w:w="80" w:type="dxa"/>
              <w:start w:w="120" w:type="dxa"/>
              <w:bottom w:w="80" w:type="dxa"/>
              <w:end w:w="120" w:type="dxa"/>
            </w:tcMar>
            <w:vAlign w:val="center"/>
          </w:tcPr>
          <w:p>
            <w:pPr>
              <w:jc w:val="left"/>
            </w:pPr>
            <w:r>
              <w:rPr>
                <w:rFonts w:ascii="Times New Roman" w:hAnsi="Times New Roman"/>
                <w:color w:val="202529"/>
                <w:sz w:val="17"/>
              </w:rPr>
              <w:t>Kubernetes API or version drift</w:t>
            </w:r>
          </w:p>
        </w:tc>
        <w:tc>
          <w:tcPr>
            <w:tcW w:type="dxa" w:w="2808"/>
            <w:tcMar>
              <w:top w:w="80" w:type="dxa"/>
              <w:start w:w="120" w:type="dxa"/>
              <w:bottom w:w="80" w:type="dxa"/>
              <w:end w:w="120" w:type="dxa"/>
            </w:tcMar>
            <w:vAlign w:val="center"/>
          </w:tcPr>
          <w:p>
            <w:pPr>
              <w:jc w:val="left"/>
            </w:pPr>
            <w:r>
              <w:rPr>
                <w:rFonts w:ascii="Times New Roman" w:hAnsi="Times New Roman"/>
                <w:color w:val="202529"/>
                <w:sz w:val="17"/>
              </w:rPr>
              <w:t>Runtime or test behavior changes</w:t>
            </w:r>
          </w:p>
        </w:tc>
        <w:tc>
          <w:tcPr>
            <w:tcW w:type="dxa" w:w="2059"/>
            <w:tcMar>
              <w:top w:w="80" w:type="dxa"/>
              <w:start w:w="120" w:type="dxa"/>
              <w:bottom w:w="80" w:type="dxa"/>
              <w:end w:w="120" w:type="dxa"/>
            </w:tcMar>
            <w:vAlign w:val="center"/>
          </w:tcPr>
          <w:p>
            <w:pPr>
              <w:jc w:val="left"/>
            </w:pPr>
            <w:r>
              <w:rPr>
                <w:rFonts w:ascii="Times New Roman" w:hAnsi="Times New Roman"/>
                <w:color w:val="202529"/>
                <w:sz w:val="17"/>
              </w:rPr>
              <w:t>client-go versions and pinned E2E node image</w:t>
            </w:r>
          </w:p>
        </w:tc>
        <w:tc>
          <w:tcPr>
            <w:tcW w:type="dxa" w:w="2808"/>
            <w:tcMar>
              <w:top w:w="80" w:type="dxa"/>
              <w:start w:w="120" w:type="dxa"/>
              <w:bottom w:w="80" w:type="dxa"/>
              <w:end w:w="120" w:type="dxa"/>
            </w:tcMar>
            <w:vAlign w:val="center"/>
          </w:tcPr>
          <w:p>
            <w:pPr>
              <w:jc w:val="left"/>
            </w:pPr>
            <w:r>
              <w:rPr>
                <w:rFonts w:ascii="Times New Roman" w:hAnsi="Times New Roman"/>
                <w:color w:val="202529"/>
                <w:sz w:val="17"/>
              </w:rPr>
              <w:t>Ongoing</w:t>
            </w:r>
          </w:p>
        </w:tc>
      </w:tr>
      <w:tr>
        <w:trPr>
          <w:cantSplit/>
        </w:trPr>
        <w:tc>
          <w:tcPr>
            <w:tcW w:type="dxa" w:w="1685"/>
            <w:tcMar>
              <w:top w:w="80" w:type="dxa"/>
              <w:start w:w="120" w:type="dxa"/>
              <w:bottom w:w="80" w:type="dxa"/>
              <w:end w:w="120" w:type="dxa"/>
            </w:tcMar>
            <w:vAlign w:val="center"/>
          </w:tcPr>
          <w:p>
            <w:pPr>
              <w:jc w:val="left"/>
            </w:pPr>
            <w:r>
              <w:rPr>
                <w:rFonts w:ascii="Times New Roman" w:hAnsi="Times New Roman"/>
                <w:color w:val="202529"/>
                <w:sz w:val="17"/>
              </w:rPr>
              <w:t>Incomplete attribution</w:t>
            </w:r>
          </w:p>
        </w:tc>
        <w:tc>
          <w:tcPr>
            <w:tcW w:type="dxa" w:w="2808"/>
            <w:tcMar>
              <w:top w:w="80" w:type="dxa"/>
              <w:start w:w="120" w:type="dxa"/>
              <w:bottom w:w="80" w:type="dxa"/>
              <w:end w:w="120" w:type="dxa"/>
            </w:tcMar>
            <w:vAlign w:val="center"/>
          </w:tcPr>
          <w:p>
            <w:pPr>
              <w:jc w:val="left"/>
            </w:pPr>
            <w:r>
              <w:rPr>
                <w:rFonts w:ascii="Times New Roman" w:hAnsi="Times New Roman"/>
                <w:color w:val="202529"/>
                <w:sz w:val="17"/>
              </w:rPr>
              <w:t>Academic or licence non-compliance</w:t>
            </w:r>
          </w:p>
        </w:tc>
        <w:tc>
          <w:tcPr>
            <w:tcW w:type="dxa" w:w="2059"/>
            <w:tcMar>
              <w:top w:w="80" w:type="dxa"/>
              <w:start w:w="120" w:type="dxa"/>
              <w:bottom w:w="80" w:type="dxa"/>
              <w:end w:w="120" w:type="dxa"/>
            </w:tcMar>
            <w:vAlign w:val="center"/>
          </w:tcPr>
          <w:p>
            <w:pPr>
              <w:jc w:val="left"/>
            </w:pPr>
            <w:r>
              <w:rPr>
                <w:rFonts w:ascii="Times New Roman" w:hAnsi="Times New Roman"/>
                <w:color w:val="202529"/>
                <w:sz w:val="17"/>
              </w:rPr>
              <w:t>Contribution and dependency inventories</w:t>
            </w:r>
          </w:p>
        </w:tc>
        <w:tc>
          <w:tcPr>
            <w:tcW w:type="dxa" w:w="2808"/>
            <w:tcMar>
              <w:top w:w="80" w:type="dxa"/>
              <w:start w:w="120" w:type="dxa"/>
              <w:bottom w:w="80" w:type="dxa"/>
              <w:end w:w="120" w:type="dxa"/>
            </w:tcMar>
            <w:vAlign w:val="center"/>
          </w:tcPr>
          <w:p>
            <w:pPr>
              <w:jc w:val="left"/>
            </w:pPr>
            <w:r>
              <w:rPr>
                <w:rFonts w:ascii="Times New Roman" w:hAnsi="Times New Roman"/>
                <w:color w:val="202529"/>
                <w:sz w:val="17"/>
              </w:rPr>
              <w:t>Responsibility statement pending</w:t>
            </w:r>
          </w:p>
        </w:tc>
      </w:tr>
      <w:tr>
        <w:trPr>
          <w:cantSplit/>
        </w:trPr>
        <w:tc>
          <w:tcPr>
            <w:tcW w:type="dxa" w:w="1685"/>
            <w:tcMar>
              <w:top w:w="80" w:type="dxa"/>
              <w:start w:w="120" w:type="dxa"/>
              <w:bottom w:w="80" w:type="dxa"/>
              <w:end w:w="120" w:type="dxa"/>
            </w:tcMar>
            <w:vAlign w:val="center"/>
          </w:tcPr>
          <w:p>
            <w:pPr>
              <w:jc w:val="left"/>
            </w:pPr>
            <w:r>
              <w:rPr>
                <w:rFonts w:ascii="Times New Roman" w:hAnsi="Times New Roman"/>
                <w:color w:val="202529"/>
                <w:sz w:val="17"/>
              </w:rPr>
              <w:t>Incomplete submission metadata</w:t>
            </w:r>
          </w:p>
        </w:tc>
        <w:tc>
          <w:tcPr>
            <w:tcW w:type="dxa" w:w="2808"/>
            <w:tcMar>
              <w:top w:w="80" w:type="dxa"/>
              <w:start w:w="120" w:type="dxa"/>
              <w:bottom w:w="80" w:type="dxa"/>
              <w:end w:w="120" w:type="dxa"/>
            </w:tcMar>
            <w:vAlign w:val="center"/>
          </w:tcPr>
          <w:p>
            <w:pPr>
              <w:jc w:val="left"/>
            </w:pPr>
            <w:r>
              <w:rPr>
                <w:rFonts w:ascii="Times New Roman" w:hAnsi="Times New Roman"/>
                <w:color w:val="202529"/>
                <w:sz w:val="17"/>
              </w:rPr>
              <w:t>Supervisor cannot approve the final copy</w:t>
            </w:r>
          </w:p>
        </w:tc>
        <w:tc>
          <w:tcPr>
            <w:tcW w:type="dxa" w:w="2059"/>
            <w:tcMar>
              <w:top w:w="80" w:type="dxa"/>
              <w:start w:w="120" w:type="dxa"/>
              <w:bottom w:w="80" w:type="dxa"/>
              <w:end w:w="120" w:type="dxa"/>
            </w:tcMar>
            <w:vAlign w:val="center"/>
          </w:tcPr>
          <w:p>
            <w:pPr>
              <w:jc w:val="left"/>
            </w:pPr>
            <w:r>
              <w:rPr>
                <w:rFonts w:ascii="Times New Roman" w:hAnsi="Times New Roman"/>
                <w:color w:val="202529"/>
                <w:sz w:val="17"/>
              </w:rPr>
              <w:t>Visible placeholders and a manual-action register</w:t>
            </w:r>
          </w:p>
        </w:tc>
        <w:tc>
          <w:tcPr>
            <w:tcW w:type="dxa" w:w="2808"/>
            <w:tcMar>
              <w:top w:w="80" w:type="dxa"/>
              <w:start w:w="120" w:type="dxa"/>
              <w:bottom w:w="80" w:type="dxa"/>
              <w:end w:w="120" w:type="dxa"/>
            </w:tcMar>
            <w:vAlign w:val="center"/>
          </w:tcPr>
          <w:p>
            <w:pPr>
              <w:jc w:val="left"/>
            </w:pPr>
            <w:r>
              <w:rPr>
                <w:rFonts w:ascii="Times New Roman" w:hAnsi="Times New Roman"/>
                <w:color w:val="202529"/>
                <w:sz w:val="17"/>
              </w:rPr>
              <w:t>Group and supervisor input pending</w:t>
            </w:r>
          </w:p>
        </w:tc>
      </w:tr>
      <w:tr>
        <w:trPr>
          <w:cantSplit/>
        </w:trPr>
        <w:tc>
          <w:tcPr>
            <w:tcW w:type="dxa" w:w="1685"/>
            <w:tcMar>
              <w:top w:w="80" w:type="dxa"/>
              <w:start w:w="120" w:type="dxa"/>
              <w:bottom w:w="80" w:type="dxa"/>
              <w:end w:w="120" w:type="dxa"/>
            </w:tcMar>
            <w:vAlign w:val="center"/>
          </w:tcPr>
          <w:p>
            <w:pPr>
              <w:jc w:val="left"/>
            </w:pPr>
            <w:r>
              <w:rPr>
                <w:rFonts w:ascii="Times New Roman" w:hAnsi="Times New Roman"/>
                <w:color w:val="202529"/>
                <w:sz w:val="17"/>
              </w:rPr>
              <w:t>Video or shared link failure</w:t>
            </w:r>
          </w:p>
        </w:tc>
        <w:tc>
          <w:tcPr>
            <w:tcW w:type="dxa" w:w="2808"/>
            <w:tcMar>
              <w:top w:w="80" w:type="dxa"/>
              <w:start w:w="120" w:type="dxa"/>
              <w:bottom w:w="80" w:type="dxa"/>
              <w:end w:w="120" w:type="dxa"/>
            </w:tcMar>
            <w:vAlign w:val="center"/>
          </w:tcPr>
          <w:p>
            <w:pPr>
              <w:jc w:val="left"/>
            </w:pPr>
            <w:r>
              <w:rPr>
                <w:rFonts w:ascii="Times New Roman" w:hAnsi="Times New Roman"/>
                <w:color w:val="202529"/>
                <w:sz w:val="17"/>
              </w:rPr>
              <w:t>Evaluator cannot review demo</w:t>
            </w:r>
          </w:p>
        </w:tc>
        <w:tc>
          <w:tcPr>
            <w:tcW w:type="dxa" w:w="2059"/>
            <w:tcMar>
              <w:top w:w="80" w:type="dxa"/>
              <w:start w:w="120" w:type="dxa"/>
              <w:bottom w:w="80" w:type="dxa"/>
              <w:end w:w="120" w:type="dxa"/>
            </w:tcMar>
            <w:vAlign w:val="center"/>
          </w:tcPr>
          <w:p>
            <w:pPr>
              <w:jc w:val="left"/>
            </w:pPr>
            <w:r>
              <w:rPr>
                <w:rFonts w:ascii="Times New Roman" w:hAnsi="Times New Roman"/>
                <w:color w:val="202529"/>
                <w:sz w:val="17"/>
              </w:rPr>
              <w:t>Recording checklist and incognito link test</w:t>
            </w:r>
          </w:p>
        </w:tc>
        <w:tc>
          <w:tcPr>
            <w:tcW w:type="dxa" w:w="2808"/>
            <w:tcMar>
              <w:top w:w="80" w:type="dxa"/>
              <w:start w:w="120" w:type="dxa"/>
              <w:bottom w:w="80" w:type="dxa"/>
              <w:end w:w="120" w:type="dxa"/>
            </w:tcMar>
            <w:vAlign w:val="center"/>
          </w:tcPr>
          <w:p>
            <w:pPr>
              <w:jc w:val="left"/>
            </w:pPr>
            <w:r>
              <w:rPr>
                <w:rFonts w:ascii="Times New Roman" w:hAnsi="Times New Roman"/>
                <w:color w:val="202529"/>
                <w:sz w:val="17"/>
              </w:rPr>
              <w:t>Manual gate</w:t>
            </w:r>
          </w:p>
        </w:tc>
      </w:tr>
    </w:tbl>
    <w:p>
      <w:pPr>
        <w:spacing w:after="0"/>
      </w:pPr>
    </w:p>
    <w:p>
      <w:r>
        <w:br w:type="page"/>
      </w:r>
    </w:p>
    <w:p>
      <w:pPr>
        <w:pStyle w:val="Heading1"/>
      </w:pPr>
      <w:r>
        <w:t>10. Plagiarism, licensing, and attribution</w:t>
      </w:r>
    </w:p>
    <w:p>
      <w:r>
        <w:rPr>
          <w:rFonts w:ascii="Times New Roman" w:hAnsi="Times New Roman"/>
          <w:color w:val="202529"/>
        </w:rPr>
        <w:t xml:space="preserve">The source history, contribution CSV, and dependency inventory form the technical attribution record. </w:t>
      </w:r>
      <w:r>
        <w:rPr>
          <w:rFonts w:ascii="Consolas" w:hAnsi="Consolas"/>
          <w:color w:val="173B4F"/>
          <w:sz w:val="21"/>
        </w:rPr>
        <w:t>submission/inventories/DEPENDENCY_INVENTORY.csv</w:t>
      </w:r>
      <w:r>
        <w:rPr>
          <w:rFonts w:ascii="Times New Roman" w:hAnsi="Times New Roman"/>
          <w:color w:val="202529"/>
        </w:rPr>
        <w:t xml:space="preserve"> contains 591 package installation rows from </w:t>
      </w:r>
      <w:r>
        <w:rPr>
          <w:rFonts w:ascii="Consolas" w:hAnsi="Consolas"/>
          <w:color w:val="173B4F"/>
          <w:sz w:val="21"/>
        </w:rPr>
        <w:t>go.mod</w:t>
      </w:r>
      <w:r>
        <w:rPr>
          <w:rFonts w:ascii="Times New Roman" w:hAnsi="Times New Roman"/>
          <w:color w:val="202529"/>
        </w:rPr>
        <w:t xml:space="preserve"> and both npm lockfiles. npm licence identifiers are copied from lockfile metadata when present. </w:t>
      </w:r>
      <w:r>
        <w:rPr>
          <w:rFonts w:ascii="Consolas" w:hAnsi="Consolas"/>
          <w:color w:val="173B4F"/>
          <w:sz w:val="21"/>
        </w:rPr>
        <w:t>go.mod</w:t>
      </w:r>
      <w:r>
        <w:rPr>
          <w:rFonts w:ascii="Times New Roman" w:hAnsi="Times New Roman"/>
          <w:color w:val="202529"/>
        </w:rPr>
        <w:t xml:space="preserve"> does not carry licence identifiers, so the report does not guess them. A final review must verify Go module licences from authoritative upstream sources.</w:t>
      </w:r>
    </w:p>
    <w:p>
      <w:r>
        <w:rPr>
          <w:rFonts w:ascii="Times New Roman" w:hAnsi="Times New Roman"/>
          <w:color w:val="202529"/>
        </w:rPr>
        <w:t xml:space="preserve">The repository has no top-level </w:t>
      </w:r>
      <w:r>
        <w:rPr>
          <w:rFonts w:ascii="Consolas" w:hAnsi="Consolas"/>
          <w:color w:val="173B4F"/>
          <w:sz w:val="21"/>
        </w:rPr>
        <w:t>LICENSE</w:t>
      </w:r>
      <w:r>
        <w:rPr>
          <w:rFonts w:ascii="Times New Roman" w:hAnsi="Times New Roman"/>
          <w:color w:val="202529"/>
        </w:rPr>
        <w:t xml:space="preserve"> file at the baseline commit. The project owner must choose distribution terms before presenting the source as licensed for reuse. Third-party package licences remain independent of that choice.</w:t>
      </w:r>
    </w:p>
    <w:p>
      <w:r>
        <w:rPr>
          <w:rFonts w:ascii="Times New Roman" w:hAnsi="Times New Roman"/>
          <w:color w:val="202529"/>
        </w:rPr>
        <w:t>All report wording and diagrams in this submission directory are project-specific drafts. The final document must cite borrowed definitions, comparison claims, screenshots, logos, and external media. The student must run the institution-approved document and code similarity processes, preserve complete reports, and explain legitimate framework or generated-code matches.</w:t>
      </w:r>
    </w:p>
    <w:p>
      <w:r>
        <w:rPr>
          <w:rFonts w:ascii="Times New Roman" w:hAnsi="Times New Roman"/>
          <w:color w:val="202529"/>
        </w:rPr>
        <w:t xml:space="preserve">AI assistance disclosure remains </w:t>
      </w:r>
      <w:r>
        <w:rPr>
          <w:rFonts w:ascii="Times New Roman" w:hAnsi="Times New Roman"/>
          <w:b/>
          <w:color w:val="8A2D1F"/>
          <w:highlight w:val="yellow"/>
        </w:rPr>
        <w:t>[PLACEHOLDER: wording required by institutional policy]</w:t>
      </w:r>
      <w:r>
        <w:rPr>
          <w:rFonts w:ascii="Times New Roman" w:hAnsi="Times New Roman"/>
          <w:color w:val="202529"/>
        </w:rPr>
        <w:t>. It must describe the work accurately and must not be omitted to create a false account of authorship.</w:t>
      </w:r>
    </w:p>
    <w:p>
      <w:r>
        <w:br w:type="page"/>
      </w:r>
    </w:p>
    <w:p>
      <w:pPr>
        <w:pStyle w:val="Heading1"/>
      </w:pPr>
      <w:r>
        <w:t>11. Limitations and future work</w:t>
      </w:r>
    </w:p>
    <w:p>
      <w:pPr>
        <w:pStyle w:val="Heading2"/>
      </w:pPr>
      <w:r>
        <w:t>11.1 Authentication and authorization</w:t>
      </w:r>
    </w:p>
    <w:p>
      <w:r>
        <w:rPr>
          <w:rFonts w:ascii="Times New Roman" w:hAnsi="Times New Roman"/>
          <w:color w:val="202529"/>
        </w:rPr>
        <w:t>The highest-priority product change is user authentication with an authorization model that does not expose every configured context to every caller. A production design should use an identity-aware proxy or integrate verified identity, then map users to permitted contexts and resource scopes. CORS and NetworkPolicy cannot replace this.</w:t>
      </w:r>
    </w:p>
    <w:p>
      <w:pPr>
        <w:pStyle w:val="Heading2"/>
      </w:pPr>
      <w:r>
        <w:t>11.2 Storage and scale</w:t>
      </w:r>
    </w:p>
    <w:p>
      <w:r>
        <w:rPr>
          <w:rFonts w:ascii="Times New Roman" w:hAnsi="Times New Roman"/>
          <w:color w:val="202529"/>
        </w:rPr>
        <w:t>The local bbolt model supports one writer and one backend instance. Horizontal scale would require a different storage design or explicit partitioning. Before such a change, measurements should establish event rate, database growth, prune time, reconstruction latency, and memory use at defined object counts. Speculative distribution would add complexity without current evidence.</w:t>
      </w:r>
    </w:p>
    <w:p>
      <w:pPr>
        <w:pStyle w:val="Heading2"/>
      </w:pPr>
      <w:r>
        <w:t>11.3 Historical completeness</w:t>
      </w:r>
    </w:p>
    <w:p>
      <w:r>
        <w:rPr>
          <w:rFonts w:ascii="Times New Roman" w:hAnsi="Times New Roman"/>
          <w:color w:val="202529"/>
        </w:rPr>
        <w:t>Recorder reconciliation heals current state, not every transition. Durable event ingestion with resumable resource versions would be needed for stronger completeness. Kubernetes watch expiration and compaction behavior would need explicit handling and measurement.</w:t>
      </w:r>
    </w:p>
    <w:p>
      <w:pPr>
        <w:pStyle w:val="Heading2"/>
      </w:pPr>
      <w:r>
        <w:t>11.4 Broader validation</w:t>
      </w:r>
    </w:p>
    <w:p>
      <w:r>
        <w:rPr>
          <w:rFonts w:ascii="Times New Roman" w:hAnsi="Times New Roman"/>
          <w:color w:val="202529"/>
        </w:rPr>
        <w:t>Future validation should add accessibility checks, Firefox and WebKit coverage, clean installs on supported operating systems, sustained watch reconnect tests, and failure injection for API unavailability and database errors. Performance results should state hardware, cluster version, object counts, event rate, duration, and acceptance threshold.</w:t>
      </w:r>
    </w:p>
    <w:p>
      <w:pPr>
        <w:pStyle w:val="Heading2"/>
      </w:pPr>
      <w:r>
        <w:t>11.5 Product boundaries</w:t>
      </w:r>
    </w:p>
    <w:p>
      <w:r>
        <w:rPr>
          <w:rFonts w:ascii="Times New Roman" w:hAnsi="Times New Roman"/>
          <w:color w:val="202529"/>
        </w:rPr>
        <w:t>Metrics, alerts, traces, durable log search, workload mutation, and terminal access remain outside the intended scope. Integrations can link to specialist tools without copying their responsibilities into KubeView.</w:t>
      </w:r>
    </w:p>
    <w:p>
      <w:r>
        <w:br w:type="page"/>
      </w:r>
    </w:p>
    <w:p>
      <w:pPr>
        <w:pStyle w:val="Heading1"/>
      </w:pPr>
      <w:r>
        <w:t>12. Conclusion</w:t>
      </w:r>
    </w:p>
    <w:p>
      <w:r>
        <w:rPr>
          <w:rFonts w:ascii="Times New Roman" w:hAnsi="Times New Roman"/>
          <w:color w:val="202529"/>
        </w:rPr>
        <w:t>KubeView demonstrates a focused method for Kubernetes inspection. It combines a typed Go client, a browser interface, live watch delivery, pod logs, context switching, and a bounded historical recorder. The design handles request and stream lifetimes separately, validates context selection, isolates history by context, and recovers current state after dropped browser or recorder events.</w:t>
      </w:r>
    </w:p>
    <w:p>
      <w:r>
        <w:rPr>
          <w:rFonts w:ascii="Times New Roman" w:hAnsi="Times New Roman"/>
          <w:color w:val="202529"/>
        </w:rPr>
        <w:t>The frozen commit has retained evidence across unit, component, integration, static-analysis, security, and real-cluster browser checks. Read-only API design and RBAC meet the mutation-prevention objective. The work also exposes clear limits. User authentication, distributed history, measured scale, accessibility, and clean-install evidence are not complete.</w:t>
      </w:r>
    </w:p>
    <w:p>
      <w:r>
        <w:rPr>
          <w:rFonts w:ascii="Times New Roman" w:hAnsi="Times New Roman"/>
          <w:color w:val="202529"/>
        </w:rPr>
        <w:t>The remaining submission work is visible in this review copy: fill verified metadata, complete the open validation cases, confirm attribution and AI disclosure, obtain supervisor approval and signature, record the demonstration, and verify final shared links. The supplied report specification and BITS presentation template have already been reviewed.</w:t>
      </w:r>
    </w:p>
    <w:p>
      <w:pPr>
        <w:pStyle w:val="Heading1"/>
      </w:pPr>
      <w:r>
        <w:t>References</w:t>
      </w:r>
    </w:p>
    <w:p>
      <w:r>
        <w:rPr>
          <w:rFonts w:ascii="Times New Roman" w:hAnsi="Times New Roman"/>
          <w:color w:val="202529"/>
        </w:rPr>
        <w:t>[1] Kubernetes Authors, "Objects in Kubernetes," Kubernetes Documentation. https://kubernetes.io/docs/concepts/overview/working-with-objects/ (accessed 28 August 2026).</w:t>
      </w:r>
    </w:p>
    <w:p>
      <w:r>
        <w:rPr>
          <w:rFonts w:ascii="Times New Roman" w:hAnsi="Times New Roman"/>
          <w:color w:val="202529"/>
        </w:rPr>
        <w:t>[2] Kubernetes Authors, "Kubernetes API concepts," Kubernetes Documentation. https://kubernetes.io/docs/reference/using-api/api-concepts/ (accessed 28 August 2026).</w:t>
      </w:r>
    </w:p>
    <w:p>
      <w:r>
        <w:rPr>
          <w:rFonts w:ascii="Times New Roman" w:hAnsi="Times New Roman"/>
          <w:color w:val="202529"/>
        </w:rPr>
        <w:t>[3] Kubernetes SIG UI, "Kubernetes Dashboard." https://github.com/kubernetes/dashboard (accessed 28 August 2026).</w:t>
      </w:r>
    </w:p>
    <w:p>
      <w:r>
        <w:rPr>
          <w:rFonts w:ascii="Times New Roman" w:hAnsi="Times New Roman"/>
          <w:color w:val="202529"/>
        </w:rPr>
        <w:t>[4] Prometheus Authors, "Overview," Prometheus Documentation. https://prometheus.io/docs/introduction/overview/ (accessed 28 August 2026).</w:t>
      </w:r>
    </w:p>
    <w:p>
      <w:r>
        <w:rPr>
          <w:rFonts w:ascii="Times New Roman" w:hAnsi="Times New Roman"/>
          <w:color w:val="202529"/>
        </w:rPr>
        <w:t>[5] Kubernetes Authors, "client-go." https://github.com/kubernetes/client-go (accessed 28 August 2026).</w:t>
      </w:r>
    </w:p>
    <w:p>
      <w:r>
        <w:rPr>
          <w:rFonts w:ascii="Times New Roman" w:hAnsi="Times New Roman"/>
          <w:color w:val="202529"/>
        </w:rPr>
        <w:t>[6] Kubernetes Authors, "Organizing cluster access using kubeconfig files," Kubernetes Documentation. https://kubernetes.io/docs/concepts/configuration/organize-cluster-access-kubeconfig/ (accessed 28 August 2026).</w:t>
      </w:r>
    </w:p>
    <w:p>
      <w:r>
        <w:rPr>
          <w:rFonts w:ascii="Times New Roman" w:hAnsi="Times New Roman"/>
          <w:color w:val="202529"/>
        </w:rPr>
        <w:t>[7] Mozilla, "Using server-sent events," MDN Web Docs. https://developer.mozilla.org/en-US/docs/Web/API/Server-sent_events/Using_server-sent_events (accessed 28 August 2026).</w:t>
      </w:r>
    </w:p>
    <w:p>
      <w:r>
        <w:rPr>
          <w:rFonts w:ascii="Times New Roman" w:hAnsi="Times New Roman"/>
          <w:color w:val="202529"/>
        </w:rPr>
        <w:t>[8] etcd-io, "bbolt." https://github.com/etcd-io/bbolt (accessed 28 August 2026).</w:t>
      </w:r>
    </w:p>
    <w:p>
      <w:r>
        <w:rPr>
          <w:rFonts w:ascii="Times New Roman" w:hAnsi="Times New Roman"/>
          <w:color w:val="202529"/>
        </w:rPr>
        <w:t>[9] The Go Authors, "Package http," Go Packages. https://pkg.go.dev/net/http (accessed 28 August 2026).</w:t>
      </w:r>
    </w:p>
    <w:p>
      <w:r>
        <w:rPr>
          <w:rFonts w:ascii="Times New Roman" w:hAnsi="Times New Roman"/>
          <w:color w:val="202529"/>
        </w:rPr>
        <w:t>[10] Kubernetes Authors, "Declarative management of Kubernetes objects using Kustomize," Kubernetes Documentation. https://kubernetes.io/docs/tasks/manage-kubernetes-objects/kustomization/ (accessed 28 August 2026).</w:t>
      </w:r>
    </w:p>
    <w:p>
      <w:r>
        <w:rPr>
          <w:rFonts w:ascii="Times New Roman" w:hAnsi="Times New Roman"/>
          <w:color w:val="202529"/>
        </w:rPr>
        <w:t>[11] Kubernetes SIG Testing, "kind." https://kind.sigs.k8s.io/ (accessed 28 August 2026).</w:t>
      </w:r>
    </w:p>
    <w:p>
      <w:r>
        <w:rPr>
          <w:rFonts w:ascii="Times New Roman" w:hAnsi="Times New Roman"/>
          <w:color w:val="202529"/>
        </w:rPr>
        <w:t>[12] Microsoft, "Playwright documentation." https://playwright.dev/docs/intro (accessed 28 August 2026).</w:t>
      </w:r>
    </w:p>
    <w:p>
      <w:r>
        <w:rPr>
          <w:rFonts w:ascii="Times New Roman" w:hAnsi="Times New Roman"/>
          <w:color w:val="202529"/>
        </w:rPr>
        <w:t>[13] GitHub, "About code scanning with CodeQL." https://docs.github.com/en/code-security/code-scanning/introduction-to-code-scanning/about-code-scanning-with-codeql (accessed 28 August 2026).</w:t>
      </w:r>
    </w:p>
    <w:p>
      <w:r>
        <w:rPr>
          <w:rFonts w:ascii="Times New Roman" w:hAnsi="Times New Roman"/>
          <w:color w:val="202529"/>
        </w:rPr>
        <w:t>[14] Kubernetes Authors, "Using RBAC authorization," Kubernetes Documentation. https://kubernetes.io/docs/reference/access-authn-authz/rbac/ (accessed 28 August 2026).</w:t>
      </w:r>
    </w:p>
    <w:p>
      <w:r>
        <w:rPr>
          <w:rFonts w:ascii="Times New Roman" w:hAnsi="Times New Roman"/>
          <w:color w:val="202529"/>
        </w:rPr>
        <w:t>[15] Vitest, "Vitest guide." https://vitest.dev/guide/ (accessed 28 August 2026).</w:t>
      </w:r>
    </w:p>
    <w:p>
      <w:r>
        <w:rPr>
          <w:rFonts w:ascii="Times New Roman" w:hAnsi="Times New Roman"/>
          <w:color w:val="202529"/>
        </w:rPr>
        <w:t>[16] Next.js, "Next.js documentation." https://nextjs.org/docs (accessed 28 August 2026).</w:t>
      </w:r>
    </w:p>
    <w:p>
      <w:r>
        <w:rPr>
          <w:rFonts w:ascii="Times New Roman" w:hAnsi="Times New Roman"/>
          <w:color w:val="202529"/>
        </w:rPr>
        <w:t>[17] Docker, "Docker Compose documentation." https://docs.docker.com/compose/ (accessed 28 August 2026).</w:t>
      </w:r>
    </w:p>
    <w:p>
      <w:pPr>
        <w:pStyle w:val="Heading1"/>
      </w:pPr>
      <w:r>
        <w:t>Appendices</w:t>
      </w:r>
    </w:p>
    <w:p>
      <w:pPr>
        <w:pStyle w:val="Heading2"/>
      </w:pPr>
      <w:r>
        <w:t>Appendix A. Submission evidence</w:t>
      </w:r>
    </w:p>
    <w:p>
      <w:pPr>
        <w:pStyle w:val="ListBullet"/>
      </w:pPr>
      <w:r>
        <w:rPr>
          <w:rFonts w:ascii="Times New Roman" w:hAnsi="Times New Roman"/>
          <w:color w:val="202529"/>
        </w:rPr>
        <w:t xml:space="preserve"> Source commit: </w:t>
      </w:r>
      <w:r>
        <w:rPr>
          <w:rFonts w:ascii="Consolas" w:hAnsi="Consolas"/>
          <w:color w:val="173B4F"/>
          <w:sz w:val="21"/>
        </w:rPr>
        <w:t>8ee601c8b54c717cba15470fdd03cea9a44c0424</w:t>
      </w:r>
    </w:p>
    <w:p>
      <w:pPr>
        <w:pStyle w:val="ListBullet"/>
      </w:pPr>
      <w:r>
        <w:rPr>
          <w:rFonts w:ascii="Times New Roman" w:hAnsi="Times New Roman"/>
          <w:color w:val="202529"/>
        </w:rPr>
        <w:t xml:space="preserve"> CI run: https://github.com/varundeepsaini/kubeview/actions/runs/33142315221</w:t>
      </w:r>
    </w:p>
    <w:p>
      <w:pPr>
        <w:pStyle w:val="ListBullet"/>
      </w:pPr>
      <w:r>
        <w:rPr>
          <w:rFonts w:ascii="Times New Roman" w:hAnsi="Times New Roman"/>
          <w:color w:val="202529"/>
        </w:rPr>
        <w:t xml:space="preserve"> Source archive: </w:t>
      </w:r>
      <w:r>
        <w:rPr>
          <w:rFonts w:ascii="Consolas" w:hAnsi="Consolas"/>
          <w:color w:val="173B4F"/>
          <w:sz w:val="21"/>
        </w:rPr>
        <w:t>submission/source/kubeview-source-8ee601c.zip</w:t>
      </w:r>
    </w:p>
    <w:p>
      <w:pPr>
        <w:pStyle w:val="ListBullet"/>
      </w:pPr>
      <w:r>
        <w:rPr>
          <w:rFonts w:ascii="Times New Roman" w:hAnsi="Times New Roman"/>
          <w:color w:val="202529"/>
        </w:rPr>
        <w:t xml:space="preserve"> Source archive SHA-256: </w:t>
      </w:r>
      <w:r>
        <w:rPr>
          <w:rFonts w:ascii="Consolas" w:hAnsi="Consolas"/>
          <w:color w:val="173B4F"/>
          <w:sz w:val="21"/>
        </w:rPr>
        <w:t>8a1da44011802158e57d4dcc067f50d08695315b9fe246bf328e73051e441d8f</w:t>
      </w:r>
    </w:p>
    <w:p>
      <w:pPr>
        <w:pStyle w:val="ListBullet"/>
      </w:pPr>
      <w:r>
        <w:rPr>
          <w:rFonts w:ascii="Times New Roman" w:hAnsi="Times New Roman"/>
          <w:color w:val="202529"/>
        </w:rPr>
        <w:t xml:space="preserve"> Playwright evidence: </w:t>
      </w:r>
      <w:r>
        <w:rPr>
          <w:rFonts w:ascii="Consolas" w:hAnsi="Consolas"/>
          <w:color w:val="173B4F"/>
          <w:sz w:val="21"/>
        </w:rPr>
        <w:t>submission/evidence/ci/playwright-report-8ee601c.zip</w:t>
      </w:r>
    </w:p>
    <w:p>
      <w:pPr>
        <w:pStyle w:val="ListBullet"/>
      </w:pPr>
      <w:r>
        <w:rPr>
          <w:rFonts w:ascii="Times New Roman" w:hAnsi="Times New Roman"/>
          <w:color w:val="202529"/>
        </w:rPr>
        <w:t xml:space="preserve"> Playwright evidence SHA-256: </w:t>
      </w:r>
      <w:r>
        <w:rPr>
          <w:rFonts w:ascii="Consolas" w:hAnsi="Consolas"/>
          <w:color w:val="173B4F"/>
          <w:sz w:val="21"/>
        </w:rPr>
        <w:t>0609a544f0b7c76bcd94442bceb93b90ad2e3430bd9fe6b7a6c3675b16a2d62f</w:t>
      </w:r>
    </w:p>
    <w:p>
      <w:pPr>
        <w:pStyle w:val="ListBullet"/>
      </w:pPr>
      <w:r>
        <w:rPr>
          <w:rFonts w:ascii="Times New Roman" w:hAnsi="Times New Roman"/>
          <w:color w:val="202529"/>
        </w:rPr>
        <w:t xml:space="preserve"> Test matrix: </w:t>
      </w:r>
      <w:r>
        <w:rPr>
          <w:rFonts w:ascii="Consolas" w:hAnsi="Consolas"/>
          <w:color w:val="173B4F"/>
          <w:sz w:val="21"/>
        </w:rPr>
        <w:t>submission/testing/KubeView_Test_Case_Matrix.xlsx</w:t>
      </w:r>
    </w:p>
    <w:p>
      <w:pPr>
        <w:pStyle w:val="Heading2"/>
      </w:pPr>
      <w:r>
        <w:t>Appendix B. Supporting documents</w:t>
      </w:r>
    </w:p>
    <w:p>
      <w:pPr>
        <w:pStyle w:val="ListBullet"/>
      </w:pPr>
      <w:r>
        <w:rPr>
          <w:rFonts w:ascii="Times New Roman" w:hAnsi="Times New Roman"/>
          <w:color w:val="202529"/>
        </w:rPr>
        <w:t xml:space="preserve"> Architecture source: </w:t>
      </w:r>
      <w:r>
        <w:rPr>
          <w:rFonts w:ascii="Consolas" w:hAnsi="Consolas"/>
          <w:color w:val="173B4F"/>
          <w:sz w:val="21"/>
        </w:rPr>
        <w:t>submission/architecture/ARCHITECTURE.md</w:t>
      </w:r>
    </w:p>
    <w:p>
      <w:pPr>
        <w:pStyle w:val="ListBullet"/>
      </w:pPr>
      <w:r>
        <w:rPr>
          <w:rFonts w:ascii="Times New Roman" w:hAnsi="Times New Roman"/>
          <w:color w:val="202529"/>
        </w:rPr>
        <w:t xml:space="preserve"> Project summary: </w:t>
      </w:r>
      <w:r>
        <w:rPr>
          <w:rFonts w:ascii="Consolas" w:hAnsi="Consolas"/>
          <w:color w:val="173B4F"/>
          <w:sz w:val="21"/>
        </w:rPr>
        <w:t>submission/drafts/PROJECT_SUMMARY.md</w:t>
      </w:r>
    </w:p>
    <w:p>
      <w:pPr>
        <w:pStyle w:val="ListBullet"/>
      </w:pPr>
      <w:r>
        <w:rPr>
          <w:rFonts w:ascii="Times New Roman" w:hAnsi="Times New Roman"/>
          <w:color w:val="202529"/>
        </w:rPr>
        <w:t xml:space="preserve"> Validation report: </w:t>
      </w:r>
      <w:r>
        <w:rPr>
          <w:rFonts w:ascii="Consolas" w:hAnsi="Consolas"/>
          <w:color w:val="173B4F"/>
          <w:sz w:val="21"/>
        </w:rPr>
        <w:t>submission/drafts/VALIDATION_REPORT.md</w:t>
      </w:r>
    </w:p>
    <w:p>
      <w:pPr>
        <w:pStyle w:val="ListBullet"/>
      </w:pPr>
      <w:r>
        <w:rPr>
          <w:rFonts w:ascii="Times New Roman" w:hAnsi="Times New Roman"/>
          <w:color w:val="202529"/>
        </w:rPr>
        <w:t xml:space="preserve"> User manual: </w:t>
      </w:r>
      <w:r>
        <w:rPr>
          <w:rFonts w:ascii="Consolas" w:hAnsi="Consolas"/>
          <w:color w:val="173B4F"/>
          <w:sz w:val="21"/>
        </w:rPr>
        <w:t>submission/drafts/USER_MANUAL.md</w:t>
      </w:r>
    </w:p>
    <w:p>
      <w:pPr>
        <w:pStyle w:val="ListBullet"/>
      </w:pPr>
      <w:r>
        <w:rPr>
          <w:rFonts w:ascii="Times New Roman" w:hAnsi="Times New Roman"/>
          <w:color w:val="202529"/>
        </w:rPr>
        <w:t xml:space="preserve"> Installation guide: </w:t>
      </w:r>
      <w:r>
        <w:rPr>
          <w:rFonts w:ascii="Consolas" w:hAnsi="Consolas"/>
          <w:color w:val="173B4F"/>
          <w:sz w:val="21"/>
        </w:rPr>
        <w:t>submission/drafts/INSTALLATION_GUIDE.md</w:t>
      </w:r>
    </w:p>
    <w:p>
      <w:pPr>
        <w:pStyle w:val="ListBullet"/>
      </w:pPr>
      <w:r>
        <w:rPr>
          <w:rFonts w:ascii="Times New Roman" w:hAnsi="Times New Roman"/>
          <w:color w:val="202529"/>
        </w:rPr>
        <w:t xml:space="preserve"> Compliance record: </w:t>
      </w:r>
      <w:r>
        <w:rPr>
          <w:rFonts w:ascii="Consolas" w:hAnsi="Consolas"/>
          <w:color w:val="173B4F"/>
          <w:sz w:val="21"/>
        </w:rPr>
        <w:t>submission/drafts/COMPLIANCE_AND_ATTRIBUTION.md</w:t>
      </w:r>
    </w:p>
    <w:p>
      <w:pPr>
        <w:pStyle w:val="ListBullet"/>
      </w:pPr>
      <w:r>
        <w:rPr>
          <w:rFonts w:ascii="Times New Roman" w:hAnsi="Times New Roman"/>
          <w:color w:val="202529"/>
        </w:rPr>
        <w:t xml:space="preserve"> Dependency inventory: </w:t>
      </w:r>
      <w:r>
        <w:rPr>
          <w:rFonts w:ascii="Consolas" w:hAnsi="Consolas"/>
          <w:color w:val="173B4F"/>
          <w:sz w:val="21"/>
        </w:rPr>
        <w:t>submission/inventories/DEPENDENCY_INVENTORY.csv</w:t>
      </w:r>
    </w:p>
    <w:p>
      <w:pPr>
        <w:pStyle w:val="ListBullet"/>
      </w:pPr>
      <w:r>
        <w:rPr>
          <w:rFonts w:ascii="Times New Roman" w:hAnsi="Times New Roman"/>
          <w:color w:val="202529"/>
        </w:rPr>
        <w:t xml:space="preserve"> Contribution history: </w:t>
      </w:r>
      <w:r>
        <w:rPr>
          <w:rFonts w:ascii="Consolas" w:hAnsi="Consolas"/>
          <w:color w:val="173B4F"/>
          <w:sz w:val="21"/>
        </w:rPr>
        <w:t>submission/inventories/CONTRIBUTION_HISTORY.csv</w:t>
      </w:r>
    </w:p>
    <w:p>
      <w:pPr>
        <w:pStyle w:val="Heading2"/>
      </w:pPr>
      <w:r>
        <w:t>Appendix C. Test cases and validation</w:t>
      </w:r>
    </w:p>
    <w:p>
      <w:r>
        <w:rPr>
          <w:rFonts w:ascii="Times New Roman" w:hAnsi="Times New Roman"/>
          <w:color w:val="202529"/>
        </w:rPr>
        <w:t xml:space="preserve">The final Word review copy embeds all 34 rows from </w:t>
      </w:r>
      <w:r>
        <w:rPr>
          <w:rFonts w:ascii="Consolas" w:hAnsi="Consolas"/>
          <w:color w:val="173B4F"/>
          <w:sz w:val="21"/>
        </w:rPr>
        <w:t>submission/testing/KubeView_Test_Case_Matrix.xlsx</w:t>
      </w:r>
      <w:r>
        <w:rPr>
          <w:rFonts w:ascii="Times New Roman" w:hAnsi="Times New Roman"/>
          <w:color w:val="202529"/>
        </w:rPr>
        <w:t>. The source workbook remains part of the evidence package. Its current result summary is 31 Pass and three Not run. The open cases are accessibility, performance, and clean installation.</w:t>
      </w:r>
    </w:p>
    <w:p>
      <w:r>
        <w:rPr>
          <w:rFonts w:ascii="Times New Roman" w:hAnsi="Times New Roman"/>
          <w:color w:val="202529"/>
        </w:rPr>
        <w:t xml:space="preserve">The validation report is </w:t>
      </w:r>
      <w:r>
        <w:rPr>
          <w:rFonts w:ascii="Consolas" w:hAnsi="Consolas"/>
          <w:color w:val="173B4F"/>
          <w:sz w:val="21"/>
        </w:rPr>
        <w:t>submission/drafts/VALIDATION_REPORT.md</w:t>
      </w:r>
      <w:r>
        <w:rPr>
          <w:rFonts w:ascii="Times New Roman" w:hAnsi="Times New Roman"/>
          <w:color w:val="202529"/>
        </w:rPr>
        <w:t>. It records the successful six-job CI run and the incomplete local backend attempt caused by insufficient host disk space. The failed local link attempt is not reported as a product failure or a pass.</w:t>
      </w:r>
    </w:p>
    <w:p>
      <w:r>
        <w:br w:type="page"/>
      </w:r>
    </w:p>
    <w:p>
      <w:pPr>
        <w:pStyle w:val="Heading2"/>
      </w:pPr>
      <w:r>
        <w:t>Appendix D. Supervisor review and approval record</w:t>
      </w:r>
    </w:p>
    <w:p>
      <w:r>
        <w:rPr>
          <w:rFonts w:ascii="Times New Roman" w:hAnsi="Times New Roman"/>
          <w:color w:val="202529"/>
        </w:rPr>
        <w:t xml:space="preserve">Report version: </w:t>
      </w:r>
      <w:r>
        <w:rPr>
          <w:rFonts w:ascii="Consolas" w:hAnsi="Consolas"/>
          <w:color w:val="173B4F"/>
          <w:sz w:val="21"/>
        </w:rPr>
        <w:t>Draft based on commit 8ee601c</w:t>
      </w:r>
    </w:p>
    <w:p>
      <w:r>
        <w:rPr>
          <w:rFonts w:ascii="Times New Roman" w:hAnsi="Times New Roman"/>
          <w:color w:val="202529"/>
        </w:rPr>
        <w:t xml:space="preserve">Review copy received by supervisor: </w:t>
      </w:r>
      <w:r>
        <w:rPr>
          <w:rFonts w:ascii="Times New Roman" w:hAnsi="Times New Roman"/>
          <w:b/>
          <w:color w:val="8A2D1F"/>
          <w:highlight w:val="yellow"/>
        </w:rPr>
        <w:t>[PLACEHOLDER: date]</w:t>
      </w:r>
    </w:p>
    <w:p>
      <w:r>
        <w:rPr>
          <w:rFonts w:ascii="Times New Roman" w:hAnsi="Times New Roman"/>
          <w:color w:val="202529"/>
        </w:rPr>
        <w:t xml:space="preserve">Supervisor decision: </w:t>
      </w:r>
      <w:r>
        <w:rPr>
          <w:rFonts w:ascii="Times New Roman" w:hAnsi="Times New Roman"/>
          <w:b/>
          <w:color w:val="8A2D1F"/>
          <w:highlight w:val="yellow"/>
        </w:rPr>
        <w:t>[PLACEHOLDER: approved, approved with corrections, or revise and resubmit]</w:t>
      </w:r>
    </w:p>
    <w:p>
      <w:r>
        <w:rPr>
          <w:rFonts w:ascii="Times New Roman" w:hAnsi="Times New Roman"/>
          <w:color w:val="202529"/>
        </w:rPr>
        <w:t>Corrections requested:</w:t>
      </w:r>
    </w:p>
    <w:p>
      <w:r>
        <w:rPr>
          <w:rFonts w:ascii="Times New Roman" w:hAnsi="Times New Roman"/>
          <w:b/>
          <w:color w:val="8A2D1F"/>
          <w:highlight w:val="yellow"/>
        </w:rPr>
        <w:t>[PLACEHOLDER: supervisor comments or reference to marked review copy]</w:t>
      </w:r>
    </w:p>
    <w:p>
      <w:r>
        <w:rPr>
          <w:rFonts w:ascii="Times New Roman" w:hAnsi="Times New Roman"/>
          <w:color w:val="202529"/>
        </w:rPr>
        <w:t>Corrections completed by student:</w:t>
      </w:r>
    </w:p>
    <w:p>
      <w:r>
        <w:rPr>
          <w:rFonts w:ascii="Times New Roman" w:hAnsi="Times New Roman"/>
          <w:b/>
          <w:color w:val="8A2D1F"/>
          <w:highlight w:val="yellow"/>
        </w:rPr>
        <w:t>[PLACEHOLDER: revision summary and completion date]</w:t>
      </w:r>
    </w:p>
    <w:p>
      <w:r>
        <w:rPr>
          <w:rFonts w:ascii="Times New Roman" w:hAnsi="Times New Roman"/>
          <w:color w:val="202529"/>
        </w:rPr>
        <w:t>Final approval statement:</w:t>
      </w:r>
    </w:p>
    <w:p>
      <w:r>
        <w:rPr>
          <w:rFonts w:ascii="Times New Roman" w:hAnsi="Times New Roman"/>
          <w:b/>
          <w:color w:val="8A2D1F"/>
          <w:highlight w:val="yellow"/>
        </w:rPr>
        <w:t>[PLACEHOLDER: institution-approved supervisor certification text]</w:t>
      </w:r>
    </w:p>
    <w:p>
      <w:r>
        <w:rPr>
          <w:rFonts w:ascii="Times New Roman" w:hAnsi="Times New Roman"/>
          <w:color w:val="202529"/>
        </w:rPr>
        <w:t xml:space="preserve">Supervisor name: </w:t>
      </w:r>
      <w:r>
        <w:rPr>
          <w:rFonts w:ascii="Times New Roman" w:hAnsi="Times New Roman"/>
          <w:b/>
          <w:color w:val="8A2D1F"/>
          <w:highlight w:val="yellow"/>
        </w:rPr>
        <w:t>[PLACEHOLDER: supervisor name]</w:t>
      </w:r>
    </w:p>
    <w:p>
      <w:r>
        <w:rPr>
          <w:rFonts w:ascii="Times New Roman" w:hAnsi="Times New Roman"/>
          <w:color w:val="202529"/>
        </w:rPr>
        <w:t xml:space="preserve">Supervisor signature: </w:t>
      </w:r>
      <w:r>
        <w:rPr>
          <w:rFonts w:ascii="Times New Roman" w:hAnsi="Times New Roman"/>
          <w:b/>
          <w:color w:val="8A2D1F"/>
          <w:highlight w:val="yellow"/>
        </w:rPr>
        <w:t>[PLACEHOLDER: wet or approved digital signature]</w:t>
      </w:r>
    </w:p>
    <w:p>
      <w:r>
        <w:rPr>
          <w:rFonts w:ascii="Times New Roman" w:hAnsi="Times New Roman"/>
          <w:color w:val="202529"/>
        </w:rPr>
        <w:t xml:space="preserve">Signature date: </w:t>
      </w:r>
      <w:r>
        <w:rPr>
          <w:rFonts w:ascii="Times New Roman" w:hAnsi="Times New Roman"/>
          <w:b/>
          <w:color w:val="8A2D1F"/>
          <w:highlight w:val="yellow"/>
        </w:rPr>
        <w:t>[PLACEHOLDER: date]</w:t>
      </w:r>
    </w:p>
    <w:p>
      <w:pPr>
        <w:sectPr>
          <w:headerReference w:type="default" r:id="rId9"/>
          <w:footerReference w:type="default" r:id="rId10"/>
          <w:pgSz w:w="11906" w:h="16838"/>
          <w:pgMar w:top="1440" w:right="1440" w:bottom="1440" w:left="1440" w:header="648" w:footer="648" w:gutter="0"/>
          <w:cols w:space="720"/>
          <w:docGrid w:linePitch="360"/>
        </w:sectPr>
      </w:pPr>
    </w:p>
    <w:p>
      <w:pPr>
        <w:pStyle w:val="Heading1"/>
      </w:pPr>
      <w:r>
        <w:t>Appendix E. Detailed test-case matrix</w:t>
      </w:r>
    </w:p>
    <w:p>
      <w:r>
        <w:rPr>
          <w:rFonts w:ascii="Times New Roman" w:hAnsi="Times New Roman"/>
          <w:color w:val="5D6870"/>
          <w:sz w:val="18"/>
        </w:rPr>
        <w:t>Source: KubeView_Test_Case_Matrix.xlsx. Status applies to source commit 8ee601c.</w:t>
      </w:r>
    </w:p>
    <w:tbl>
      <w:tblPr>
        <w:tblStyle w:val="TableGrid"/>
        <w:tblW w:type="dxa" w:w="10500"/>
        <w:tblLayout w:type="fixed"/>
        <w:tblLook w:firstColumn="1" w:firstRow="1" w:lastColumn="0" w:lastRow="0" w:noHBand="0" w:noVBand="1" w:val="04A0"/>
        <w:jc w:val="left"/>
        <w:tblInd w:w="0" w:type="dxa"/>
      </w:tblPr>
      <w:tblGrid>
        <w:gridCol w:w="800"/>
        <w:gridCol w:w="1450"/>
        <w:gridCol w:w="950"/>
        <w:gridCol w:w="4000"/>
        <w:gridCol w:w="1350"/>
        <w:gridCol w:w="1950"/>
      </w:tblGrid>
      <w:tr>
        <w:trPr>
          <w:tblHeader w:val="true"/>
          <w:cantSplit/>
        </w:trPr>
        <w:tc>
          <w:tcPr>
            <w:tcW w:type="dxa" w:w="800"/>
            <w:tcMar>
              <w:top w:w="80" w:type="dxa"/>
              <w:start w:w="120" w:type="dxa"/>
              <w:bottom w:w="80" w:type="dxa"/>
              <w:end w:w="120" w:type="dxa"/>
            </w:tcMar>
            <w:vAlign w:val="center"/>
            <w:shd w:fill="E8F0F4"/>
          </w:tcPr>
          <w:p>
            <w:pPr>
              <w:jc w:val="center"/>
            </w:pPr>
            <w:r>
              <w:rPr>
                <w:rFonts w:ascii="Times New Roman" w:hAnsi="Times New Roman"/>
                <w:b/>
                <w:color w:val="173B4F"/>
                <w:sz w:val="16"/>
              </w:rPr>
              <w:t>ID</w:t>
            </w:r>
          </w:p>
        </w:tc>
        <w:tc>
          <w:tcPr>
            <w:tcW w:type="dxa" w:w="1450"/>
            <w:tcMar>
              <w:top w:w="80" w:type="dxa"/>
              <w:start w:w="120" w:type="dxa"/>
              <w:bottom w:w="80" w:type="dxa"/>
              <w:end w:w="120" w:type="dxa"/>
            </w:tcMar>
            <w:vAlign w:val="center"/>
            <w:shd w:fill="E8F0F4"/>
          </w:tcPr>
          <w:p>
            <w:pPr>
              <w:jc w:val="center"/>
            </w:pPr>
            <w:r>
              <w:rPr>
                <w:rFonts w:ascii="Times New Roman" w:hAnsi="Times New Roman"/>
                <w:b/>
                <w:color w:val="173B4F"/>
                <w:sz w:val="16"/>
              </w:rPr>
              <w:t>Requirement</w:t>
            </w:r>
          </w:p>
        </w:tc>
        <w:tc>
          <w:tcPr>
            <w:tcW w:type="dxa" w:w="950"/>
            <w:tcMar>
              <w:top w:w="80" w:type="dxa"/>
              <w:start w:w="120" w:type="dxa"/>
              <w:bottom w:w="80" w:type="dxa"/>
              <w:end w:w="120" w:type="dxa"/>
            </w:tcMar>
            <w:vAlign w:val="center"/>
            <w:shd w:fill="E8F0F4"/>
          </w:tcPr>
          <w:p>
            <w:pPr>
              <w:jc w:val="center"/>
            </w:pPr>
            <w:r>
              <w:rPr>
                <w:rFonts w:ascii="Times New Roman" w:hAnsi="Times New Roman"/>
                <w:b/>
                <w:color w:val="173B4F"/>
                <w:sz w:val="16"/>
              </w:rPr>
              <w:t>Level</w:t>
            </w:r>
          </w:p>
        </w:tc>
        <w:tc>
          <w:tcPr>
            <w:tcW w:type="dxa" w:w="4000"/>
            <w:tcMar>
              <w:top w:w="80" w:type="dxa"/>
              <w:start w:w="120" w:type="dxa"/>
              <w:bottom w:w="80" w:type="dxa"/>
              <w:end w:w="120" w:type="dxa"/>
            </w:tcMar>
            <w:vAlign w:val="center"/>
            <w:shd w:fill="E8F0F4"/>
          </w:tcPr>
          <w:p>
            <w:pPr>
              <w:jc w:val="center"/>
            </w:pPr>
            <w:r>
              <w:rPr>
                <w:rFonts w:ascii="Times New Roman" w:hAnsi="Times New Roman"/>
                <w:b/>
                <w:color w:val="173B4F"/>
                <w:sz w:val="16"/>
              </w:rPr>
              <w:t>Scenario and expected result</w:t>
            </w:r>
          </w:p>
        </w:tc>
        <w:tc>
          <w:tcPr>
            <w:tcW w:type="dxa" w:w="1350"/>
            <w:tcMar>
              <w:top w:w="80" w:type="dxa"/>
              <w:start w:w="120" w:type="dxa"/>
              <w:bottom w:w="80" w:type="dxa"/>
              <w:end w:w="120" w:type="dxa"/>
            </w:tcMar>
            <w:vAlign w:val="center"/>
            <w:shd w:fill="E8F0F4"/>
          </w:tcPr>
          <w:p>
            <w:pPr>
              <w:jc w:val="center"/>
            </w:pPr>
            <w:r>
              <w:rPr>
                <w:rFonts w:ascii="Times New Roman" w:hAnsi="Times New Roman"/>
                <w:b/>
                <w:color w:val="173B4F"/>
                <w:sz w:val="16"/>
              </w:rPr>
              <w:t>Automation</w:t>
            </w:r>
          </w:p>
        </w:tc>
        <w:tc>
          <w:tcPr>
            <w:tcW w:type="dxa" w:w="1950"/>
            <w:tcMar>
              <w:top w:w="80" w:type="dxa"/>
              <w:start w:w="120" w:type="dxa"/>
              <w:bottom w:w="80" w:type="dxa"/>
              <w:end w:w="120" w:type="dxa"/>
            </w:tcMar>
            <w:vAlign w:val="center"/>
            <w:shd w:fill="E8F0F4"/>
          </w:tcPr>
          <w:p>
            <w:pPr>
              <w:jc w:val="center"/>
            </w:pPr>
            <w:r>
              <w:rPr>
                <w:rFonts w:ascii="Times New Roman" w:hAnsi="Times New Roman"/>
                <w:b/>
                <w:color w:val="173B4F"/>
                <w:sz w:val="16"/>
              </w:rPr>
              <w:t>Status, evidence and notes</w:t>
            </w:r>
          </w:p>
        </w:tc>
      </w:tr>
      <w:tr>
        <w:trPr>
          <w:cantSplit/>
        </w:trPr>
        <w:tc>
          <w:tcPr>
            <w:tcW w:type="dxa" w:w="800"/>
            <w:tcMar>
              <w:top w:w="80" w:type="dxa"/>
              <w:start w:w="120" w:type="dxa"/>
              <w:bottom w:w="80" w:type="dxa"/>
              <w:end w:w="120" w:type="dxa"/>
            </w:tcMar>
            <w:vAlign w:val="center"/>
          </w:tcPr>
          <w:p>
            <w:pPr>
              <w:spacing w:after="0" w:line="252" w:lineRule="auto"/>
              <w:jc w:val="center"/>
            </w:pPr>
            <w:r>
              <w:rPr>
                <w:rFonts w:ascii="Times New Roman" w:hAnsi="Times New Roman"/>
                <w:color w:val="202529"/>
                <w:sz w:val="15"/>
              </w:rPr>
              <w:t>TC-001</w:t>
            </w:r>
          </w:p>
        </w:tc>
        <w:tc>
          <w:tcPr>
            <w:tcW w:type="dxa" w:w="1450"/>
            <w:tcMar>
              <w:top w:w="80" w:type="dxa"/>
              <w:start w:w="120" w:type="dxa"/>
              <w:bottom w:w="80" w:type="dxa"/>
              <w:end w:w="120" w:type="dxa"/>
            </w:tcMar>
            <w:vAlign w:val="center"/>
          </w:tcPr>
          <w:p>
            <w:pPr>
              <w:spacing w:after="0" w:line="252" w:lineRule="auto"/>
              <w:jc w:val="left"/>
            </w:pPr>
            <w:r>
              <w:rPr>
                <w:rFonts w:ascii="Times New Roman" w:hAnsi="Times New Roman"/>
                <w:color w:val="202529"/>
                <w:sz w:val="15"/>
              </w:rPr>
              <w:t>Application health</w:t>
            </w:r>
          </w:p>
        </w:tc>
        <w:tc>
          <w:tcPr>
            <w:tcW w:type="dxa" w:w="950"/>
            <w:tcMar>
              <w:top w:w="80" w:type="dxa"/>
              <w:start w:w="120" w:type="dxa"/>
              <w:bottom w:w="80" w:type="dxa"/>
              <w:end w:w="120" w:type="dxa"/>
            </w:tcMar>
            <w:vAlign w:val="center"/>
          </w:tcPr>
          <w:p>
            <w:pPr>
              <w:spacing w:after="0" w:line="252" w:lineRule="auto"/>
              <w:jc w:val="center"/>
            </w:pPr>
            <w:r>
              <w:rPr>
                <w:rFonts w:ascii="Times New Roman" w:hAnsi="Times New Roman"/>
                <w:color w:val="202529"/>
                <w:sz w:val="15"/>
              </w:rPr>
              <w:t>Integration</w:t>
            </w:r>
          </w:p>
        </w:tc>
        <w:tc>
          <w:tcPr>
            <w:tcW w:type="dxa" w:w="4000"/>
            <w:tcMar>
              <w:top w:w="80" w:type="dxa"/>
              <w:start w:w="120" w:type="dxa"/>
              <w:bottom w:w="80" w:type="dxa"/>
              <w:end w:w="120" w:type="dxa"/>
            </w:tcMar>
            <w:vAlign w:val="center"/>
          </w:tcPr>
          <w:p>
            <w:pPr>
              <w:spacing w:after="0" w:line="252" w:lineRule="auto"/>
              <w:jc w:val="left"/>
            </w:pPr>
            <w:r>
              <w:rPr>
                <w:rFonts w:ascii="Times New Roman" w:hAnsi="Times New Roman"/>
                <w:color w:val="202529"/>
                <w:sz w:val="15"/>
              </w:rPr>
              <w:t>Health endpoint returns an OK response</w:t>
              <w:br/>
              <w:t>Expected: HTTP 200 with status and timestamp</w:t>
            </w:r>
          </w:p>
        </w:tc>
        <w:tc>
          <w:tcPr>
            <w:tcW w:type="dxa" w:w="1350"/>
            <w:tcMar>
              <w:top w:w="80" w:type="dxa"/>
              <w:start w:w="120" w:type="dxa"/>
              <w:bottom w:w="80" w:type="dxa"/>
              <w:end w:w="120" w:type="dxa"/>
            </w:tcMar>
            <w:vAlign w:val="center"/>
          </w:tcPr>
          <w:p>
            <w:pPr>
              <w:spacing w:after="0" w:line="252" w:lineRule="auto"/>
              <w:jc w:val="center"/>
            </w:pPr>
            <w:r>
              <w:rPr>
                <w:rFonts w:ascii="Times New Roman" w:hAnsi="Times New Roman"/>
                <w:color w:val="202529"/>
                <w:sz w:val="15"/>
              </w:rPr>
              <w:t>Go integration</w:t>
            </w:r>
          </w:p>
        </w:tc>
        <w:tc>
          <w:tcPr>
            <w:tcW w:type="dxa" w:w="1950"/>
            <w:tcMar>
              <w:top w:w="80" w:type="dxa"/>
              <w:start w:w="120" w:type="dxa"/>
              <w:bottom w:w="80" w:type="dxa"/>
              <w:end w:w="120" w:type="dxa"/>
            </w:tcMar>
            <w:vAlign w:val="center"/>
          </w:tcPr>
          <w:p>
            <w:pPr>
              <w:spacing w:after="0" w:line="252" w:lineRule="auto"/>
              <w:jc w:val="left"/>
            </w:pPr>
            <w:r>
              <w:rPr>
                <w:rFonts w:ascii="Times New Roman" w:hAnsi="Times New Roman"/>
                <w:color w:val="202529"/>
                <w:sz w:val="15"/>
              </w:rPr>
              <w:t>Pass</w:t>
              <w:br/>
              <w:t>Evidence: Backend tests job</w:t>
            </w:r>
          </w:p>
        </w:tc>
      </w:tr>
      <w:tr>
        <w:trPr>
          <w:cantSplit/>
        </w:trPr>
        <w:tc>
          <w:tcPr>
            <w:tcW w:type="dxa" w:w="800"/>
            <w:tcMar>
              <w:top w:w="80" w:type="dxa"/>
              <w:start w:w="120" w:type="dxa"/>
              <w:bottom w:w="80" w:type="dxa"/>
              <w:end w:w="120" w:type="dxa"/>
            </w:tcMar>
            <w:vAlign w:val="center"/>
          </w:tcPr>
          <w:p>
            <w:pPr>
              <w:spacing w:after="0" w:line="252" w:lineRule="auto"/>
              <w:jc w:val="center"/>
            </w:pPr>
            <w:r>
              <w:rPr>
                <w:rFonts w:ascii="Times New Roman" w:hAnsi="Times New Roman"/>
                <w:color w:val="202529"/>
                <w:sz w:val="15"/>
              </w:rPr>
              <w:t>TC-002</w:t>
            </w:r>
          </w:p>
        </w:tc>
        <w:tc>
          <w:tcPr>
            <w:tcW w:type="dxa" w:w="1450"/>
            <w:tcMar>
              <w:top w:w="80" w:type="dxa"/>
              <w:start w:w="120" w:type="dxa"/>
              <w:bottom w:w="80" w:type="dxa"/>
              <w:end w:w="120" w:type="dxa"/>
            </w:tcMar>
            <w:vAlign w:val="center"/>
          </w:tcPr>
          <w:p>
            <w:pPr>
              <w:spacing w:after="0" w:line="252" w:lineRule="auto"/>
              <w:jc w:val="left"/>
            </w:pPr>
            <w:r>
              <w:rPr>
                <w:rFonts w:ascii="Times New Roman" w:hAnsi="Times New Roman"/>
                <w:color w:val="202529"/>
                <w:sz w:val="15"/>
              </w:rPr>
              <w:t>Cluster identity</w:t>
            </w:r>
          </w:p>
        </w:tc>
        <w:tc>
          <w:tcPr>
            <w:tcW w:type="dxa" w:w="950"/>
            <w:tcMar>
              <w:top w:w="80" w:type="dxa"/>
              <w:start w:w="120" w:type="dxa"/>
              <w:bottom w:w="80" w:type="dxa"/>
              <w:end w:w="120" w:type="dxa"/>
            </w:tcMar>
            <w:vAlign w:val="center"/>
          </w:tcPr>
          <w:p>
            <w:pPr>
              <w:spacing w:after="0" w:line="252" w:lineRule="auto"/>
              <w:jc w:val="center"/>
            </w:pPr>
            <w:r>
              <w:rPr>
                <w:rFonts w:ascii="Times New Roman" w:hAnsi="Times New Roman"/>
                <w:color w:val="202529"/>
                <w:sz w:val="15"/>
              </w:rPr>
              <w:t>E2E</w:t>
            </w:r>
          </w:p>
        </w:tc>
        <w:tc>
          <w:tcPr>
            <w:tcW w:type="dxa" w:w="4000"/>
            <w:tcMar>
              <w:top w:w="80" w:type="dxa"/>
              <w:start w:w="120" w:type="dxa"/>
              <w:bottom w:w="80" w:type="dxa"/>
              <w:end w:w="120" w:type="dxa"/>
            </w:tcMar>
            <w:vAlign w:val="center"/>
          </w:tcPr>
          <w:p>
            <w:pPr>
              <w:spacing w:after="0" w:line="252" w:lineRule="auto"/>
              <w:jc w:val="left"/>
            </w:pPr>
            <w:r>
              <w:rPr>
                <w:rFonts w:ascii="Times New Roman" w:hAnsi="Times New Roman"/>
                <w:color w:val="202529"/>
                <w:sz w:val="15"/>
              </w:rPr>
              <w:t>Dashboard loads cluster name and version</w:t>
              <w:br/>
              <w:t>Expected: Selected cluster identity is visible</w:t>
            </w:r>
          </w:p>
        </w:tc>
        <w:tc>
          <w:tcPr>
            <w:tcW w:type="dxa" w:w="1350"/>
            <w:tcMar>
              <w:top w:w="80" w:type="dxa"/>
              <w:start w:w="120" w:type="dxa"/>
              <w:bottom w:w="80" w:type="dxa"/>
              <w:end w:w="120" w:type="dxa"/>
            </w:tcMar>
            <w:vAlign w:val="center"/>
          </w:tcPr>
          <w:p>
            <w:pPr>
              <w:spacing w:after="0" w:line="252" w:lineRule="auto"/>
              <w:jc w:val="center"/>
            </w:pPr>
            <w:r>
              <w:rPr>
                <w:rFonts w:ascii="Times New Roman" w:hAnsi="Times New Roman"/>
                <w:color w:val="202529"/>
                <w:sz w:val="15"/>
              </w:rPr>
              <w:t>Playwright</w:t>
            </w:r>
          </w:p>
        </w:tc>
        <w:tc>
          <w:tcPr>
            <w:tcW w:type="dxa" w:w="1950"/>
            <w:tcMar>
              <w:top w:w="80" w:type="dxa"/>
              <w:start w:w="120" w:type="dxa"/>
              <w:bottom w:w="80" w:type="dxa"/>
              <w:end w:w="120" w:type="dxa"/>
            </w:tcMar>
            <w:vAlign w:val="center"/>
          </w:tcPr>
          <w:p>
            <w:pPr>
              <w:spacing w:after="0" w:line="252" w:lineRule="auto"/>
              <w:jc w:val="left"/>
            </w:pPr>
            <w:r>
              <w:rPr>
                <w:rFonts w:ascii="Times New Roman" w:hAnsi="Times New Roman"/>
                <w:color w:val="202529"/>
                <w:sz w:val="15"/>
              </w:rPr>
              <w:t>Pass</w:t>
              <w:br/>
              <w:t>Evidence: E2E job</w:t>
            </w:r>
          </w:p>
        </w:tc>
      </w:tr>
      <w:tr>
        <w:trPr>
          <w:cantSplit/>
        </w:trPr>
        <w:tc>
          <w:tcPr>
            <w:tcW w:type="dxa" w:w="800"/>
            <w:tcMar>
              <w:top w:w="80" w:type="dxa"/>
              <w:start w:w="120" w:type="dxa"/>
              <w:bottom w:w="80" w:type="dxa"/>
              <w:end w:w="120" w:type="dxa"/>
            </w:tcMar>
            <w:vAlign w:val="center"/>
          </w:tcPr>
          <w:p>
            <w:pPr>
              <w:spacing w:after="0" w:line="252" w:lineRule="auto"/>
              <w:jc w:val="center"/>
            </w:pPr>
            <w:r>
              <w:rPr>
                <w:rFonts w:ascii="Times New Roman" w:hAnsi="Times New Roman"/>
                <w:color w:val="202529"/>
                <w:sz w:val="15"/>
              </w:rPr>
              <w:t>TC-003</w:t>
            </w:r>
          </w:p>
        </w:tc>
        <w:tc>
          <w:tcPr>
            <w:tcW w:type="dxa" w:w="1450"/>
            <w:tcMar>
              <w:top w:w="80" w:type="dxa"/>
              <w:start w:w="120" w:type="dxa"/>
              <w:bottom w:w="80" w:type="dxa"/>
              <w:end w:w="120" w:type="dxa"/>
            </w:tcMar>
            <w:vAlign w:val="center"/>
          </w:tcPr>
          <w:p>
            <w:pPr>
              <w:spacing w:after="0" w:line="252" w:lineRule="auto"/>
              <w:jc w:val="left"/>
            </w:pPr>
            <w:r>
              <w:rPr>
                <w:rFonts w:ascii="Times New Roman" w:hAnsi="Times New Roman"/>
                <w:color w:val="202529"/>
                <w:sz w:val="15"/>
              </w:rPr>
              <w:t>Namespace listing</w:t>
            </w:r>
          </w:p>
        </w:tc>
        <w:tc>
          <w:tcPr>
            <w:tcW w:type="dxa" w:w="950"/>
            <w:tcMar>
              <w:top w:w="80" w:type="dxa"/>
              <w:start w:w="120" w:type="dxa"/>
              <w:bottom w:w="80" w:type="dxa"/>
              <w:end w:w="120" w:type="dxa"/>
            </w:tcMar>
            <w:vAlign w:val="center"/>
          </w:tcPr>
          <w:p>
            <w:pPr>
              <w:spacing w:after="0" w:line="252" w:lineRule="auto"/>
              <w:jc w:val="center"/>
            </w:pPr>
            <w:r>
              <w:rPr>
                <w:rFonts w:ascii="Times New Roman" w:hAnsi="Times New Roman"/>
                <w:color w:val="202529"/>
                <w:sz w:val="15"/>
              </w:rPr>
              <w:t>E2E</w:t>
            </w:r>
          </w:p>
        </w:tc>
        <w:tc>
          <w:tcPr>
            <w:tcW w:type="dxa" w:w="4000"/>
            <w:tcMar>
              <w:top w:w="80" w:type="dxa"/>
              <w:start w:w="120" w:type="dxa"/>
              <w:bottom w:w="80" w:type="dxa"/>
              <w:end w:w="120" w:type="dxa"/>
            </w:tcMar>
            <w:vAlign w:val="center"/>
          </w:tcPr>
          <w:p>
            <w:pPr>
              <w:spacing w:after="0" w:line="252" w:lineRule="auto"/>
              <w:jc w:val="left"/>
            </w:pPr>
            <w:r>
              <w:rPr>
                <w:rFonts w:ascii="Times New Roman" w:hAnsi="Times New Roman"/>
                <w:color w:val="202529"/>
                <w:sz w:val="15"/>
              </w:rPr>
              <w:t>Open Namespaces</w:t>
              <w:br/>
              <w:t>Expected: Seeded namespace and phase are shown</w:t>
            </w:r>
          </w:p>
        </w:tc>
        <w:tc>
          <w:tcPr>
            <w:tcW w:type="dxa" w:w="1350"/>
            <w:tcMar>
              <w:top w:w="80" w:type="dxa"/>
              <w:start w:w="120" w:type="dxa"/>
              <w:bottom w:w="80" w:type="dxa"/>
              <w:end w:w="120" w:type="dxa"/>
            </w:tcMar>
            <w:vAlign w:val="center"/>
          </w:tcPr>
          <w:p>
            <w:pPr>
              <w:spacing w:after="0" w:line="252" w:lineRule="auto"/>
              <w:jc w:val="center"/>
            </w:pPr>
            <w:r>
              <w:rPr>
                <w:rFonts w:ascii="Times New Roman" w:hAnsi="Times New Roman"/>
                <w:color w:val="202529"/>
                <w:sz w:val="15"/>
              </w:rPr>
              <w:t>Playwright</w:t>
            </w:r>
          </w:p>
        </w:tc>
        <w:tc>
          <w:tcPr>
            <w:tcW w:type="dxa" w:w="1950"/>
            <w:tcMar>
              <w:top w:w="80" w:type="dxa"/>
              <w:start w:w="120" w:type="dxa"/>
              <w:bottom w:w="80" w:type="dxa"/>
              <w:end w:w="120" w:type="dxa"/>
            </w:tcMar>
            <w:vAlign w:val="center"/>
          </w:tcPr>
          <w:p>
            <w:pPr>
              <w:spacing w:after="0" w:line="252" w:lineRule="auto"/>
              <w:jc w:val="left"/>
            </w:pPr>
            <w:r>
              <w:rPr>
                <w:rFonts w:ascii="Times New Roman" w:hAnsi="Times New Roman"/>
                <w:color w:val="202529"/>
                <w:sz w:val="15"/>
              </w:rPr>
              <w:t>Pass</w:t>
              <w:br/>
              <w:t>Evidence: E2E job</w:t>
            </w:r>
          </w:p>
        </w:tc>
      </w:tr>
      <w:tr>
        <w:trPr>
          <w:cantSplit/>
        </w:trPr>
        <w:tc>
          <w:tcPr>
            <w:tcW w:type="dxa" w:w="800"/>
            <w:tcMar>
              <w:top w:w="80" w:type="dxa"/>
              <w:start w:w="120" w:type="dxa"/>
              <w:bottom w:w="80" w:type="dxa"/>
              <w:end w:w="120" w:type="dxa"/>
            </w:tcMar>
            <w:vAlign w:val="center"/>
          </w:tcPr>
          <w:p>
            <w:pPr>
              <w:spacing w:after="0" w:line="252" w:lineRule="auto"/>
              <w:jc w:val="center"/>
            </w:pPr>
            <w:r>
              <w:rPr>
                <w:rFonts w:ascii="Times New Roman" w:hAnsi="Times New Roman"/>
                <w:color w:val="202529"/>
                <w:sz w:val="15"/>
              </w:rPr>
              <w:t>TC-004</w:t>
            </w:r>
          </w:p>
        </w:tc>
        <w:tc>
          <w:tcPr>
            <w:tcW w:type="dxa" w:w="1450"/>
            <w:tcMar>
              <w:top w:w="80" w:type="dxa"/>
              <w:start w:w="120" w:type="dxa"/>
              <w:bottom w:w="80" w:type="dxa"/>
              <w:end w:w="120" w:type="dxa"/>
            </w:tcMar>
            <w:vAlign w:val="center"/>
          </w:tcPr>
          <w:p>
            <w:pPr>
              <w:spacing w:after="0" w:line="252" w:lineRule="auto"/>
              <w:jc w:val="left"/>
            </w:pPr>
            <w:r>
              <w:rPr>
                <w:rFonts w:ascii="Times New Roman" w:hAnsi="Times New Roman"/>
                <w:color w:val="202529"/>
                <w:sz w:val="15"/>
              </w:rPr>
              <w:t>Namespace search</w:t>
            </w:r>
          </w:p>
        </w:tc>
        <w:tc>
          <w:tcPr>
            <w:tcW w:type="dxa" w:w="950"/>
            <w:tcMar>
              <w:top w:w="80" w:type="dxa"/>
              <w:start w:w="120" w:type="dxa"/>
              <w:bottom w:w="80" w:type="dxa"/>
              <w:end w:w="120" w:type="dxa"/>
            </w:tcMar>
            <w:vAlign w:val="center"/>
          </w:tcPr>
          <w:p>
            <w:pPr>
              <w:spacing w:after="0" w:line="252" w:lineRule="auto"/>
              <w:jc w:val="center"/>
            </w:pPr>
            <w:r>
              <w:rPr>
                <w:rFonts w:ascii="Times New Roman" w:hAnsi="Times New Roman"/>
                <w:color w:val="202529"/>
                <w:sz w:val="15"/>
              </w:rPr>
              <w:t>E2E</w:t>
            </w:r>
          </w:p>
        </w:tc>
        <w:tc>
          <w:tcPr>
            <w:tcW w:type="dxa" w:w="4000"/>
            <w:tcMar>
              <w:top w:w="80" w:type="dxa"/>
              <w:start w:w="120" w:type="dxa"/>
              <w:bottom w:w="80" w:type="dxa"/>
              <w:end w:w="120" w:type="dxa"/>
            </w:tcMar>
            <w:vAlign w:val="center"/>
          </w:tcPr>
          <w:p>
            <w:pPr>
              <w:spacing w:after="0" w:line="252" w:lineRule="auto"/>
              <w:jc w:val="left"/>
            </w:pPr>
            <w:r>
              <w:rPr>
                <w:rFonts w:ascii="Times New Roman" w:hAnsi="Times New Roman"/>
                <w:color w:val="202529"/>
                <w:sz w:val="15"/>
              </w:rPr>
              <w:t>Search namespace cards</w:t>
              <w:br/>
              <w:t>Expected: Only matching namespaces remain</w:t>
            </w:r>
          </w:p>
        </w:tc>
        <w:tc>
          <w:tcPr>
            <w:tcW w:type="dxa" w:w="1350"/>
            <w:tcMar>
              <w:top w:w="80" w:type="dxa"/>
              <w:start w:w="120" w:type="dxa"/>
              <w:bottom w:w="80" w:type="dxa"/>
              <w:end w:w="120" w:type="dxa"/>
            </w:tcMar>
            <w:vAlign w:val="center"/>
          </w:tcPr>
          <w:p>
            <w:pPr>
              <w:spacing w:after="0" w:line="252" w:lineRule="auto"/>
              <w:jc w:val="center"/>
            </w:pPr>
            <w:r>
              <w:rPr>
                <w:rFonts w:ascii="Times New Roman" w:hAnsi="Times New Roman"/>
                <w:color w:val="202529"/>
                <w:sz w:val="15"/>
              </w:rPr>
              <w:t>Playwright</w:t>
            </w:r>
          </w:p>
        </w:tc>
        <w:tc>
          <w:tcPr>
            <w:tcW w:type="dxa" w:w="1950"/>
            <w:tcMar>
              <w:top w:w="80" w:type="dxa"/>
              <w:start w:w="120" w:type="dxa"/>
              <w:bottom w:w="80" w:type="dxa"/>
              <w:end w:w="120" w:type="dxa"/>
            </w:tcMar>
            <w:vAlign w:val="center"/>
          </w:tcPr>
          <w:p>
            <w:pPr>
              <w:spacing w:after="0" w:line="252" w:lineRule="auto"/>
              <w:jc w:val="left"/>
            </w:pPr>
            <w:r>
              <w:rPr>
                <w:rFonts w:ascii="Times New Roman" w:hAnsi="Times New Roman"/>
                <w:color w:val="202529"/>
                <w:sz w:val="15"/>
              </w:rPr>
              <w:t>Pass</w:t>
              <w:br/>
              <w:t>Evidence: E2E job</w:t>
            </w:r>
          </w:p>
        </w:tc>
      </w:tr>
      <w:tr>
        <w:trPr>
          <w:cantSplit/>
        </w:trPr>
        <w:tc>
          <w:tcPr>
            <w:tcW w:type="dxa" w:w="800"/>
            <w:tcMar>
              <w:top w:w="80" w:type="dxa"/>
              <w:start w:w="120" w:type="dxa"/>
              <w:bottom w:w="80" w:type="dxa"/>
              <w:end w:w="120" w:type="dxa"/>
            </w:tcMar>
            <w:vAlign w:val="center"/>
          </w:tcPr>
          <w:p>
            <w:pPr>
              <w:spacing w:after="0" w:line="252" w:lineRule="auto"/>
              <w:jc w:val="center"/>
            </w:pPr>
            <w:r>
              <w:rPr>
                <w:rFonts w:ascii="Times New Roman" w:hAnsi="Times New Roman"/>
                <w:color w:val="202529"/>
                <w:sz w:val="15"/>
              </w:rPr>
              <w:t>TC-005</w:t>
            </w:r>
          </w:p>
        </w:tc>
        <w:tc>
          <w:tcPr>
            <w:tcW w:type="dxa" w:w="1450"/>
            <w:tcMar>
              <w:top w:w="80" w:type="dxa"/>
              <w:start w:w="120" w:type="dxa"/>
              <w:bottom w:w="80" w:type="dxa"/>
              <w:end w:w="120" w:type="dxa"/>
            </w:tcMar>
            <w:vAlign w:val="center"/>
          </w:tcPr>
          <w:p>
            <w:pPr>
              <w:spacing w:after="0" w:line="252" w:lineRule="auto"/>
              <w:jc w:val="left"/>
            </w:pPr>
            <w:r>
              <w:rPr>
                <w:rFonts w:ascii="Times New Roman" w:hAnsi="Times New Roman"/>
                <w:color w:val="202529"/>
                <w:sz w:val="15"/>
              </w:rPr>
              <w:t>Pod listing</w:t>
            </w:r>
          </w:p>
        </w:tc>
        <w:tc>
          <w:tcPr>
            <w:tcW w:type="dxa" w:w="950"/>
            <w:tcMar>
              <w:top w:w="80" w:type="dxa"/>
              <w:start w:w="120" w:type="dxa"/>
              <w:bottom w:w="80" w:type="dxa"/>
              <w:end w:w="120" w:type="dxa"/>
            </w:tcMar>
            <w:vAlign w:val="center"/>
          </w:tcPr>
          <w:p>
            <w:pPr>
              <w:spacing w:after="0" w:line="252" w:lineRule="auto"/>
              <w:jc w:val="center"/>
            </w:pPr>
            <w:r>
              <w:rPr>
                <w:rFonts w:ascii="Times New Roman" w:hAnsi="Times New Roman"/>
                <w:color w:val="202529"/>
                <w:sz w:val="15"/>
              </w:rPr>
              <w:t>E2E</w:t>
            </w:r>
          </w:p>
        </w:tc>
        <w:tc>
          <w:tcPr>
            <w:tcW w:type="dxa" w:w="4000"/>
            <w:tcMar>
              <w:top w:w="80" w:type="dxa"/>
              <w:start w:w="120" w:type="dxa"/>
              <w:bottom w:w="80" w:type="dxa"/>
              <w:end w:w="120" w:type="dxa"/>
            </w:tcMar>
            <w:vAlign w:val="center"/>
          </w:tcPr>
          <w:p>
            <w:pPr>
              <w:spacing w:after="0" w:line="252" w:lineRule="auto"/>
              <w:jc w:val="left"/>
            </w:pPr>
            <w:r>
              <w:rPr>
                <w:rFonts w:ascii="Times New Roman" w:hAnsi="Times New Roman"/>
                <w:color w:val="202529"/>
                <w:sz w:val="15"/>
              </w:rPr>
              <w:t>Open Pods for the fixture namespace</w:t>
              <w:br/>
              <w:t>Expected: Seeded pods and status are shown</w:t>
            </w:r>
          </w:p>
        </w:tc>
        <w:tc>
          <w:tcPr>
            <w:tcW w:type="dxa" w:w="1350"/>
            <w:tcMar>
              <w:top w:w="80" w:type="dxa"/>
              <w:start w:w="120" w:type="dxa"/>
              <w:bottom w:w="80" w:type="dxa"/>
              <w:end w:w="120" w:type="dxa"/>
            </w:tcMar>
            <w:vAlign w:val="center"/>
          </w:tcPr>
          <w:p>
            <w:pPr>
              <w:spacing w:after="0" w:line="252" w:lineRule="auto"/>
              <w:jc w:val="center"/>
            </w:pPr>
            <w:r>
              <w:rPr>
                <w:rFonts w:ascii="Times New Roman" w:hAnsi="Times New Roman"/>
                <w:color w:val="202529"/>
                <w:sz w:val="15"/>
              </w:rPr>
              <w:t>Playwright</w:t>
            </w:r>
          </w:p>
        </w:tc>
        <w:tc>
          <w:tcPr>
            <w:tcW w:type="dxa" w:w="1950"/>
            <w:tcMar>
              <w:top w:w="80" w:type="dxa"/>
              <w:start w:w="120" w:type="dxa"/>
              <w:bottom w:w="80" w:type="dxa"/>
              <w:end w:w="120" w:type="dxa"/>
            </w:tcMar>
            <w:vAlign w:val="center"/>
          </w:tcPr>
          <w:p>
            <w:pPr>
              <w:spacing w:after="0" w:line="252" w:lineRule="auto"/>
              <w:jc w:val="left"/>
            </w:pPr>
            <w:r>
              <w:rPr>
                <w:rFonts w:ascii="Times New Roman" w:hAnsi="Times New Roman"/>
                <w:color w:val="202529"/>
                <w:sz w:val="15"/>
              </w:rPr>
              <w:t>Pass</w:t>
              <w:br/>
              <w:t>Evidence: E2E job</w:t>
            </w:r>
          </w:p>
        </w:tc>
      </w:tr>
      <w:tr>
        <w:trPr>
          <w:cantSplit/>
        </w:trPr>
        <w:tc>
          <w:tcPr>
            <w:tcW w:type="dxa" w:w="800"/>
            <w:tcMar>
              <w:top w:w="80" w:type="dxa"/>
              <w:start w:w="120" w:type="dxa"/>
              <w:bottom w:w="80" w:type="dxa"/>
              <w:end w:w="120" w:type="dxa"/>
            </w:tcMar>
            <w:vAlign w:val="center"/>
          </w:tcPr>
          <w:p>
            <w:pPr>
              <w:spacing w:after="0" w:line="252" w:lineRule="auto"/>
              <w:jc w:val="center"/>
            </w:pPr>
            <w:r>
              <w:rPr>
                <w:rFonts w:ascii="Times New Roman" w:hAnsi="Times New Roman"/>
                <w:color w:val="202529"/>
                <w:sz w:val="15"/>
              </w:rPr>
              <w:t>TC-006</w:t>
            </w:r>
          </w:p>
        </w:tc>
        <w:tc>
          <w:tcPr>
            <w:tcW w:type="dxa" w:w="1450"/>
            <w:tcMar>
              <w:top w:w="80" w:type="dxa"/>
              <w:start w:w="120" w:type="dxa"/>
              <w:bottom w:w="80" w:type="dxa"/>
              <w:end w:w="120" w:type="dxa"/>
            </w:tcMar>
            <w:vAlign w:val="center"/>
          </w:tcPr>
          <w:p>
            <w:pPr>
              <w:spacing w:after="0" w:line="252" w:lineRule="auto"/>
              <w:jc w:val="left"/>
            </w:pPr>
            <w:r>
              <w:rPr>
                <w:rFonts w:ascii="Times New Roman" w:hAnsi="Times New Roman"/>
                <w:color w:val="202529"/>
                <w:sz w:val="15"/>
              </w:rPr>
              <w:t>Multi-container detail</w:t>
            </w:r>
          </w:p>
        </w:tc>
        <w:tc>
          <w:tcPr>
            <w:tcW w:type="dxa" w:w="950"/>
            <w:tcMar>
              <w:top w:w="80" w:type="dxa"/>
              <w:start w:w="120" w:type="dxa"/>
              <w:bottom w:w="80" w:type="dxa"/>
              <w:end w:w="120" w:type="dxa"/>
            </w:tcMar>
            <w:vAlign w:val="center"/>
          </w:tcPr>
          <w:p>
            <w:pPr>
              <w:spacing w:after="0" w:line="252" w:lineRule="auto"/>
              <w:jc w:val="center"/>
            </w:pPr>
            <w:r>
              <w:rPr>
                <w:rFonts w:ascii="Times New Roman" w:hAnsi="Times New Roman"/>
                <w:color w:val="202529"/>
                <w:sz w:val="15"/>
              </w:rPr>
              <w:t>E2E</w:t>
            </w:r>
          </w:p>
        </w:tc>
        <w:tc>
          <w:tcPr>
            <w:tcW w:type="dxa" w:w="4000"/>
            <w:tcMar>
              <w:top w:w="80" w:type="dxa"/>
              <w:start w:w="120" w:type="dxa"/>
              <w:bottom w:w="80" w:type="dxa"/>
              <w:end w:w="120" w:type="dxa"/>
            </w:tcMar>
            <w:vAlign w:val="center"/>
          </w:tcPr>
          <w:p>
            <w:pPr>
              <w:spacing w:after="0" w:line="252" w:lineRule="auto"/>
              <w:jc w:val="left"/>
            </w:pPr>
            <w:r>
              <w:rPr>
                <w:rFonts w:ascii="Times New Roman" w:hAnsi="Times New Roman"/>
                <w:color w:val="202529"/>
                <w:sz w:val="15"/>
              </w:rPr>
              <w:t>Open a pod with multiple container types</w:t>
              <w:br/>
              <w:t>Expected: Container names, kinds, images and states match Kubernetes</w:t>
            </w:r>
          </w:p>
        </w:tc>
        <w:tc>
          <w:tcPr>
            <w:tcW w:type="dxa" w:w="1350"/>
            <w:tcMar>
              <w:top w:w="80" w:type="dxa"/>
              <w:start w:w="120" w:type="dxa"/>
              <w:bottom w:w="80" w:type="dxa"/>
              <w:end w:w="120" w:type="dxa"/>
            </w:tcMar>
            <w:vAlign w:val="center"/>
          </w:tcPr>
          <w:p>
            <w:pPr>
              <w:spacing w:after="0" w:line="252" w:lineRule="auto"/>
              <w:jc w:val="center"/>
            </w:pPr>
            <w:r>
              <w:rPr>
                <w:rFonts w:ascii="Times New Roman" w:hAnsi="Times New Roman"/>
                <w:color w:val="202529"/>
                <w:sz w:val="15"/>
              </w:rPr>
              <w:t>Playwright</w:t>
            </w:r>
          </w:p>
        </w:tc>
        <w:tc>
          <w:tcPr>
            <w:tcW w:type="dxa" w:w="1950"/>
            <w:tcMar>
              <w:top w:w="80" w:type="dxa"/>
              <w:start w:w="120" w:type="dxa"/>
              <w:bottom w:w="80" w:type="dxa"/>
              <w:end w:w="120" w:type="dxa"/>
            </w:tcMar>
            <w:vAlign w:val="center"/>
          </w:tcPr>
          <w:p>
            <w:pPr>
              <w:spacing w:after="0" w:line="252" w:lineRule="auto"/>
              <w:jc w:val="left"/>
            </w:pPr>
            <w:r>
              <w:rPr>
                <w:rFonts w:ascii="Times New Roman" w:hAnsi="Times New Roman"/>
                <w:color w:val="202529"/>
                <w:sz w:val="15"/>
              </w:rPr>
              <w:t>Pass</w:t>
              <w:br/>
              <w:t>Evidence: E2E job</w:t>
            </w:r>
          </w:p>
        </w:tc>
      </w:tr>
      <w:tr>
        <w:trPr>
          <w:cantSplit/>
        </w:trPr>
        <w:tc>
          <w:tcPr>
            <w:tcW w:type="dxa" w:w="800"/>
            <w:tcMar>
              <w:top w:w="80" w:type="dxa"/>
              <w:start w:w="120" w:type="dxa"/>
              <w:bottom w:w="80" w:type="dxa"/>
              <w:end w:w="120" w:type="dxa"/>
            </w:tcMar>
            <w:vAlign w:val="center"/>
          </w:tcPr>
          <w:p>
            <w:pPr>
              <w:spacing w:after="0" w:line="252" w:lineRule="auto"/>
              <w:jc w:val="center"/>
            </w:pPr>
            <w:r>
              <w:rPr>
                <w:rFonts w:ascii="Times New Roman" w:hAnsi="Times New Roman"/>
                <w:color w:val="202529"/>
                <w:sz w:val="15"/>
              </w:rPr>
              <w:t>TC-007</w:t>
            </w:r>
          </w:p>
        </w:tc>
        <w:tc>
          <w:tcPr>
            <w:tcW w:type="dxa" w:w="1450"/>
            <w:tcMar>
              <w:top w:w="80" w:type="dxa"/>
              <w:start w:w="120" w:type="dxa"/>
              <w:bottom w:w="80" w:type="dxa"/>
              <w:end w:w="120" w:type="dxa"/>
            </w:tcMar>
            <w:vAlign w:val="center"/>
          </w:tcPr>
          <w:p>
            <w:pPr>
              <w:spacing w:after="0" w:line="252" w:lineRule="auto"/>
              <w:jc w:val="left"/>
            </w:pPr>
            <w:r>
              <w:rPr>
                <w:rFonts w:ascii="Times New Roman" w:hAnsi="Times New Roman"/>
                <w:color w:val="202529"/>
                <w:sz w:val="15"/>
              </w:rPr>
              <w:t>Default log container</w:t>
            </w:r>
          </w:p>
        </w:tc>
        <w:tc>
          <w:tcPr>
            <w:tcW w:type="dxa" w:w="950"/>
            <w:tcMar>
              <w:top w:w="80" w:type="dxa"/>
              <w:start w:w="120" w:type="dxa"/>
              <w:bottom w:w="80" w:type="dxa"/>
              <w:end w:w="120" w:type="dxa"/>
            </w:tcMar>
            <w:vAlign w:val="center"/>
          </w:tcPr>
          <w:p>
            <w:pPr>
              <w:spacing w:after="0" w:line="252" w:lineRule="auto"/>
              <w:jc w:val="center"/>
            </w:pPr>
            <w:r>
              <w:rPr>
                <w:rFonts w:ascii="Times New Roman" w:hAnsi="Times New Roman"/>
                <w:color w:val="202529"/>
                <w:sz w:val="15"/>
              </w:rPr>
              <w:t>Backend</w:t>
            </w:r>
          </w:p>
        </w:tc>
        <w:tc>
          <w:tcPr>
            <w:tcW w:type="dxa" w:w="4000"/>
            <w:tcMar>
              <w:top w:w="80" w:type="dxa"/>
              <w:start w:w="120" w:type="dxa"/>
              <w:bottom w:w="80" w:type="dxa"/>
              <w:end w:w="120" w:type="dxa"/>
            </w:tcMar>
            <w:vAlign w:val="center"/>
          </w:tcPr>
          <w:p>
            <w:pPr>
              <w:spacing w:after="0" w:line="252" w:lineRule="auto"/>
              <w:jc w:val="left"/>
            </w:pPr>
            <w:r>
              <w:rPr>
                <w:rFonts w:ascii="Times New Roman" w:hAnsi="Times New Roman"/>
                <w:color w:val="202529"/>
                <w:sz w:val="15"/>
              </w:rPr>
              <w:t>Request logs without a container</w:t>
              <w:br/>
              <w:t>Expected: Annotated default or first regular container is used</w:t>
            </w:r>
          </w:p>
        </w:tc>
        <w:tc>
          <w:tcPr>
            <w:tcW w:type="dxa" w:w="1350"/>
            <w:tcMar>
              <w:top w:w="80" w:type="dxa"/>
              <w:start w:w="120" w:type="dxa"/>
              <w:bottom w:w="80" w:type="dxa"/>
              <w:end w:w="120" w:type="dxa"/>
            </w:tcMar>
            <w:vAlign w:val="center"/>
          </w:tcPr>
          <w:p>
            <w:pPr>
              <w:spacing w:after="0" w:line="252" w:lineRule="auto"/>
              <w:jc w:val="center"/>
            </w:pPr>
            <w:r>
              <w:rPr>
                <w:rFonts w:ascii="Times New Roman" w:hAnsi="Times New Roman"/>
                <w:color w:val="202529"/>
                <w:sz w:val="15"/>
              </w:rPr>
              <w:t>Go unit</w:t>
            </w:r>
          </w:p>
        </w:tc>
        <w:tc>
          <w:tcPr>
            <w:tcW w:type="dxa" w:w="1950"/>
            <w:tcMar>
              <w:top w:w="80" w:type="dxa"/>
              <w:start w:w="120" w:type="dxa"/>
              <w:bottom w:w="80" w:type="dxa"/>
              <w:end w:w="120" w:type="dxa"/>
            </w:tcMar>
            <w:vAlign w:val="center"/>
          </w:tcPr>
          <w:p>
            <w:pPr>
              <w:spacing w:after="0" w:line="252" w:lineRule="auto"/>
              <w:jc w:val="left"/>
            </w:pPr>
            <w:r>
              <w:rPr>
                <w:rFonts w:ascii="Times New Roman" w:hAnsi="Times New Roman"/>
                <w:color w:val="202529"/>
                <w:sz w:val="15"/>
              </w:rPr>
              <w:t>Pass</w:t>
              <w:br/>
              <w:t>Evidence: Backend tests job</w:t>
            </w:r>
          </w:p>
        </w:tc>
      </w:tr>
      <w:tr>
        <w:trPr>
          <w:cantSplit/>
        </w:trPr>
        <w:tc>
          <w:tcPr>
            <w:tcW w:type="dxa" w:w="800"/>
            <w:tcMar>
              <w:top w:w="80" w:type="dxa"/>
              <w:start w:w="120" w:type="dxa"/>
              <w:bottom w:w="80" w:type="dxa"/>
              <w:end w:w="120" w:type="dxa"/>
            </w:tcMar>
            <w:vAlign w:val="center"/>
          </w:tcPr>
          <w:p>
            <w:pPr>
              <w:spacing w:after="0" w:line="252" w:lineRule="auto"/>
              <w:jc w:val="center"/>
            </w:pPr>
            <w:r>
              <w:rPr>
                <w:rFonts w:ascii="Times New Roman" w:hAnsi="Times New Roman"/>
                <w:color w:val="202529"/>
                <w:sz w:val="15"/>
              </w:rPr>
              <w:t>TC-008</w:t>
            </w:r>
          </w:p>
        </w:tc>
        <w:tc>
          <w:tcPr>
            <w:tcW w:type="dxa" w:w="1450"/>
            <w:tcMar>
              <w:top w:w="80" w:type="dxa"/>
              <w:start w:w="120" w:type="dxa"/>
              <w:bottom w:w="80" w:type="dxa"/>
              <w:end w:w="120" w:type="dxa"/>
            </w:tcMar>
            <w:vAlign w:val="center"/>
          </w:tcPr>
          <w:p>
            <w:pPr>
              <w:spacing w:after="0" w:line="252" w:lineRule="auto"/>
              <w:jc w:val="left"/>
            </w:pPr>
            <w:r>
              <w:rPr>
                <w:rFonts w:ascii="Times New Roman" w:hAnsi="Times New Roman"/>
                <w:color w:val="202529"/>
                <w:sz w:val="15"/>
              </w:rPr>
              <w:t>Live pod logs</w:t>
            </w:r>
          </w:p>
        </w:tc>
        <w:tc>
          <w:tcPr>
            <w:tcW w:type="dxa" w:w="950"/>
            <w:tcMar>
              <w:top w:w="80" w:type="dxa"/>
              <w:start w:w="120" w:type="dxa"/>
              <w:bottom w:w="80" w:type="dxa"/>
              <w:end w:w="120" w:type="dxa"/>
            </w:tcMar>
            <w:vAlign w:val="center"/>
          </w:tcPr>
          <w:p>
            <w:pPr>
              <w:spacing w:after="0" w:line="252" w:lineRule="auto"/>
              <w:jc w:val="center"/>
            </w:pPr>
            <w:r>
              <w:rPr>
                <w:rFonts w:ascii="Times New Roman" w:hAnsi="Times New Roman"/>
                <w:color w:val="202529"/>
                <w:sz w:val="15"/>
              </w:rPr>
              <w:t>E2E</w:t>
            </w:r>
          </w:p>
        </w:tc>
        <w:tc>
          <w:tcPr>
            <w:tcW w:type="dxa" w:w="4000"/>
            <w:tcMar>
              <w:top w:w="80" w:type="dxa"/>
              <w:start w:w="120" w:type="dxa"/>
              <w:bottom w:w="80" w:type="dxa"/>
              <w:end w:w="120" w:type="dxa"/>
            </w:tcMar>
            <w:vAlign w:val="center"/>
          </w:tcPr>
          <w:p>
            <w:pPr>
              <w:spacing w:after="0" w:line="252" w:lineRule="auto"/>
              <w:jc w:val="left"/>
            </w:pPr>
            <w:r>
              <w:rPr>
                <w:rFonts w:ascii="Times New Roman" w:hAnsi="Times New Roman"/>
                <w:color w:val="202529"/>
                <w:sz w:val="15"/>
              </w:rPr>
              <w:t>Open Logs and produce new output</w:t>
              <w:br/>
              <w:t>Expected: New lines appear without page reload</w:t>
            </w:r>
          </w:p>
        </w:tc>
        <w:tc>
          <w:tcPr>
            <w:tcW w:type="dxa" w:w="1350"/>
            <w:tcMar>
              <w:top w:w="80" w:type="dxa"/>
              <w:start w:w="120" w:type="dxa"/>
              <w:bottom w:w="80" w:type="dxa"/>
              <w:end w:w="120" w:type="dxa"/>
            </w:tcMar>
            <w:vAlign w:val="center"/>
          </w:tcPr>
          <w:p>
            <w:pPr>
              <w:spacing w:after="0" w:line="252" w:lineRule="auto"/>
              <w:jc w:val="center"/>
            </w:pPr>
            <w:r>
              <w:rPr>
                <w:rFonts w:ascii="Times New Roman" w:hAnsi="Times New Roman"/>
                <w:color w:val="202529"/>
                <w:sz w:val="15"/>
              </w:rPr>
              <w:t>Playwright</w:t>
            </w:r>
          </w:p>
        </w:tc>
        <w:tc>
          <w:tcPr>
            <w:tcW w:type="dxa" w:w="1950"/>
            <w:tcMar>
              <w:top w:w="80" w:type="dxa"/>
              <w:start w:w="120" w:type="dxa"/>
              <w:bottom w:w="80" w:type="dxa"/>
              <w:end w:w="120" w:type="dxa"/>
            </w:tcMar>
            <w:vAlign w:val="center"/>
          </w:tcPr>
          <w:p>
            <w:pPr>
              <w:spacing w:after="0" w:line="252" w:lineRule="auto"/>
              <w:jc w:val="left"/>
            </w:pPr>
            <w:r>
              <w:rPr>
                <w:rFonts w:ascii="Times New Roman" w:hAnsi="Times New Roman"/>
                <w:color w:val="202529"/>
                <w:sz w:val="15"/>
              </w:rPr>
              <w:t>Pass</w:t>
              <w:br/>
              <w:t>Evidence: E2E job</w:t>
            </w:r>
          </w:p>
        </w:tc>
      </w:tr>
      <w:tr>
        <w:trPr>
          <w:cantSplit/>
        </w:trPr>
        <w:tc>
          <w:tcPr>
            <w:tcW w:type="dxa" w:w="800"/>
            <w:tcMar>
              <w:top w:w="80" w:type="dxa"/>
              <w:start w:w="120" w:type="dxa"/>
              <w:bottom w:w="80" w:type="dxa"/>
              <w:end w:w="120" w:type="dxa"/>
            </w:tcMar>
            <w:vAlign w:val="center"/>
          </w:tcPr>
          <w:p>
            <w:pPr>
              <w:spacing w:after="0" w:line="252" w:lineRule="auto"/>
              <w:jc w:val="center"/>
            </w:pPr>
            <w:r>
              <w:rPr>
                <w:rFonts w:ascii="Times New Roman" w:hAnsi="Times New Roman"/>
                <w:color w:val="202529"/>
                <w:sz w:val="15"/>
              </w:rPr>
              <w:t>TC-009</w:t>
            </w:r>
          </w:p>
        </w:tc>
        <w:tc>
          <w:tcPr>
            <w:tcW w:type="dxa" w:w="1450"/>
            <w:tcMar>
              <w:top w:w="80" w:type="dxa"/>
              <w:start w:w="120" w:type="dxa"/>
              <w:bottom w:w="80" w:type="dxa"/>
              <w:end w:w="120" w:type="dxa"/>
            </w:tcMar>
            <w:vAlign w:val="center"/>
          </w:tcPr>
          <w:p>
            <w:pPr>
              <w:spacing w:after="0" w:line="252" w:lineRule="auto"/>
              <w:jc w:val="left"/>
            </w:pPr>
            <w:r>
              <w:rPr>
                <w:rFonts w:ascii="Times New Roman" w:hAnsi="Times New Roman"/>
                <w:color w:val="202529"/>
                <w:sz w:val="15"/>
              </w:rPr>
              <w:t>Pause and resume logs</w:t>
            </w:r>
          </w:p>
        </w:tc>
        <w:tc>
          <w:tcPr>
            <w:tcW w:type="dxa" w:w="950"/>
            <w:tcMar>
              <w:top w:w="80" w:type="dxa"/>
              <w:start w:w="120" w:type="dxa"/>
              <w:bottom w:w="80" w:type="dxa"/>
              <w:end w:w="120" w:type="dxa"/>
            </w:tcMar>
            <w:vAlign w:val="center"/>
          </w:tcPr>
          <w:p>
            <w:pPr>
              <w:spacing w:after="0" w:line="252" w:lineRule="auto"/>
              <w:jc w:val="center"/>
            </w:pPr>
            <w:r>
              <w:rPr>
                <w:rFonts w:ascii="Times New Roman" w:hAnsi="Times New Roman"/>
                <w:color w:val="202529"/>
                <w:sz w:val="15"/>
              </w:rPr>
              <w:t>E2E</w:t>
            </w:r>
          </w:p>
        </w:tc>
        <w:tc>
          <w:tcPr>
            <w:tcW w:type="dxa" w:w="4000"/>
            <w:tcMar>
              <w:top w:w="80" w:type="dxa"/>
              <w:start w:w="120" w:type="dxa"/>
              <w:bottom w:w="80" w:type="dxa"/>
              <w:end w:w="120" w:type="dxa"/>
            </w:tcMar>
            <w:vAlign w:val="center"/>
          </w:tcPr>
          <w:p>
            <w:pPr>
              <w:spacing w:after="0" w:line="252" w:lineRule="auto"/>
              <w:jc w:val="left"/>
            </w:pPr>
            <w:r>
              <w:rPr>
                <w:rFonts w:ascii="Times New Roman" w:hAnsi="Times New Roman"/>
                <w:color w:val="202529"/>
                <w:sz w:val="15"/>
              </w:rPr>
              <w:t>Pause and resume a log stream</w:t>
              <w:br/>
              <w:t>Expected: Connection stops and restarts through user controls</w:t>
            </w:r>
          </w:p>
        </w:tc>
        <w:tc>
          <w:tcPr>
            <w:tcW w:type="dxa" w:w="1350"/>
            <w:tcMar>
              <w:top w:w="80" w:type="dxa"/>
              <w:start w:w="120" w:type="dxa"/>
              <w:bottom w:w="80" w:type="dxa"/>
              <w:end w:w="120" w:type="dxa"/>
            </w:tcMar>
            <w:vAlign w:val="center"/>
          </w:tcPr>
          <w:p>
            <w:pPr>
              <w:spacing w:after="0" w:line="252" w:lineRule="auto"/>
              <w:jc w:val="center"/>
            </w:pPr>
            <w:r>
              <w:rPr>
                <w:rFonts w:ascii="Times New Roman" w:hAnsi="Times New Roman"/>
                <w:color w:val="202529"/>
                <w:sz w:val="15"/>
              </w:rPr>
              <w:t>Playwright</w:t>
            </w:r>
          </w:p>
        </w:tc>
        <w:tc>
          <w:tcPr>
            <w:tcW w:type="dxa" w:w="1950"/>
            <w:tcMar>
              <w:top w:w="80" w:type="dxa"/>
              <w:start w:w="120" w:type="dxa"/>
              <w:bottom w:w="80" w:type="dxa"/>
              <w:end w:w="120" w:type="dxa"/>
            </w:tcMar>
            <w:vAlign w:val="center"/>
          </w:tcPr>
          <w:p>
            <w:pPr>
              <w:spacing w:after="0" w:line="252" w:lineRule="auto"/>
              <w:jc w:val="left"/>
            </w:pPr>
            <w:r>
              <w:rPr>
                <w:rFonts w:ascii="Times New Roman" w:hAnsi="Times New Roman"/>
                <w:color w:val="202529"/>
                <w:sz w:val="15"/>
              </w:rPr>
              <w:t>Pass</w:t>
              <w:br/>
              <w:t>Evidence: E2E job</w:t>
            </w:r>
          </w:p>
        </w:tc>
      </w:tr>
      <w:tr>
        <w:trPr>
          <w:cantSplit/>
        </w:trPr>
        <w:tc>
          <w:tcPr>
            <w:tcW w:type="dxa" w:w="800"/>
            <w:tcMar>
              <w:top w:w="80" w:type="dxa"/>
              <w:start w:w="120" w:type="dxa"/>
              <w:bottom w:w="80" w:type="dxa"/>
              <w:end w:w="120" w:type="dxa"/>
            </w:tcMar>
            <w:vAlign w:val="center"/>
          </w:tcPr>
          <w:p>
            <w:pPr>
              <w:spacing w:after="0" w:line="252" w:lineRule="auto"/>
              <w:jc w:val="center"/>
            </w:pPr>
            <w:r>
              <w:rPr>
                <w:rFonts w:ascii="Times New Roman" w:hAnsi="Times New Roman"/>
                <w:color w:val="202529"/>
                <w:sz w:val="15"/>
              </w:rPr>
              <w:t>TC-010</w:t>
            </w:r>
          </w:p>
        </w:tc>
        <w:tc>
          <w:tcPr>
            <w:tcW w:type="dxa" w:w="1450"/>
            <w:tcMar>
              <w:top w:w="80" w:type="dxa"/>
              <w:start w:w="120" w:type="dxa"/>
              <w:bottom w:w="80" w:type="dxa"/>
              <w:end w:w="120" w:type="dxa"/>
            </w:tcMar>
            <w:vAlign w:val="center"/>
          </w:tcPr>
          <w:p>
            <w:pPr>
              <w:spacing w:after="0" w:line="252" w:lineRule="auto"/>
              <w:jc w:val="left"/>
            </w:pPr>
            <w:r>
              <w:rPr>
                <w:rFonts w:ascii="Times New Roman" w:hAnsi="Times New Roman"/>
                <w:color w:val="202529"/>
                <w:sz w:val="15"/>
              </w:rPr>
              <w:t>Deployment listing</w:t>
            </w:r>
          </w:p>
        </w:tc>
        <w:tc>
          <w:tcPr>
            <w:tcW w:type="dxa" w:w="950"/>
            <w:tcMar>
              <w:top w:w="80" w:type="dxa"/>
              <w:start w:w="120" w:type="dxa"/>
              <w:bottom w:w="80" w:type="dxa"/>
              <w:end w:w="120" w:type="dxa"/>
            </w:tcMar>
            <w:vAlign w:val="center"/>
          </w:tcPr>
          <w:p>
            <w:pPr>
              <w:spacing w:after="0" w:line="252" w:lineRule="auto"/>
              <w:jc w:val="center"/>
            </w:pPr>
            <w:r>
              <w:rPr>
                <w:rFonts w:ascii="Times New Roman" w:hAnsi="Times New Roman"/>
                <w:color w:val="202529"/>
                <w:sz w:val="15"/>
              </w:rPr>
              <w:t>E2E</w:t>
            </w:r>
          </w:p>
        </w:tc>
        <w:tc>
          <w:tcPr>
            <w:tcW w:type="dxa" w:w="4000"/>
            <w:tcMar>
              <w:top w:w="80" w:type="dxa"/>
              <w:start w:w="120" w:type="dxa"/>
              <w:bottom w:w="80" w:type="dxa"/>
              <w:end w:w="120" w:type="dxa"/>
            </w:tcMar>
            <w:vAlign w:val="center"/>
          </w:tcPr>
          <w:p>
            <w:pPr>
              <w:spacing w:after="0" w:line="252" w:lineRule="auto"/>
              <w:jc w:val="left"/>
            </w:pPr>
            <w:r>
              <w:rPr>
                <w:rFonts w:ascii="Times New Roman" w:hAnsi="Times New Roman"/>
                <w:color w:val="202529"/>
                <w:sz w:val="15"/>
              </w:rPr>
              <w:t>Open Deployments</w:t>
              <w:br/>
              <w:t>Expected: Replica and image data match the fixture</w:t>
            </w:r>
          </w:p>
        </w:tc>
        <w:tc>
          <w:tcPr>
            <w:tcW w:type="dxa" w:w="1350"/>
            <w:tcMar>
              <w:top w:w="80" w:type="dxa"/>
              <w:start w:w="120" w:type="dxa"/>
              <w:bottom w:w="80" w:type="dxa"/>
              <w:end w:w="120" w:type="dxa"/>
            </w:tcMar>
            <w:vAlign w:val="center"/>
          </w:tcPr>
          <w:p>
            <w:pPr>
              <w:spacing w:after="0" w:line="252" w:lineRule="auto"/>
              <w:jc w:val="center"/>
            </w:pPr>
            <w:r>
              <w:rPr>
                <w:rFonts w:ascii="Times New Roman" w:hAnsi="Times New Roman"/>
                <w:color w:val="202529"/>
                <w:sz w:val="15"/>
              </w:rPr>
              <w:t>Playwright</w:t>
            </w:r>
          </w:p>
        </w:tc>
        <w:tc>
          <w:tcPr>
            <w:tcW w:type="dxa" w:w="1950"/>
            <w:tcMar>
              <w:top w:w="80" w:type="dxa"/>
              <w:start w:w="120" w:type="dxa"/>
              <w:bottom w:w="80" w:type="dxa"/>
              <w:end w:w="120" w:type="dxa"/>
            </w:tcMar>
            <w:vAlign w:val="center"/>
          </w:tcPr>
          <w:p>
            <w:pPr>
              <w:spacing w:after="0" w:line="252" w:lineRule="auto"/>
              <w:jc w:val="left"/>
            </w:pPr>
            <w:r>
              <w:rPr>
                <w:rFonts w:ascii="Times New Roman" w:hAnsi="Times New Roman"/>
                <w:color w:val="202529"/>
                <w:sz w:val="15"/>
              </w:rPr>
              <w:t>Pass</w:t>
              <w:br/>
              <w:t>Evidence: E2E job</w:t>
            </w:r>
          </w:p>
        </w:tc>
      </w:tr>
      <w:tr>
        <w:trPr>
          <w:cantSplit/>
        </w:trPr>
        <w:tc>
          <w:tcPr>
            <w:tcW w:type="dxa" w:w="800"/>
            <w:tcMar>
              <w:top w:w="80" w:type="dxa"/>
              <w:start w:w="120" w:type="dxa"/>
              <w:bottom w:w="80" w:type="dxa"/>
              <w:end w:w="120" w:type="dxa"/>
            </w:tcMar>
            <w:vAlign w:val="center"/>
          </w:tcPr>
          <w:p>
            <w:pPr>
              <w:spacing w:after="0" w:line="252" w:lineRule="auto"/>
              <w:jc w:val="center"/>
            </w:pPr>
            <w:r>
              <w:rPr>
                <w:rFonts w:ascii="Times New Roman" w:hAnsi="Times New Roman"/>
                <w:color w:val="202529"/>
                <w:sz w:val="15"/>
              </w:rPr>
              <w:t>TC-011</w:t>
            </w:r>
          </w:p>
        </w:tc>
        <w:tc>
          <w:tcPr>
            <w:tcW w:type="dxa" w:w="1450"/>
            <w:tcMar>
              <w:top w:w="80" w:type="dxa"/>
              <w:start w:w="120" w:type="dxa"/>
              <w:bottom w:w="80" w:type="dxa"/>
              <w:end w:w="120" w:type="dxa"/>
            </w:tcMar>
            <w:vAlign w:val="center"/>
          </w:tcPr>
          <w:p>
            <w:pPr>
              <w:spacing w:after="0" w:line="252" w:lineRule="auto"/>
              <w:jc w:val="left"/>
            </w:pPr>
            <w:r>
              <w:rPr>
                <w:rFonts w:ascii="Times New Roman" w:hAnsi="Times New Roman"/>
                <w:color w:val="202529"/>
                <w:sz w:val="15"/>
              </w:rPr>
              <w:t>Service listing</w:t>
            </w:r>
          </w:p>
        </w:tc>
        <w:tc>
          <w:tcPr>
            <w:tcW w:type="dxa" w:w="950"/>
            <w:tcMar>
              <w:top w:w="80" w:type="dxa"/>
              <w:start w:w="120" w:type="dxa"/>
              <w:bottom w:w="80" w:type="dxa"/>
              <w:end w:w="120" w:type="dxa"/>
            </w:tcMar>
            <w:vAlign w:val="center"/>
          </w:tcPr>
          <w:p>
            <w:pPr>
              <w:spacing w:after="0" w:line="252" w:lineRule="auto"/>
              <w:jc w:val="center"/>
            </w:pPr>
            <w:r>
              <w:rPr>
                <w:rFonts w:ascii="Times New Roman" w:hAnsi="Times New Roman"/>
                <w:color w:val="202529"/>
                <w:sz w:val="15"/>
              </w:rPr>
              <w:t>E2E</w:t>
            </w:r>
          </w:p>
        </w:tc>
        <w:tc>
          <w:tcPr>
            <w:tcW w:type="dxa" w:w="4000"/>
            <w:tcMar>
              <w:top w:w="80" w:type="dxa"/>
              <w:start w:w="120" w:type="dxa"/>
              <w:bottom w:w="80" w:type="dxa"/>
              <w:end w:w="120" w:type="dxa"/>
            </w:tcMar>
            <w:vAlign w:val="center"/>
          </w:tcPr>
          <w:p>
            <w:pPr>
              <w:spacing w:after="0" w:line="252" w:lineRule="auto"/>
              <w:jc w:val="left"/>
            </w:pPr>
            <w:r>
              <w:rPr>
                <w:rFonts w:ascii="Times New Roman" w:hAnsi="Times New Roman"/>
                <w:color w:val="202529"/>
                <w:sz w:val="15"/>
              </w:rPr>
              <w:t>Open Services</w:t>
              <w:br/>
              <w:t>Expected: Type, ports and addresses match the fixture</w:t>
            </w:r>
          </w:p>
        </w:tc>
        <w:tc>
          <w:tcPr>
            <w:tcW w:type="dxa" w:w="1350"/>
            <w:tcMar>
              <w:top w:w="80" w:type="dxa"/>
              <w:start w:w="120" w:type="dxa"/>
              <w:bottom w:w="80" w:type="dxa"/>
              <w:end w:w="120" w:type="dxa"/>
            </w:tcMar>
            <w:vAlign w:val="center"/>
          </w:tcPr>
          <w:p>
            <w:pPr>
              <w:spacing w:after="0" w:line="252" w:lineRule="auto"/>
              <w:jc w:val="center"/>
            </w:pPr>
            <w:r>
              <w:rPr>
                <w:rFonts w:ascii="Times New Roman" w:hAnsi="Times New Roman"/>
                <w:color w:val="202529"/>
                <w:sz w:val="15"/>
              </w:rPr>
              <w:t>Playwright</w:t>
            </w:r>
          </w:p>
        </w:tc>
        <w:tc>
          <w:tcPr>
            <w:tcW w:type="dxa" w:w="1950"/>
            <w:tcMar>
              <w:top w:w="80" w:type="dxa"/>
              <w:start w:w="120" w:type="dxa"/>
              <w:bottom w:w="80" w:type="dxa"/>
              <w:end w:w="120" w:type="dxa"/>
            </w:tcMar>
            <w:vAlign w:val="center"/>
          </w:tcPr>
          <w:p>
            <w:pPr>
              <w:spacing w:after="0" w:line="252" w:lineRule="auto"/>
              <w:jc w:val="left"/>
            </w:pPr>
            <w:r>
              <w:rPr>
                <w:rFonts w:ascii="Times New Roman" w:hAnsi="Times New Roman"/>
                <w:color w:val="202529"/>
                <w:sz w:val="15"/>
              </w:rPr>
              <w:t>Pass</w:t>
              <w:br/>
              <w:t>Evidence: E2E job</w:t>
            </w:r>
          </w:p>
        </w:tc>
      </w:tr>
      <w:tr>
        <w:trPr>
          <w:cantSplit/>
        </w:trPr>
        <w:tc>
          <w:tcPr>
            <w:tcW w:type="dxa" w:w="800"/>
            <w:tcMar>
              <w:top w:w="80" w:type="dxa"/>
              <w:start w:w="120" w:type="dxa"/>
              <w:bottom w:w="80" w:type="dxa"/>
              <w:end w:w="120" w:type="dxa"/>
            </w:tcMar>
            <w:vAlign w:val="center"/>
          </w:tcPr>
          <w:p>
            <w:pPr>
              <w:spacing w:after="0" w:line="252" w:lineRule="auto"/>
              <w:jc w:val="center"/>
            </w:pPr>
            <w:r>
              <w:rPr>
                <w:rFonts w:ascii="Times New Roman" w:hAnsi="Times New Roman"/>
                <w:color w:val="202529"/>
                <w:sz w:val="15"/>
              </w:rPr>
              <w:t>TC-012</w:t>
            </w:r>
          </w:p>
        </w:tc>
        <w:tc>
          <w:tcPr>
            <w:tcW w:type="dxa" w:w="1450"/>
            <w:tcMar>
              <w:top w:w="80" w:type="dxa"/>
              <w:start w:w="120" w:type="dxa"/>
              <w:bottom w:w="80" w:type="dxa"/>
              <w:end w:w="120" w:type="dxa"/>
            </w:tcMar>
            <w:vAlign w:val="center"/>
          </w:tcPr>
          <w:p>
            <w:pPr>
              <w:spacing w:after="0" w:line="252" w:lineRule="auto"/>
              <w:jc w:val="left"/>
            </w:pPr>
            <w:r>
              <w:rPr>
                <w:rFonts w:ascii="Times New Roman" w:hAnsi="Times New Roman"/>
                <w:color w:val="202529"/>
                <w:sz w:val="15"/>
              </w:rPr>
              <w:t>Node listing</w:t>
            </w:r>
          </w:p>
        </w:tc>
        <w:tc>
          <w:tcPr>
            <w:tcW w:type="dxa" w:w="950"/>
            <w:tcMar>
              <w:top w:w="80" w:type="dxa"/>
              <w:start w:w="120" w:type="dxa"/>
              <w:bottom w:w="80" w:type="dxa"/>
              <w:end w:w="120" w:type="dxa"/>
            </w:tcMar>
            <w:vAlign w:val="center"/>
          </w:tcPr>
          <w:p>
            <w:pPr>
              <w:spacing w:after="0" w:line="252" w:lineRule="auto"/>
              <w:jc w:val="center"/>
            </w:pPr>
            <w:r>
              <w:rPr>
                <w:rFonts w:ascii="Times New Roman" w:hAnsi="Times New Roman"/>
                <w:color w:val="202529"/>
                <w:sz w:val="15"/>
              </w:rPr>
              <w:t>E2E</w:t>
            </w:r>
          </w:p>
        </w:tc>
        <w:tc>
          <w:tcPr>
            <w:tcW w:type="dxa" w:w="4000"/>
            <w:tcMar>
              <w:top w:w="80" w:type="dxa"/>
              <w:start w:w="120" w:type="dxa"/>
              <w:bottom w:w="80" w:type="dxa"/>
              <w:end w:w="120" w:type="dxa"/>
            </w:tcMar>
            <w:vAlign w:val="center"/>
          </w:tcPr>
          <w:p>
            <w:pPr>
              <w:spacing w:after="0" w:line="252" w:lineRule="auto"/>
              <w:jc w:val="left"/>
            </w:pPr>
            <w:r>
              <w:rPr>
                <w:rFonts w:ascii="Times New Roman" w:hAnsi="Times New Roman"/>
                <w:color w:val="202529"/>
                <w:sz w:val="15"/>
              </w:rPr>
              <w:t>Open Nodes</w:t>
              <w:br/>
              <w:t>Expected: Node readiness and Kubernetes version are shown</w:t>
            </w:r>
          </w:p>
        </w:tc>
        <w:tc>
          <w:tcPr>
            <w:tcW w:type="dxa" w:w="1350"/>
            <w:tcMar>
              <w:top w:w="80" w:type="dxa"/>
              <w:start w:w="120" w:type="dxa"/>
              <w:bottom w:w="80" w:type="dxa"/>
              <w:end w:w="120" w:type="dxa"/>
            </w:tcMar>
            <w:vAlign w:val="center"/>
          </w:tcPr>
          <w:p>
            <w:pPr>
              <w:spacing w:after="0" w:line="252" w:lineRule="auto"/>
              <w:jc w:val="center"/>
            </w:pPr>
            <w:r>
              <w:rPr>
                <w:rFonts w:ascii="Times New Roman" w:hAnsi="Times New Roman"/>
                <w:color w:val="202529"/>
                <w:sz w:val="15"/>
              </w:rPr>
              <w:t>Playwright</w:t>
            </w:r>
          </w:p>
        </w:tc>
        <w:tc>
          <w:tcPr>
            <w:tcW w:type="dxa" w:w="1950"/>
            <w:tcMar>
              <w:top w:w="80" w:type="dxa"/>
              <w:start w:w="120" w:type="dxa"/>
              <w:bottom w:w="80" w:type="dxa"/>
              <w:end w:w="120" w:type="dxa"/>
            </w:tcMar>
            <w:vAlign w:val="center"/>
          </w:tcPr>
          <w:p>
            <w:pPr>
              <w:spacing w:after="0" w:line="252" w:lineRule="auto"/>
              <w:jc w:val="left"/>
            </w:pPr>
            <w:r>
              <w:rPr>
                <w:rFonts w:ascii="Times New Roman" w:hAnsi="Times New Roman"/>
                <w:color w:val="202529"/>
                <w:sz w:val="15"/>
              </w:rPr>
              <w:t>Pass</w:t>
              <w:br/>
              <w:t>Evidence: E2E job</w:t>
            </w:r>
          </w:p>
        </w:tc>
      </w:tr>
      <w:tr>
        <w:trPr>
          <w:cantSplit/>
        </w:trPr>
        <w:tc>
          <w:tcPr>
            <w:tcW w:type="dxa" w:w="800"/>
            <w:tcMar>
              <w:top w:w="80" w:type="dxa"/>
              <w:start w:w="120" w:type="dxa"/>
              <w:bottom w:w="80" w:type="dxa"/>
              <w:end w:w="120" w:type="dxa"/>
            </w:tcMar>
            <w:vAlign w:val="center"/>
          </w:tcPr>
          <w:p>
            <w:pPr>
              <w:spacing w:after="0" w:line="252" w:lineRule="auto"/>
              <w:jc w:val="center"/>
            </w:pPr>
            <w:r>
              <w:rPr>
                <w:rFonts w:ascii="Times New Roman" w:hAnsi="Times New Roman"/>
                <w:color w:val="202529"/>
                <w:sz w:val="15"/>
              </w:rPr>
              <w:t>TC-013</w:t>
            </w:r>
          </w:p>
        </w:tc>
        <w:tc>
          <w:tcPr>
            <w:tcW w:type="dxa" w:w="1450"/>
            <w:tcMar>
              <w:top w:w="80" w:type="dxa"/>
              <w:start w:w="120" w:type="dxa"/>
              <w:bottom w:w="80" w:type="dxa"/>
              <w:end w:w="120" w:type="dxa"/>
            </w:tcMar>
            <w:vAlign w:val="center"/>
          </w:tcPr>
          <w:p>
            <w:pPr>
              <w:spacing w:after="0" w:line="252" w:lineRule="auto"/>
              <w:jc w:val="left"/>
            </w:pPr>
            <w:r>
              <w:rPr>
                <w:rFonts w:ascii="Times New Roman" w:hAnsi="Times New Roman"/>
                <w:color w:val="202529"/>
                <w:sz w:val="15"/>
              </w:rPr>
              <w:t>Event listing</w:t>
            </w:r>
          </w:p>
        </w:tc>
        <w:tc>
          <w:tcPr>
            <w:tcW w:type="dxa" w:w="950"/>
            <w:tcMar>
              <w:top w:w="80" w:type="dxa"/>
              <w:start w:w="120" w:type="dxa"/>
              <w:bottom w:w="80" w:type="dxa"/>
              <w:end w:w="120" w:type="dxa"/>
            </w:tcMar>
            <w:vAlign w:val="center"/>
          </w:tcPr>
          <w:p>
            <w:pPr>
              <w:spacing w:after="0" w:line="252" w:lineRule="auto"/>
              <w:jc w:val="center"/>
            </w:pPr>
            <w:r>
              <w:rPr>
                <w:rFonts w:ascii="Times New Roman" w:hAnsi="Times New Roman"/>
                <w:color w:val="202529"/>
                <w:sz w:val="15"/>
              </w:rPr>
              <w:t>E2E</w:t>
            </w:r>
          </w:p>
        </w:tc>
        <w:tc>
          <w:tcPr>
            <w:tcW w:type="dxa" w:w="4000"/>
            <w:tcMar>
              <w:top w:w="80" w:type="dxa"/>
              <w:start w:w="120" w:type="dxa"/>
              <w:bottom w:w="80" w:type="dxa"/>
              <w:end w:w="120" w:type="dxa"/>
            </w:tcMar>
            <w:vAlign w:val="center"/>
          </w:tcPr>
          <w:p>
            <w:pPr>
              <w:spacing w:after="0" w:line="252" w:lineRule="auto"/>
              <w:jc w:val="left"/>
            </w:pPr>
            <w:r>
              <w:rPr>
                <w:rFonts w:ascii="Times New Roman" w:hAnsi="Times New Roman"/>
                <w:color w:val="202529"/>
                <w:sz w:val="15"/>
              </w:rPr>
              <w:t>Open Events</w:t>
              <w:br/>
              <w:t>Expected: Fixture events are visible and searchable</w:t>
            </w:r>
          </w:p>
        </w:tc>
        <w:tc>
          <w:tcPr>
            <w:tcW w:type="dxa" w:w="1350"/>
            <w:tcMar>
              <w:top w:w="80" w:type="dxa"/>
              <w:start w:w="120" w:type="dxa"/>
              <w:bottom w:w="80" w:type="dxa"/>
              <w:end w:w="120" w:type="dxa"/>
            </w:tcMar>
            <w:vAlign w:val="center"/>
          </w:tcPr>
          <w:p>
            <w:pPr>
              <w:spacing w:after="0" w:line="252" w:lineRule="auto"/>
              <w:jc w:val="center"/>
            </w:pPr>
            <w:r>
              <w:rPr>
                <w:rFonts w:ascii="Times New Roman" w:hAnsi="Times New Roman"/>
                <w:color w:val="202529"/>
                <w:sz w:val="15"/>
              </w:rPr>
              <w:t>Playwright</w:t>
            </w:r>
          </w:p>
        </w:tc>
        <w:tc>
          <w:tcPr>
            <w:tcW w:type="dxa" w:w="1950"/>
            <w:tcMar>
              <w:top w:w="80" w:type="dxa"/>
              <w:start w:w="120" w:type="dxa"/>
              <w:bottom w:w="80" w:type="dxa"/>
              <w:end w:w="120" w:type="dxa"/>
            </w:tcMar>
            <w:vAlign w:val="center"/>
          </w:tcPr>
          <w:p>
            <w:pPr>
              <w:spacing w:after="0" w:line="252" w:lineRule="auto"/>
              <w:jc w:val="left"/>
            </w:pPr>
            <w:r>
              <w:rPr>
                <w:rFonts w:ascii="Times New Roman" w:hAnsi="Times New Roman"/>
                <w:color w:val="202529"/>
                <w:sz w:val="15"/>
              </w:rPr>
              <w:t>Pass</w:t>
              <w:br/>
              <w:t>Evidence: E2E job</w:t>
            </w:r>
          </w:p>
        </w:tc>
      </w:tr>
      <w:tr>
        <w:trPr>
          <w:cantSplit/>
        </w:trPr>
        <w:tc>
          <w:tcPr>
            <w:tcW w:type="dxa" w:w="800"/>
            <w:tcMar>
              <w:top w:w="80" w:type="dxa"/>
              <w:start w:w="120" w:type="dxa"/>
              <w:bottom w:w="80" w:type="dxa"/>
              <w:end w:w="120" w:type="dxa"/>
            </w:tcMar>
            <w:vAlign w:val="center"/>
          </w:tcPr>
          <w:p>
            <w:pPr>
              <w:spacing w:after="0" w:line="252" w:lineRule="auto"/>
              <w:jc w:val="center"/>
            </w:pPr>
            <w:r>
              <w:rPr>
                <w:rFonts w:ascii="Times New Roman" w:hAnsi="Times New Roman"/>
                <w:color w:val="202529"/>
                <w:sz w:val="15"/>
              </w:rPr>
              <w:t>TC-014</w:t>
            </w:r>
          </w:p>
        </w:tc>
        <w:tc>
          <w:tcPr>
            <w:tcW w:type="dxa" w:w="1450"/>
            <w:tcMar>
              <w:top w:w="80" w:type="dxa"/>
              <w:start w:w="120" w:type="dxa"/>
              <w:bottom w:w="80" w:type="dxa"/>
              <w:end w:w="120" w:type="dxa"/>
            </w:tcMar>
            <w:vAlign w:val="center"/>
          </w:tcPr>
          <w:p>
            <w:pPr>
              <w:spacing w:after="0" w:line="252" w:lineRule="auto"/>
              <w:jc w:val="left"/>
            </w:pPr>
            <w:r>
              <w:rPr>
                <w:rFonts w:ascii="Times New Roman" w:hAnsi="Times New Roman"/>
                <w:color w:val="202529"/>
                <w:sz w:val="15"/>
              </w:rPr>
              <w:t>ConfigMap listing</w:t>
            </w:r>
          </w:p>
        </w:tc>
        <w:tc>
          <w:tcPr>
            <w:tcW w:type="dxa" w:w="950"/>
            <w:tcMar>
              <w:top w:w="80" w:type="dxa"/>
              <w:start w:w="120" w:type="dxa"/>
              <w:bottom w:w="80" w:type="dxa"/>
              <w:end w:w="120" w:type="dxa"/>
            </w:tcMar>
            <w:vAlign w:val="center"/>
          </w:tcPr>
          <w:p>
            <w:pPr>
              <w:spacing w:after="0" w:line="252" w:lineRule="auto"/>
              <w:jc w:val="center"/>
            </w:pPr>
            <w:r>
              <w:rPr>
                <w:rFonts w:ascii="Times New Roman" w:hAnsi="Times New Roman"/>
                <w:color w:val="202529"/>
                <w:sz w:val="15"/>
              </w:rPr>
              <w:t>E2E</w:t>
            </w:r>
          </w:p>
        </w:tc>
        <w:tc>
          <w:tcPr>
            <w:tcW w:type="dxa" w:w="4000"/>
            <w:tcMar>
              <w:top w:w="80" w:type="dxa"/>
              <w:start w:w="120" w:type="dxa"/>
              <w:bottom w:w="80" w:type="dxa"/>
              <w:end w:w="120" w:type="dxa"/>
            </w:tcMar>
            <w:vAlign w:val="center"/>
          </w:tcPr>
          <w:p>
            <w:pPr>
              <w:spacing w:after="0" w:line="252" w:lineRule="auto"/>
              <w:jc w:val="left"/>
            </w:pPr>
            <w:r>
              <w:rPr>
                <w:rFonts w:ascii="Times New Roman" w:hAnsi="Times New Roman"/>
                <w:color w:val="202529"/>
                <w:sz w:val="15"/>
              </w:rPr>
              <w:t>Open ConfigMaps</w:t>
              <w:br/>
              <w:t>Expected: Names and data keys are visible</w:t>
            </w:r>
          </w:p>
        </w:tc>
        <w:tc>
          <w:tcPr>
            <w:tcW w:type="dxa" w:w="1350"/>
            <w:tcMar>
              <w:top w:w="80" w:type="dxa"/>
              <w:start w:w="120" w:type="dxa"/>
              <w:bottom w:w="80" w:type="dxa"/>
              <w:end w:w="120" w:type="dxa"/>
            </w:tcMar>
            <w:vAlign w:val="center"/>
          </w:tcPr>
          <w:p>
            <w:pPr>
              <w:spacing w:after="0" w:line="252" w:lineRule="auto"/>
              <w:jc w:val="center"/>
            </w:pPr>
            <w:r>
              <w:rPr>
                <w:rFonts w:ascii="Times New Roman" w:hAnsi="Times New Roman"/>
                <w:color w:val="202529"/>
                <w:sz w:val="15"/>
              </w:rPr>
              <w:t>Playwright</w:t>
            </w:r>
          </w:p>
        </w:tc>
        <w:tc>
          <w:tcPr>
            <w:tcW w:type="dxa" w:w="1950"/>
            <w:tcMar>
              <w:top w:w="80" w:type="dxa"/>
              <w:start w:w="120" w:type="dxa"/>
              <w:bottom w:w="80" w:type="dxa"/>
              <w:end w:w="120" w:type="dxa"/>
            </w:tcMar>
            <w:vAlign w:val="center"/>
          </w:tcPr>
          <w:p>
            <w:pPr>
              <w:spacing w:after="0" w:line="252" w:lineRule="auto"/>
              <w:jc w:val="left"/>
            </w:pPr>
            <w:r>
              <w:rPr>
                <w:rFonts w:ascii="Times New Roman" w:hAnsi="Times New Roman"/>
                <w:color w:val="202529"/>
                <w:sz w:val="15"/>
              </w:rPr>
              <w:t>Pass</w:t>
              <w:br/>
              <w:t>Evidence: E2E job</w:t>
            </w:r>
          </w:p>
        </w:tc>
      </w:tr>
      <w:tr>
        <w:trPr>
          <w:cantSplit/>
        </w:trPr>
        <w:tc>
          <w:tcPr>
            <w:tcW w:type="dxa" w:w="800"/>
            <w:tcMar>
              <w:top w:w="80" w:type="dxa"/>
              <w:start w:w="120" w:type="dxa"/>
              <w:bottom w:w="80" w:type="dxa"/>
              <w:end w:w="120" w:type="dxa"/>
            </w:tcMar>
            <w:vAlign w:val="center"/>
          </w:tcPr>
          <w:p>
            <w:pPr>
              <w:spacing w:after="0" w:line="252" w:lineRule="auto"/>
              <w:jc w:val="center"/>
            </w:pPr>
            <w:r>
              <w:rPr>
                <w:rFonts w:ascii="Times New Roman" w:hAnsi="Times New Roman"/>
                <w:color w:val="202529"/>
                <w:sz w:val="15"/>
              </w:rPr>
              <w:t>TC-015</w:t>
            </w:r>
          </w:p>
        </w:tc>
        <w:tc>
          <w:tcPr>
            <w:tcW w:type="dxa" w:w="1450"/>
            <w:tcMar>
              <w:top w:w="80" w:type="dxa"/>
              <w:start w:w="120" w:type="dxa"/>
              <w:bottom w:w="80" w:type="dxa"/>
              <w:end w:w="120" w:type="dxa"/>
            </w:tcMar>
            <w:vAlign w:val="center"/>
          </w:tcPr>
          <w:p>
            <w:pPr>
              <w:spacing w:after="0" w:line="252" w:lineRule="auto"/>
              <w:jc w:val="left"/>
            </w:pPr>
            <w:r>
              <w:rPr>
                <w:rFonts w:ascii="Times New Roman" w:hAnsi="Times New Roman"/>
                <w:color w:val="202529"/>
                <w:sz w:val="15"/>
              </w:rPr>
              <w:t>Secret masking</w:t>
            </w:r>
          </w:p>
        </w:tc>
        <w:tc>
          <w:tcPr>
            <w:tcW w:type="dxa" w:w="950"/>
            <w:tcMar>
              <w:top w:w="80" w:type="dxa"/>
              <w:start w:w="120" w:type="dxa"/>
              <w:bottom w:w="80" w:type="dxa"/>
              <w:end w:w="120" w:type="dxa"/>
            </w:tcMar>
            <w:vAlign w:val="center"/>
          </w:tcPr>
          <w:p>
            <w:pPr>
              <w:spacing w:after="0" w:line="252" w:lineRule="auto"/>
              <w:jc w:val="center"/>
            </w:pPr>
            <w:r>
              <w:rPr>
                <w:rFonts w:ascii="Times New Roman" w:hAnsi="Times New Roman"/>
                <w:color w:val="202529"/>
                <w:sz w:val="15"/>
              </w:rPr>
              <w:t>E2E</w:t>
            </w:r>
          </w:p>
        </w:tc>
        <w:tc>
          <w:tcPr>
            <w:tcW w:type="dxa" w:w="4000"/>
            <w:tcMar>
              <w:top w:w="80" w:type="dxa"/>
              <w:start w:w="120" w:type="dxa"/>
              <w:bottom w:w="80" w:type="dxa"/>
              <w:end w:w="120" w:type="dxa"/>
            </w:tcMar>
            <w:vAlign w:val="center"/>
          </w:tcPr>
          <w:p>
            <w:pPr>
              <w:spacing w:after="0" w:line="252" w:lineRule="auto"/>
              <w:jc w:val="left"/>
            </w:pPr>
            <w:r>
              <w:rPr>
                <w:rFonts w:ascii="Times New Roman" w:hAnsi="Times New Roman"/>
                <w:color w:val="202529"/>
                <w:sz w:val="15"/>
              </w:rPr>
              <w:t>Open Secrets without selecting Reveal</w:t>
              <w:br/>
              <w:t>Expected: Only metadata, key names and byte lengths are returned</w:t>
            </w:r>
          </w:p>
        </w:tc>
        <w:tc>
          <w:tcPr>
            <w:tcW w:type="dxa" w:w="1350"/>
            <w:tcMar>
              <w:top w:w="80" w:type="dxa"/>
              <w:start w:w="120" w:type="dxa"/>
              <w:bottom w:w="80" w:type="dxa"/>
              <w:end w:w="120" w:type="dxa"/>
            </w:tcMar>
            <w:vAlign w:val="center"/>
          </w:tcPr>
          <w:p>
            <w:pPr>
              <w:spacing w:after="0" w:line="252" w:lineRule="auto"/>
              <w:jc w:val="center"/>
            </w:pPr>
            <w:r>
              <w:rPr>
                <w:rFonts w:ascii="Times New Roman" w:hAnsi="Times New Roman"/>
                <w:color w:val="202529"/>
                <w:sz w:val="15"/>
              </w:rPr>
              <w:t>Playwright</w:t>
            </w:r>
          </w:p>
        </w:tc>
        <w:tc>
          <w:tcPr>
            <w:tcW w:type="dxa" w:w="1950"/>
            <w:tcMar>
              <w:top w:w="80" w:type="dxa"/>
              <w:start w:w="120" w:type="dxa"/>
              <w:bottom w:w="80" w:type="dxa"/>
              <w:end w:w="120" w:type="dxa"/>
            </w:tcMar>
            <w:vAlign w:val="center"/>
          </w:tcPr>
          <w:p>
            <w:pPr>
              <w:spacing w:after="0" w:line="252" w:lineRule="auto"/>
              <w:jc w:val="left"/>
            </w:pPr>
            <w:r>
              <w:rPr>
                <w:rFonts w:ascii="Times New Roman" w:hAnsi="Times New Roman"/>
                <w:color w:val="202529"/>
                <w:sz w:val="15"/>
              </w:rPr>
              <w:t>Pass</w:t>
              <w:br/>
              <w:t>Evidence: E2E job</w:t>
            </w:r>
          </w:p>
        </w:tc>
      </w:tr>
      <w:tr>
        <w:trPr>
          <w:cantSplit/>
        </w:trPr>
        <w:tc>
          <w:tcPr>
            <w:tcW w:type="dxa" w:w="800"/>
            <w:tcMar>
              <w:top w:w="80" w:type="dxa"/>
              <w:start w:w="120" w:type="dxa"/>
              <w:bottom w:w="80" w:type="dxa"/>
              <w:end w:w="120" w:type="dxa"/>
            </w:tcMar>
            <w:vAlign w:val="center"/>
          </w:tcPr>
          <w:p>
            <w:pPr>
              <w:spacing w:after="0" w:line="252" w:lineRule="auto"/>
              <w:jc w:val="center"/>
            </w:pPr>
            <w:r>
              <w:rPr>
                <w:rFonts w:ascii="Times New Roman" w:hAnsi="Times New Roman"/>
                <w:color w:val="202529"/>
                <w:sz w:val="15"/>
              </w:rPr>
              <w:t>TC-016</w:t>
            </w:r>
          </w:p>
        </w:tc>
        <w:tc>
          <w:tcPr>
            <w:tcW w:type="dxa" w:w="1450"/>
            <w:tcMar>
              <w:top w:w="80" w:type="dxa"/>
              <w:start w:w="120" w:type="dxa"/>
              <w:bottom w:w="80" w:type="dxa"/>
              <w:end w:w="120" w:type="dxa"/>
            </w:tcMar>
            <w:vAlign w:val="center"/>
          </w:tcPr>
          <w:p>
            <w:pPr>
              <w:spacing w:after="0" w:line="252" w:lineRule="auto"/>
              <w:jc w:val="left"/>
            </w:pPr>
            <w:r>
              <w:rPr>
                <w:rFonts w:ascii="Times New Roman" w:hAnsi="Times New Roman"/>
                <w:color w:val="202529"/>
                <w:sz w:val="15"/>
              </w:rPr>
              <w:t>Secret reveal</w:t>
            </w:r>
          </w:p>
        </w:tc>
        <w:tc>
          <w:tcPr>
            <w:tcW w:type="dxa" w:w="950"/>
            <w:tcMar>
              <w:top w:w="80" w:type="dxa"/>
              <w:start w:w="120" w:type="dxa"/>
              <w:bottom w:w="80" w:type="dxa"/>
              <w:end w:w="120" w:type="dxa"/>
            </w:tcMar>
            <w:vAlign w:val="center"/>
          </w:tcPr>
          <w:p>
            <w:pPr>
              <w:spacing w:after="0" w:line="252" w:lineRule="auto"/>
              <w:jc w:val="center"/>
            </w:pPr>
            <w:r>
              <w:rPr>
                <w:rFonts w:ascii="Times New Roman" w:hAnsi="Times New Roman"/>
                <w:color w:val="202529"/>
                <w:sz w:val="15"/>
              </w:rPr>
              <w:t>E2E</w:t>
            </w:r>
          </w:p>
        </w:tc>
        <w:tc>
          <w:tcPr>
            <w:tcW w:type="dxa" w:w="4000"/>
            <w:tcMar>
              <w:top w:w="80" w:type="dxa"/>
              <w:start w:w="120" w:type="dxa"/>
              <w:bottom w:w="80" w:type="dxa"/>
              <w:end w:w="120" w:type="dxa"/>
            </w:tcMar>
            <w:vAlign w:val="center"/>
          </w:tcPr>
          <w:p>
            <w:pPr>
              <w:spacing w:after="0" w:line="252" w:lineRule="auto"/>
              <w:jc w:val="left"/>
            </w:pPr>
            <w:r>
              <w:rPr>
                <w:rFonts w:ascii="Times New Roman" w:hAnsi="Times New Roman"/>
                <w:color w:val="202529"/>
                <w:sz w:val="15"/>
              </w:rPr>
              <w:t>Select Reveal on a fixture Secret</w:t>
              <w:br/>
              <w:t>Expected: A separate request returns values and Hide removes them</w:t>
            </w:r>
          </w:p>
        </w:tc>
        <w:tc>
          <w:tcPr>
            <w:tcW w:type="dxa" w:w="1350"/>
            <w:tcMar>
              <w:top w:w="80" w:type="dxa"/>
              <w:start w:w="120" w:type="dxa"/>
              <w:bottom w:w="80" w:type="dxa"/>
              <w:end w:w="120" w:type="dxa"/>
            </w:tcMar>
            <w:vAlign w:val="center"/>
          </w:tcPr>
          <w:p>
            <w:pPr>
              <w:spacing w:after="0" w:line="252" w:lineRule="auto"/>
              <w:jc w:val="center"/>
            </w:pPr>
            <w:r>
              <w:rPr>
                <w:rFonts w:ascii="Times New Roman" w:hAnsi="Times New Roman"/>
                <w:color w:val="202529"/>
                <w:sz w:val="15"/>
              </w:rPr>
              <w:t>Playwright</w:t>
            </w:r>
          </w:p>
        </w:tc>
        <w:tc>
          <w:tcPr>
            <w:tcW w:type="dxa" w:w="1950"/>
            <w:tcMar>
              <w:top w:w="80" w:type="dxa"/>
              <w:start w:w="120" w:type="dxa"/>
              <w:bottom w:w="80" w:type="dxa"/>
              <w:end w:w="120" w:type="dxa"/>
            </w:tcMar>
            <w:vAlign w:val="center"/>
          </w:tcPr>
          <w:p>
            <w:pPr>
              <w:spacing w:after="0" w:line="252" w:lineRule="auto"/>
              <w:jc w:val="left"/>
            </w:pPr>
            <w:r>
              <w:rPr>
                <w:rFonts w:ascii="Times New Roman" w:hAnsi="Times New Roman"/>
                <w:color w:val="202529"/>
                <w:sz w:val="15"/>
              </w:rPr>
              <w:t>Pass</w:t>
              <w:br/>
              <w:t>Evidence: E2E job</w:t>
              <w:br/>
              <w:t>Notes: Use non-sensitive fixtures only</w:t>
            </w:r>
          </w:p>
        </w:tc>
      </w:tr>
      <w:tr>
        <w:trPr>
          <w:cantSplit/>
        </w:trPr>
        <w:tc>
          <w:tcPr>
            <w:tcW w:type="dxa" w:w="800"/>
            <w:tcMar>
              <w:top w:w="80" w:type="dxa"/>
              <w:start w:w="120" w:type="dxa"/>
              <w:bottom w:w="80" w:type="dxa"/>
              <w:end w:w="120" w:type="dxa"/>
            </w:tcMar>
            <w:vAlign w:val="center"/>
          </w:tcPr>
          <w:p>
            <w:pPr>
              <w:spacing w:after="0" w:line="252" w:lineRule="auto"/>
              <w:jc w:val="center"/>
            </w:pPr>
            <w:r>
              <w:rPr>
                <w:rFonts w:ascii="Times New Roman" w:hAnsi="Times New Roman"/>
                <w:color w:val="202529"/>
                <w:sz w:val="15"/>
              </w:rPr>
              <w:t>TC-017</w:t>
            </w:r>
          </w:p>
        </w:tc>
        <w:tc>
          <w:tcPr>
            <w:tcW w:type="dxa" w:w="1450"/>
            <w:tcMar>
              <w:top w:w="80" w:type="dxa"/>
              <w:start w:w="120" w:type="dxa"/>
              <w:bottom w:w="80" w:type="dxa"/>
              <w:end w:w="120" w:type="dxa"/>
            </w:tcMar>
            <w:vAlign w:val="center"/>
          </w:tcPr>
          <w:p>
            <w:pPr>
              <w:spacing w:after="0" w:line="252" w:lineRule="auto"/>
              <w:jc w:val="left"/>
            </w:pPr>
            <w:r>
              <w:rPr>
                <w:rFonts w:ascii="Times New Roman" w:hAnsi="Times New Roman"/>
                <w:color w:val="202529"/>
                <w:sz w:val="15"/>
              </w:rPr>
              <w:t>Ingress listing</w:t>
            </w:r>
          </w:p>
        </w:tc>
        <w:tc>
          <w:tcPr>
            <w:tcW w:type="dxa" w:w="950"/>
            <w:tcMar>
              <w:top w:w="80" w:type="dxa"/>
              <w:start w:w="120" w:type="dxa"/>
              <w:bottom w:w="80" w:type="dxa"/>
              <w:end w:w="120" w:type="dxa"/>
            </w:tcMar>
            <w:vAlign w:val="center"/>
          </w:tcPr>
          <w:p>
            <w:pPr>
              <w:spacing w:after="0" w:line="252" w:lineRule="auto"/>
              <w:jc w:val="center"/>
            </w:pPr>
            <w:r>
              <w:rPr>
                <w:rFonts w:ascii="Times New Roman" w:hAnsi="Times New Roman"/>
                <w:color w:val="202529"/>
                <w:sz w:val="15"/>
              </w:rPr>
              <w:t>E2E</w:t>
            </w:r>
          </w:p>
        </w:tc>
        <w:tc>
          <w:tcPr>
            <w:tcW w:type="dxa" w:w="4000"/>
            <w:tcMar>
              <w:top w:w="80" w:type="dxa"/>
              <w:start w:w="120" w:type="dxa"/>
              <w:bottom w:w="80" w:type="dxa"/>
              <w:end w:w="120" w:type="dxa"/>
            </w:tcMar>
            <w:vAlign w:val="center"/>
          </w:tcPr>
          <w:p>
            <w:pPr>
              <w:spacing w:after="0" w:line="252" w:lineRule="auto"/>
              <w:jc w:val="left"/>
            </w:pPr>
            <w:r>
              <w:rPr>
                <w:rFonts w:ascii="Times New Roman" w:hAnsi="Times New Roman"/>
                <w:color w:val="202529"/>
                <w:sz w:val="15"/>
              </w:rPr>
              <w:t>Open Ingresses</w:t>
              <w:br/>
              <w:t>Expected: Class, hosts, paths, services and addresses are shown</w:t>
            </w:r>
          </w:p>
        </w:tc>
        <w:tc>
          <w:tcPr>
            <w:tcW w:type="dxa" w:w="1350"/>
            <w:tcMar>
              <w:top w:w="80" w:type="dxa"/>
              <w:start w:w="120" w:type="dxa"/>
              <w:bottom w:w="80" w:type="dxa"/>
              <w:end w:w="120" w:type="dxa"/>
            </w:tcMar>
            <w:vAlign w:val="center"/>
          </w:tcPr>
          <w:p>
            <w:pPr>
              <w:spacing w:after="0" w:line="252" w:lineRule="auto"/>
              <w:jc w:val="center"/>
            </w:pPr>
            <w:r>
              <w:rPr>
                <w:rFonts w:ascii="Times New Roman" w:hAnsi="Times New Roman"/>
                <w:color w:val="202529"/>
                <w:sz w:val="15"/>
              </w:rPr>
              <w:t>Playwright</w:t>
            </w:r>
          </w:p>
        </w:tc>
        <w:tc>
          <w:tcPr>
            <w:tcW w:type="dxa" w:w="1950"/>
            <w:tcMar>
              <w:top w:w="80" w:type="dxa"/>
              <w:start w:w="120" w:type="dxa"/>
              <w:bottom w:w="80" w:type="dxa"/>
              <w:end w:w="120" w:type="dxa"/>
            </w:tcMar>
            <w:vAlign w:val="center"/>
          </w:tcPr>
          <w:p>
            <w:pPr>
              <w:spacing w:after="0" w:line="252" w:lineRule="auto"/>
              <w:jc w:val="left"/>
            </w:pPr>
            <w:r>
              <w:rPr>
                <w:rFonts w:ascii="Times New Roman" w:hAnsi="Times New Roman"/>
                <w:color w:val="202529"/>
                <w:sz w:val="15"/>
              </w:rPr>
              <w:t>Pass</w:t>
              <w:br/>
              <w:t>Evidence: E2E job</w:t>
            </w:r>
          </w:p>
        </w:tc>
      </w:tr>
      <w:tr>
        <w:trPr>
          <w:cantSplit/>
        </w:trPr>
        <w:tc>
          <w:tcPr>
            <w:tcW w:type="dxa" w:w="800"/>
            <w:tcMar>
              <w:top w:w="80" w:type="dxa"/>
              <w:start w:w="120" w:type="dxa"/>
              <w:bottom w:w="80" w:type="dxa"/>
              <w:end w:w="120" w:type="dxa"/>
            </w:tcMar>
            <w:vAlign w:val="center"/>
          </w:tcPr>
          <w:p>
            <w:pPr>
              <w:spacing w:after="0" w:line="252" w:lineRule="auto"/>
              <w:jc w:val="center"/>
            </w:pPr>
            <w:r>
              <w:rPr>
                <w:rFonts w:ascii="Times New Roman" w:hAnsi="Times New Roman"/>
                <w:color w:val="202529"/>
                <w:sz w:val="15"/>
              </w:rPr>
              <w:t>TC-018</w:t>
            </w:r>
          </w:p>
        </w:tc>
        <w:tc>
          <w:tcPr>
            <w:tcW w:type="dxa" w:w="1450"/>
            <w:tcMar>
              <w:top w:w="80" w:type="dxa"/>
              <w:start w:w="120" w:type="dxa"/>
              <w:bottom w:w="80" w:type="dxa"/>
              <w:end w:w="120" w:type="dxa"/>
            </w:tcMar>
            <w:vAlign w:val="center"/>
          </w:tcPr>
          <w:p>
            <w:pPr>
              <w:spacing w:after="0" w:line="252" w:lineRule="auto"/>
              <w:jc w:val="left"/>
            </w:pPr>
            <w:r>
              <w:rPr>
                <w:rFonts w:ascii="Times New Roman" w:hAnsi="Times New Roman"/>
                <w:color w:val="202529"/>
                <w:sz w:val="15"/>
              </w:rPr>
              <w:t>StatefulSet listing</w:t>
            </w:r>
          </w:p>
        </w:tc>
        <w:tc>
          <w:tcPr>
            <w:tcW w:type="dxa" w:w="950"/>
            <w:tcMar>
              <w:top w:w="80" w:type="dxa"/>
              <w:start w:w="120" w:type="dxa"/>
              <w:bottom w:w="80" w:type="dxa"/>
              <w:end w:w="120" w:type="dxa"/>
            </w:tcMar>
            <w:vAlign w:val="center"/>
          </w:tcPr>
          <w:p>
            <w:pPr>
              <w:spacing w:after="0" w:line="252" w:lineRule="auto"/>
              <w:jc w:val="center"/>
            </w:pPr>
            <w:r>
              <w:rPr>
                <w:rFonts w:ascii="Times New Roman" w:hAnsi="Times New Roman"/>
                <w:color w:val="202529"/>
                <w:sz w:val="15"/>
              </w:rPr>
              <w:t>E2E</w:t>
            </w:r>
          </w:p>
        </w:tc>
        <w:tc>
          <w:tcPr>
            <w:tcW w:type="dxa" w:w="4000"/>
            <w:tcMar>
              <w:top w:w="80" w:type="dxa"/>
              <w:start w:w="120" w:type="dxa"/>
              <w:bottom w:w="80" w:type="dxa"/>
              <w:end w:w="120" w:type="dxa"/>
            </w:tcMar>
            <w:vAlign w:val="center"/>
          </w:tcPr>
          <w:p>
            <w:pPr>
              <w:spacing w:after="0" w:line="252" w:lineRule="auto"/>
              <w:jc w:val="left"/>
            </w:pPr>
            <w:r>
              <w:rPr>
                <w:rFonts w:ascii="Times New Roman" w:hAnsi="Times New Roman"/>
                <w:color w:val="202529"/>
                <w:sz w:val="15"/>
              </w:rPr>
              <w:t>Open StatefulSets</w:t>
              <w:br/>
              <w:t>Expected: Service and replica state match the fixture</w:t>
            </w:r>
          </w:p>
        </w:tc>
        <w:tc>
          <w:tcPr>
            <w:tcW w:type="dxa" w:w="1350"/>
            <w:tcMar>
              <w:top w:w="80" w:type="dxa"/>
              <w:start w:w="120" w:type="dxa"/>
              <w:bottom w:w="80" w:type="dxa"/>
              <w:end w:w="120" w:type="dxa"/>
            </w:tcMar>
            <w:vAlign w:val="center"/>
          </w:tcPr>
          <w:p>
            <w:pPr>
              <w:spacing w:after="0" w:line="252" w:lineRule="auto"/>
              <w:jc w:val="center"/>
            </w:pPr>
            <w:r>
              <w:rPr>
                <w:rFonts w:ascii="Times New Roman" w:hAnsi="Times New Roman"/>
                <w:color w:val="202529"/>
                <w:sz w:val="15"/>
              </w:rPr>
              <w:t>Playwright</w:t>
            </w:r>
          </w:p>
        </w:tc>
        <w:tc>
          <w:tcPr>
            <w:tcW w:type="dxa" w:w="1950"/>
            <w:tcMar>
              <w:top w:w="80" w:type="dxa"/>
              <w:start w:w="120" w:type="dxa"/>
              <w:bottom w:w="80" w:type="dxa"/>
              <w:end w:w="120" w:type="dxa"/>
            </w:tcMar>
            <w:vAlign w:val="center"/>
          </w:tcPr>
          <w:p>
            <w:pPr>
              <w:spacing w:after="0" w:line="252" w:lineRule="auto"/>
              <w:jc w:val="left"/>
            </w:pPr>
            <w:r>
              <w:rPr>
                <w:rFonts w:ascii="Times New Roman" w:hAnsi="Times New Roman"/>
                <w:color w:val="202529"/>
                <w:sz w:val="15"/>
              </w:rPr>
              <w:t>Pass</w:t>
              <w:br/>
              <w:t>Evidence: E2E job</w:t>
            </w:r>
          </w:p>
        </w:tc>
      </w:tr>
      <w:tr>
        <w:trPr>
          <w:cantSplit/>
        </w:trPr>
        <w:tc>
          <w:tcPr>
            <w:tcW w:type="dxa" w:w="800"/>
            <w:tcMar>
              <w:top w:w="80" w:type="dxa"/>
              <w:start w:w="120" w:type="dxa"/>
              <w:bottom w:w="80" w:type="dxa"/>
              <w:end w:w="120" w:type="dxa"/>
            </w:tcMar>
            <w:vAlign w:val="center"/>
          </w:tcPr>
          <w:p>
            <w:pPr>
              <w:spacing w:after="0" w:line="252" w:lineRule="auto"/>
              <w:jc w:val="center"/>
            </w:pPr>
            <w:r>
              <w:rPr>
                <w:rFonts w:ascii="Times New Roman" w:hAnsi="Times New Roman"/>
                <w:color w:val="202529"/>
                <w:sz w:val="15"/>
              </w:rPr>
              <w:t>TC-019</w:t>
            </w:r>
          </w:p>
        </w:tc>
        <w:tc>
          <w:tcPr>
            <w:tcW w:type="dxa" w:w="1450"/>
            <w:tcMar>
              <w:top w:w="80" w:type="dxa"/>
              <w:start w:w="120" w:type="dxa"/>
              <w:bottom w:w="80" w:type="dxa"/>
              <w:end w:w="120" w:type="dxa"/>
            </w:tcMar>
            <w:vAlign w:val="center"/>
          </w:tcPr>
          <w:p>
            <w:pPr>
              <w:spacing w:after="0" w:line="252" w:lineRule="auto"/>
              <w:jc w:val="left"/>
            </w:pPr>
            <w:r>
              <w:rPr>
                <w:rFonts w:ascii="Times New Roman" w:hAnsi="Times New Roman"/>
                <w:color w:val="202529"/>
                <w:sz w:val="15"/>
              </w:rPr>
              <w:t>DaemonSet listing</w:t>
            </w:r>
          </w:p>
        </w:tc>
        <w:tc>
          <w:tcPr>
            <w:tcW w:type="dxa" w:w="950"/>
            <w:tcMar>
              <w:top w:w="80" w:type="dxa"/>
              <w:start w:w="120" w:type="dxa"/>
              <w:bottom w:w="80" w:type="dxa"/>
              <w:end w:w="120" w:type="dxa"/>
            </w:tcMar>
            <w:vAlign w:val="center"/>
          </w:tcPr>
          <w:p>
            <w:pPr>
              <w:spacing w:after="0" w:line="252" w:lineRule="auto"/>
              <w:jc w:val="center"/>
            </w:pPr>
            <w:r>
              <w:rPr>
                <w:rFonts w:ascii="Times New Roman" w:hAnsi="Times New Roman"/>
                <w:color w:val="202529"/>
                <w:sz w:val="15"/>
              </w:rPr>
              <w:t>E2E</w:t>
            </w:r>
          </w:p>
        </w:tc>
        <w:tc>
          <w:tcPr>
            <w:tcW w:type="dxa" w:w="4000"/>
            <w:tcMar>
              <w:top w:w="80" w:type="dxa"/>
              <w:start w:w="120" w:type="dxa"/>
              <w:bottom w:w="80" w:type="dxa"/>
              <w:end w:w="120" w:type="dxa"/>
            </w:tcMar>
            <w:vAlign w:val="center"/>
          </w:tcPr>
          <w:p>
            <w:pPr>
              <w:spacing w:after="0" w:line="252" w:lineRule="auto"/>
              <w:jc w:val="left"/>
            </w:pPr>
            <w:r>
              <w:rPr>
                <w:rFonts w:ascii="Times New Roman" w:hAnsi="Times New Roman"/>
                <w:color w:val="202529"/>
                <w:sz w:val="15"/>
              </w:rPr>
              <w:t>Open DaemonSets</w:t>
              <w:br/>
              <w:t>Expected: Desired, current, ready and available counts are shown</w:t>
            </w:r>
          </w:p>
        </w:tc>
        <w:tc>
          <w:tcPr>
            <w:tcW w:type="dxa" w:w="1350"/>
            <w:tcMar>
              <w:top w:w="80" w:type="dxa"/>
              <w:start w:w="120" w:type="dxa"/>
              <w:bottom w:w="80" w:type="dxa"/>
              <w:end w:w="120" w:type="dxa"/>
            </w:tcMar>
            <w:vAlign w:val="center"/>
          </w:tcPr>
          <w:p>
            <w:pPr>
              <w:spacing w:after="0" w:line="252" w:lineRule="auto"/>
              <w:jc w:val="center"/>
            </w:pPr>
            <w:r>
              <w:rPr>
                <w:rFonts w:ascii="Times New Roman" w:hAnsi="Times New Roman"/>
                <w:color w:val="202529"/>
                <w:sz w:val="15"/>
              </w:rPr>
              <w:t>Playwright</w:t>
            </w:r>
          </w:p>
        </w:tc>
        <w:tc>
          <w:tcPr>
            <w:tcW w:type="dxa" w:w="1950"/>
            <w:tcMar>
              <w:top w:w="80" w:type="dxa"/>
              <w:start w:w="120" w:type="dxa"/>
              <w:bottom w:w="80" w:type="dxa"/>
              <w:end w:w="120" w:type="dxa"/>
            </w:tcMar>
            <w:vAlign w:val="center"/>
          </w:tcPr>
          <w:p>
            <w:pPr>
              <w:spacing w:after="0" w:line="252" w:lineRule="auto"/>
              <w:jc w:val="left"/>
            </w:pPr>
            <w:r>
              <w:rPr>
                <w:rFonts w:ascii="Times New Roman" w:hAnsi="Times New Roman"/>
                <w:color w:val="202529"/>
                <w:sz w:val="15"/>
              </w:rPr>
              <w:t>Pass</w:t>
              <w:br/>
              <w:t>Evidence: E2E job</w:t>
            </w:r>
          </w:p>
        </w:tc>
      </w:tr>
      <w:tr>
        <w:trPr>
          <w:cantSplit/>
        </w:trPr>
        <w:tc>
          <w:tcPr>
            <w:tcW w:type="dxa" w:w="800"/>
            <w:tcMar>
              <w:top w:w="80" w:type="dxa"/>
              <w:start w:w="120" w:type="dxa"/>
              <w:bottom w:w="80" w:type="dxa"/>
              <w:end w:w="120" w:type="dxa"/>
            </w:tcMar>
            <w:vAlign w:val="center"/>
          </w:tcPr>
          <w:p>
            <w:pPr>
              <w:spacing w:after="0" w:line="252" w:lineRule="auto"/>
              <w:jc w:val="center"/>
            </w:pPr>
            <w:r>
              <w:rPr>
                <w:rFonts w:ascii="Times New Roman" w:hAnsi="Times New Roman"/>
                <w:color w:val="202529"/>
                <w:sz w:val="15"/>
              </w:rPr>
              <w:t>TC-020</w:t>
            </w:r>
          </w:p>
        </w:tc>
        <w:tc>
          <w:tcPr>
            <w:tcW w:type="dxa" w:w="1450"/>
            <w:tcMar>
              <w:top w:w="80" w:type="dxa"/>
              <w:start w:w="120" w:type="dxa"/>
              <w:bottom w:w="80" w:type="dxa"/>
              <w:end w:w="120" w:type="dxa"/>
            </w:tcMar>
            <w:vAlign w:val="center"/>
          </w:tcPr>
          <w:p>
            <w:pPr>
              <w:spacing w:after="0" w:line="252" w:lineRule="auto"/>
              <w:jc w:val="left"/>
            </w:pPr>
            <w:r>
              <w:rPr>
                <w:rFonts w:ascii="Times New Roman" w:hAnsi="Times New Roman"/>
                <w:color w:val="202529"/>
                <w:sz w:val="15"/>
              </w:rPr>
              <w:t>Live row reconciliation</w:t>
            </w:r>
          </w:p>
        </w:tc>
        <w:tc>
          <w:tcPr>
            <w:tcW w:type="dxa" w:w="950"/>
            <w:tcMar>
              <w:top w:w="80" w:type="dxa"/>
              <w:start w:w="120" w:type="dxa"/>
              <w:bottom w:w="80" w:type="dxa"/>
              <w:end w:w="120" w:type="dxa"/>
            </w:tcMar>
            <w:vAlign w:val="center"/>
          </w:tcPr>
          <w:p>
            <w:pPr>
              <w:spacing w:after="0" w:line="252" w:lineRule="auto"/>
              <w:jc w:val="center"/>
            </w:pPr>
            <w:r>
              <w:rPr>
                <w:rFonts w:ascii="Times New Roman" w:hAnsi="Times New Roman"/>
                <w:color w:val="202529"/>
                <w:sz w:val="15"/>
              </w:rPr>
              <w:t>E2E</w:t>
            </w:r>
          </w:p>
        </w:tc>
        <w:tc>
          <w:tcPr>
            <w:tcW w:type="dxa" w:w="4000"/>
            <w:tcMar>
              <w:top w:w="80" w:type="dxa"/>
              <w:start w:w="120" w:type="dxa"/>
              <w:bottom w:w="80" w:type="dxa"/>
              <w:end w:w="120" w:type="dxa"/>
            </w:tcMar>
            <w:vAlign w:val="center"/>
          </w:tcPr>
          <w:p>
            <w:pPr>
              <w:spacing w:after="0" w:line="252" w:lineRule="auto"/>
              <w:jc w:val="left"/>
            </w:pPr>
            <w:r>
              <w:rPr>
                <w:rFonts w:ascii="Times New Roman" w:hAnsi="Times New Roman"/>
                <w:color w:val="202529"/>
                <w:sz w:val="15"/>
              </w:rPr>
              <w:t>Change a watched Kubernetes resource</w:t>
              <w:br/>
              <w:t>Expected: The corresponding row updates without full-page reload</w:t>
            </w:r>
          </w:p>
        </w:tc>
        <w:tc>
          <w:tcPr>
            <w:tcW w:type="dxa" w:w="1350"/>
            <w:tcMar>
              <w:top w:w="80" w:type="dxa"/>
              <w:start w:w="120" w:type="dxa"/>
              <w:bottom w:w="80" w:type="dxa"/>
              <w:end w:w="120" w:type="dxa"/>
            </w:tcMar>
            <w:vAlign w:val="center"/>
          </w:tcPr>
          <w:p>
            <w:pPr>
              <w:spacing w:after="0" w:line="252" w:lineRule="auto"/>
              <w:jc w:val="center"/>
            </w:pPr>
            <w:r>
              <w:rPr>
                <w:rFonts w:ascii="Times New Roman" w:hAnsi="Times New Roman"/>
                <w:color w:val="202529"/>
                <w:sz w:val="15"/>
              </w:rPr>
              <w:t>Playwright</w:t>
            </w:r>
          </w:p>
        </w:tc>
        <w:tc>
          <w:tcPr>
            <w:tcW w:type="dxa" w:w="1950"/>
            <w:tcMar>
              <w:top w:w="80" w:type="dxa"/>
              <w:start w:w="120" w:type="dxa"/>
              <w:bottom w:w="80" w:type="dxa"/>
              <w:end w:w="120" w:type="dxa"/>
            </w:tcMar>
            <w:vAlign w:val="center"/>
          </w:tcPr>
          <w:p>
            <w:pPr>
              <w:spacing w:after="0" w:line="252" w:lineRule="auto"/>
              <w:jc w:val="left"/>
            </w:pPr>
            <w:r>
              <w:rPr>
                <w:rFonts w:ascii="Times New Roman" w:hAnsi="Times New Roman"/>
                <w:color w:val="202529"/>
                <w:sz w:val="15"/>
              </w:rPr>
              <w:t>Pass</w:t>
              <w:br/>
              <w:t>Evidence: E2E job</w:t>
            </w:r>
          </w:p>
        </w:tc>
      </w:tr>
      <w:tr>
        <w:trPr>
          <w:cantSplit/>
        </w:trPr>
        <w:tc>
          <w:tcPr>
            <w:tcW w:type="dxa" w:w="800"/>
            <w:tcMar>
              <w:top w:w="80" w:type="dxa"/>
              <w:start w:w="120" w:type="dxa"/>
              <w:bottom w:w="80" w:type="dxa"/>
              <w:end w:w="120" w:type="dxa"/>
            </w:tcMar>
            <w:vAlign w:val="center"/>
          </w:tcPr>
          <w:p>
            <w:pPr>
              <w:spacing w:after="0" w:line="252" w:lineRule="auto"/>
              <w:jc w:val="center"/>
            </w:pPr>
            <w:r>
              <w:rPr>
                <w:rFonts w:ascii="Times New Roman" w:hAnsi="Times New Roman"/>
                <w:color w:val="202529"/>
                <w:sz w:val="15"/>
              </w:rPr>
              <w:t>TC-021</w:t>
            </w:r>
          </w:p>
        </w:tc>
        <w:tc>
          <w:tcPr>
            <w:tcW w:type="dxa" w:w="1450"/>
            <w:tcMar>
              <w:top w:w="80" w:type="dxa"/>
              <w:start w:w="120" w:type="dxa"/>
              <w:bottom w:w="80" w:type="dxa"/>
              <w:end w:w="120" w:type="dxa"/>
            </w:tcMar>
            <w:vAlign w:val="center"/>
          </w:tcPr>
          <w:p>
            <w:pPr>
              <w:spacing w:after="0" w:line="252" w:lineRule="auto"/>
              <w:jc w:val="left"/>
            </w:pPr>
            <w:r>
              <w:rPr>
                <w:rFonts w:ascii="Times New Roman" w:hAnsi="Times New Roman"/>
                <w:color w:val="202529"/>
                <w:sz w:val="15"/>
              </w:rPr>
              <w:t>Watch cleanup</w:t>
            </w:r>
          </w:p>
        </w:tc>
        <w:tc>
          <w:tcPr>
            <w:tcW w:type="dxa" w:w="950"/>
            <w:tcMar>
              <w:top w:w="80" w:type="dxa"/>
              <w:start w:w="120" w:type="dxa"/>
              <w:bottom w:w="80" w:type="dxa"/>
              <w:end w:w="120" w:type="dxa"/>
            </w:tcMar>
            <w:vAlign w:val="center"/>
          </w:tcPr>
          <w:p>
            <w:pPr>
              <w:spacing w:after="0" w:line="252" w:lineRule="auto"/>
              <w:jc w:val="center"/>
            </w:pPr>
            <w:r>
              <w:rPr>
                <w:rFonts w:ascii="Times New Roman" w:hAnsi="Times New Roman"/>
                <w:color w:val="202529"/>
                <w:sz w:val="15"/>
              </w:rPr>
              <w:t>Backend</w:t>
            </w:r>
          </w:p>
        </w:tc>
        <w:tc>
          <w:tcPr>
            <w:tcW w:type="dxa" w:w="4000"/>
            <w:tcMar>
              <w:top w:w="80" w:type="dxa"/>
              <w:start w:w="120" w:type="dxa"/>
              <w:bottom w:w="80" w:type="dxa"/>
              <w:end w:w="120" w:type="dxa"/>
            </w:tcMar>
            <w:vAlign w:val="center"/>
          </w:tcPr>
          <w:p>
            <w:pPr>
              <w:spacing w:after="0" w:line="252" w:lineRule="auto"/>
              <w:jc w:val="left"/>
            </w:pPr>
            <w:r>
              <w:rPr>
                <w:rFonts w:ascii="Times New Roman" w:hAnsi="Times New Roman"/>
                <w:color w:val="202529"/>
                <w:sz w:val="15"/>
              </w:rPr>
              <w:t>Disconnect an SSE client</w:t>
              <w:br/>
              <w:t>Expected: Associated Kubernetes watches stop</w:t>
            </w:r>
          </w:p>
        </w:tc>
        <w:tc>
          <w:tcPr>
            <w:tcW w:type="dxa" w:w="1350"/>
            <w:tcMar>
              <w:top w:w="80" w:type="dxa"/>
              <w:start w:w="120" w:type="dxa"/>
              <w:bottom w:w="80" w:type="dxa"/>
              <w:end w:w="120" w:type="dxa"/>
            </w:tcMar>
            <w:vAlign w:val="center"/>
          </w:tcPr>
          <w:p>
            <w:pPr>
              <w:spacing w:after="0" w:line="252" w:lineRule="auto"/>
              <w:jc w:val="center"/>
            </w:pPr>
            <w:r>
              <w:rPr>
                <w:rFonts w:ascii="Times New Roman" w:hAnsi="Times New Roman"/>
                <w:color w:val="202529"/>
                <w:sz w:val="15"/>
              </w:rPr>
              <w:t>Go unit</w:t>
            </w:r>
          </w:p>
        </w:tc>
        <w:tc>
          <w:tcPr>
            <w:tcW w:type="dxa" w:w="1950"/>
            <w:tcMar>
              <w:top w:w="80" w:type="dxa"/>
              <w:start w:w="120" w:type="dxa"/>
              <w:bottom w:w="80" w:type="dxa"/>
              <w:end w:w="120" w:type="dxa"/>
            </w:tcMar>
            <w:vAlign w:val="center"/>
          </w:tcPr>
          <w:p>
            <w:pPr>
              <w:spacing w:after="0" w:line="252" w:lineRule="auto"/>
              <w:jc w:val="left"/>
            </w:pPr>
            <w:r>
              <w:rPr>
                <w:rFonts w:ascii="Times New Roman" w:hAnsi="Times New Roman"/>
                <w:color w:val="202529"/>
                <w:sz w:val="15"/>
              </w:rPr>
              <w:t>Pass</w:t>
              <w:br/>
              <w:t>Evidence: Backend tests job</w:t>
            </w:r>
          </w:p>
        </w:tc>
      </w:tr>
      <w:tr>
        <w:trPr>
          <w:cantSplit/>
        </w:trPr>
        <w:tc>
          <w:tcPr>
            <w:tcW w:type="dxa" w:w="800"/>
            <w:tcMar>
              <w:top w:w="80" w:type="dxa"/>
              <w:start w:w="120" w:type="dxa"/>
              <w:bottom w:w="80" w:type="dxa"/>
              <w:end w:w="120" w:type="dxa"/>
            </w:tcMar>
            <w:vAlign w:val="center"/>
          </w:tcPr>
          <w:p>
            <w:pPr>
              <w:spacing w:after="0" w:line="252" w:lineRule="auto"/>
              <w:jc w:val="center"/>
            </w:pPr>
            <w:r>
              <w:rPr>
                <w:rFonts w:ascii="Times New Roman" w:hAnsi="Times New Roman"/>
                <w:color w:val="202529"/>
                <w:sz w:val="15"/>
              </w:rPr>
              <w:t>TC-022</w:t>
            </w:r>
          </w:p>
        </w:tc>
        <w:tc>
          <w:tcPr>
            <w:tcW w:type="dxa" w:w="1450"/>
            <w:tcMar>
              <w:top w:w="80" w:type="dxa"/>
              <w:start w:w="120" w:type="dxa"/>
              <w:bottom w:w="80" w:type="dxa"/>
              <w:end w:w="120" w:type="dxa"/>
            </w:tcMar>
            <w:vAlign w:val="center"/>
          </w:tcPr>
          <w:p>
            <w:pPr>
              <w:spacing w:after="0" w:line="252" w:lineRule="auto"/>
              <w:jc w:val="left"/>
            </w:pPr>
            <w:r>
              <w:rPr>
                <w:rFonts w:ascii="Times New Roman" w:hAnsi="Times New Roman"/>
                <w:color w:val="202529"/>
                <w:sz w:val="15"/>
              </w:rPr>
              <w:t>Watch expiry recovery</w:t>
            </w:r>
          </w:p>
        </w:tc>
        <w:tc>
          <w:tcPr>
            <w:tcW w:type="dxa" w:w="950"/>
            <w:tcMar>
              <w:top w:w="80" w:type="dxa"/>
              <w:start w:w="120" w:type="dxa"/>
              <w:bottom w:w="80" w:type="dxa"/>
              <w:end w:w="120" w:type="dxa"/>
            </w:tcMar>
            <w:vAlign w:val="center"/>
          </w:tcPr>
          <w:p>
            <w:pPr>
              <w:spacing w:after="0" w:line="252" w:lineRule="auto"/>
              <w:jc w:val="center"/>
            </w:pPr>
            <w:r>
              <w:rPr>
                <w:rFonts w:ascii="Times New Roman" w:hAnsi="Times New Roman"/>
                <w:color w:val="202529"/>
                <w:sz w:val="15"/>
              </w:rPr>
              <w:t>Backend</w:t>
            </w:r>
          </w:p>
        </w:tc>
        <w:tc>
          <w:tcPr>
            <w:tcW w:type="dxa" w:w="4000"/>
            <w:tcMar>
              <w:top w:w="80" w:type="dxa"/>
              <w:start w:w="120" w:type="dxa"/>
              <w:bottom w:w="80" w:type="dxa"/>
              <w:end w:w="120" w:type="dxa"/>
            </w:tcMar>
            <w:vAlign w:val="center"/>
          </w:tcPr>
          <w:p>
            <w:pPr>
              <w:spacing w:after="0" w:line="252" w:lineRule="auto"/>
              <w:jc w:val="left"/>
            </w:pPr>
            <w:r>
              <w:rPr>
                <w:rFonts w:ascii="Times New Roman" w:hAnsi="Times New Roman"/>
                <w:color w:val="202529"/>
                <w:sz w:val="15"/>
              </w:rPr>
              <w:t>Close or expire a watch</w:t>
              <w:br/>
              <w:t>Expected: SSE response ends and browser reconnect path remains available</w:t>
            </w:r>
          </w:p>
        </w:tc>
        <w:tc>
          <w:tcPr>
            <w:tcW w:type="dxa" w:w="1350"/>
            <w:tcMar>
              <w:top w:w="80" w:type="dxa"/>
              <w:start w:w="120" w:type="dxa"/>
              <w:bottom w:w="80" w:type="dxa"/>
              <w:end w:w="120" w:type="dxa"/>
            </w:tcMar>
            <w:vAlign w:val="center"/>
          </w:tcPr>
          <w:p>
            <w:pPr>
              <w:spacing w:after="0" w:line="252" w:lineRule="auto"/>
              <w:jc w:val="center"/>
            </w:pPr>
            <w:r>
              <w:rPr>
                <w:rFonts w:ascii="Times New Roman" w:hAnsi="Times New Roman"/>
                <w:color w:val="202529"/>
                <w:sz w:val="15"/>
              </w:rPr>
              <w:t>Go unit</w:t>
            </w:r>
          </w:p>
        </w:tc>
        <w:tc>
          <w:tcPr>
            <w:tcW w:type="dxa" w:w="1950"/>
            <w:tcMar>
              <w:top w:w="80" w:type="dxa"/>
              <w:start w:w="120" w:type="dxa"/>
              <w:bottom w:w="80" w:type="dxa"/>
              <w:end w:w="120" w:type="dxa"/>
            </w:tcMar>
            <w:vAlign w:val="center"/>
          </w:tcPr>
          <w:p>
            <w:pPr>
              <w:spacing w:after="0" w:line="252" w:lineRule="auto"/>
              <w:jc w:val="left"/>
            </w:pPr>
            <w:r>
              <w:rPr>
                <w:rFonts w:ascii="Times New Roman" w:hAnsi="Times New Roman"/>
                <w:color w:val="202529"/>
                <w:sz w:val="15"/>
              </w:rPr>
              <w:t>Pass</w:t>
              <w:br/>
              <w:t>Evidence: Backend tests job</w:t>
            </w:r>
          </w:p>
        </w:tc>
      </w:tr>
      <w:tr>
        <w:trPr>
          <w:cantSplit/>
        </w:trPr>
        <w:tc>
          <w:tcPr>
            <w:tcW w:type="dxa" w:w="800"/>
            <w:tcMar>
              <w:top w:w="80" w:type="dxa"/>
              <w:start w:w="120" w:type="dxa"/>
              <w:bottom w:w="80" w:type="dxa"/>
              <w:end w:w="120" w:type="dxa"/>
            </w:tcMar>
            <w:vAlign w:val="center"/>
          </w:tcPr>
          <w:p>
            <w:pPr>
              <w:spacing w:after="0" w:line="252" w:lineRule="auto"/>
              <w:jc w:val="center"/>
            </w:pPr>
            <w:r>
              <w:rPr>
                <w:rFonts w:ascii="Times New Roman" w:hAnsi="Times New Roman"/>
                <w:color w:val="202529"/>
                <w:sz w:val="15"/>
              </w:rPr>
              <w:t>TC-023</w:t>
            </w:r>
          </w:p>
        </w:tc>
        <w:tc>
          <w:tcPr>
            <w:tcW w:type="dxa" w:w="1450"/>
            <w:tcMar>
              <w:top w:w="80" w:type="dxa"/>
              <w:start w:w="120" w:type="dxa"/>
              <w:bottom w:w="80" w:type="dxa"/>
              <w:end w:w="120" w:type="dxa"/>
            </w:tcMar>
            <w:vAlign w:val="center"/>
          </w:tcPr>
          <w:p>
            <w:pPr>
              <w:spacing w:after="0" w:line="252" w:lineRule="auto"/>
              <w:jc w:val="left"/>
            </w:pPr>
            <w:r>
              <w:rPr>
                <w:rFonts w:ascii="Times New Roman" w:hAnsi="Times New Roman"/>
                <w:color w:val="202529"/>
                <w:sz w:val="15"/>
              </w:rPr>
              <w:t>Context enumeration</w:t>
            </w:r>
          </w:p>
        </w:tc>
        <w:tc>
          <w:tcPr>
            <w:tcW w:type="dxa" w:w="950"/>
            <w:tcMar>
              <w:top w:w="80" w:type="dxa"/>
              <w:start w:w="120" w:type="dxa"/>
              <w:bottom w:w="80" w:type="dxa"/>
              <w:end w:w="120" w:type="dxa"/>
            </w:tcMar>
            <w:vAlign w:val="center"/>
          </w:tcPr>
          <w:p>
            <w:pPr>
              <w:spacing w:after="0" w:line="252" w:lineRule="auto"/>
              <w:jc w:val="center"/>
            </w:pPr>
            <w:r>
              <w:rPr>
                <w:rFonts w:ascii="Times New Roman" w:hAnsi="Times New Roman"/>
                <w:color w:val="202529"/>
                <w:sz w:val="15"/>
              </w:rPr>
              <w:t>Backend</w:t>
            </w:r>
          </w:p>
        </w:tc>
        <w:tc>
          <w:tcPr>
            <w:tcW w:type="dxa" w:w="4000"/>
            <w:tcMar>
              <w:top w:w="80" w:type="dxa"/>
              <w:start w:w="120" w:type="dxa"/>
              <w:bottom w:w="80" w:type="dxa"/>
              <w:end w:w="120" w:type="dxa"/>
            </w:tcMar>
            <w:vAlign w:val="center"/>
          </w:tcPr>
          <w:p>
            <w:pPr>
              <w:spacing w:after="0" w:line="252" w:lineRule="auto"/>
              <w:jc w:val="left"/>
            </w:pPr>
            <w:r>
              <w:rPr>
                <w:rFonts w:ascii="Times New Roman" w:hAnsi="Times New Roman"/>
                <w:color w:val="202529"/>
                <w:sz w:val="15"/>
              </w:rPr>
              <w:t>Load a kubeconfig with multiple contexts</w:t>
              <w:br/>
              <w:t>Expected: Contexts are sorted and current context is marked</w:t>
            </w:r>
          </w:p>
        </w:tc>
        <w:tc>
          <w:tcPr>
            <w:tcW w:type="dxa" w:w="1350"/>
            <w:tcMar>
              <w:top w:w="80" w:type="dxa"/>
              <w:start w:w="120" w:type="dxa"/>
              <w:bottom w:w="80" w:type="dxa"/>
              <w:end w:w="120" w:type="dxa"/>
            </w:tcMar>
            <w:vAlign w:val="center"/>
          </w:tcPr>
          <w:p>
            <w:pPr>
              <w:spacing w:after="0" w:line="252" w:lineRule="auto"/>
              <w:jc w:val="center"/>
            </w:pPr>
            <w:r>
              <w:rPr>
                <w:rFonts w:ascii="Times New Roman" w:hAnsi="Times New Roman"/>
                <w:color w:val="202529"/>
                <w:sz w:val="15"/>
              </w:rPr>
              <w:t>Go unit</w:t>
            </w:r>
          </w:p>
        </w:tc>
        <w:tc>
          <w:tcPr>
            <w:tcW w:type="dxa" w:w="1950"/>
            <w:tcMar>
              <w:top w:w="80" w:type="dxa"/>
              <w:start w:w="120" w:type="dxa"/>
              <w:bottom w:w="80" w:type="dxa"/>
              <w:end w:w="120" w:type="dxa"/>
            </w:tcMar>
            <w:vAlign w:val="center"/>
          </w:tcPr>
          <w:p>
            <w:pPr>
              <w:spacing w:after="0" w:line="252" w:lineRule="auto"/>
              <w:jc w:val="left"/>
            </w:pPr>
            <w:r>
              <w:rPr>
                <w:rFonts w:ascii="Times New Roman" w:hAnsi="Times New Roman"/>
                <w:color w:val="202529"/>
                <w:sz w:val="15"/>
              </w:rPr>
              <w:t>Pass</w:t>
              <w:br/>
              <w:t>Evidence: Backend tests job</w:t>
            </w:r>
          </w:p>
        </w:tc>
      </w:tr>
      <w:tr>
        <w:trPr>
          <w:cantSplit/>
        </w:trPr>
        <w:tc>
          <w:tcPr>
            <w:tcW w:type="dxa" w:w="800"/>
            <w:tcMar>
              <w:top w:w="80" w:type="dxa"/>
              <w:start w:w="120" w:type="dxa"/>
              <w:bottom w:w="80" w:type="dxa"/>
              <w:end w:w="120" w:type="dxa"/>
            </w:tcMar>
            <w:vAlign w:val="center"/>
          </w:tcPr>
          <w:p>
            <w:pPr>
              <w:spacing w:after="0" w:line="252" w:lineRule="auto"/>
              <w:jc w:val="center"/>
            </w:pPr>
            <w:r>
              <w:rPr>
                <w:rFonts w:ascii="Times New Roman" w:hAnsi="Times New Roman"/>
                <w:color w:val="202529"/>
                <w:sz w:val="15"/>
              </w:rPr>
              <w:t>TC-024</w:t>
            </w:r>
          </w:p>
        </w:tc>
        <w:tc>
          <w:tcPr>
            <w:tcW w:type="dxa" w:w="1450"/>
            <w:tcMar>
              <w:top w:w="80" w:type="dxa"/>
              <w:start w:w="120" w:type="dxa"/>
              <w:bottom w:w="80" w:type="dxa"/>
              <w:end w:w="120" w:type="dxa"/>
            </w:tcMar>
            <w:vAlign w:val="center"/>
          </w:tcPr>
          <w:p>
            <w:pPr>
              <w:spacing w:after="0" w:line="252" w:lineRule="auto"/>
              <w:jc w:val="left"/>
            </w:pPr>
            <w:r>
              <w:rPr>
                <w:rFonts w:ascii="Times New Roman" w:hAnsi="Times New Roman"/>
                <w:color w:val="202529"/>
                <w:sz w:val="15"/>
              </w:rPr>
              <w:t>Context switching</w:t>
            </w:r>
          </w:p>
        </w:tc>
        <w:tc>
          <w:tcPr>
            <w:tcW w:type="dxa" w:w="950"/>
            <w:tcMar>
              <w:top w:w="80" w:type="dxa"/>
              <w:start w:w="120" w:type="dxa"/>
              <w:bottom w:w="80" w:type="dxa"/>
              <w:end w:w="120" w:type="dxa"/>
            </w:tcMar>
            <w:vAlign w:val="center"/>
          </w:tcPr>
          <w:p>
            <w:pPr>
              <w:spacing w:after="0" w:line="252" w:lineRule="auto"/>
              <w:jc w:val="center"/>
            </w:pPr>
            <w:r>
              <w:rPr>
                <w:rFonts w:ascii="Times New Roman" w:hAnsi="Times New Roman"/>
                <w:color w:val="202529"/>
                <w:sz w:val="15"/>
              </w:rPr>
              <w:t>Frontend</w:t>
            </w:r>
          </w:p>
        </w:tc>
        <w:tc>
          <w:tcPr>
            <w:tcW w:type="dxa" w:w="4000"/>
            <w:tcMar>
              <w:top w:w="80" w:type="dxa"/>
              <w:start w:w="120" w:type="dxa"/>
              <w:bottom w:w="80" w:type="dxa"/>
              <w:end w:w="120" w:type="dxa"/>
            </w:tcMar>
            <w:vAlign w:val="center"/>
          </w:tcPr>
          <w:p>
            <w:pPr>
              <w:spacing w:after="0" w:line="252" w:lineRule="auto"/>
              <w:jc w:val="left"/>
            </w:pPr>
            <w:r>
              <w:rPr>
                <w:rFonts w:ascii="Times New Roman" w:hAnsi="Times New Roman"/>
                <w:color w:val="202529"/>
                <w:sz w:val="15"/>
              </w:rPr>
              <w:t>Select another context</w:t>
              <w:br/>
              <w:t>Expected: REST, SSE and history requests include the selected context</w:t>
            </w:r>
          </w:p>
        </w:tc>
        <w:tc>
          <w:tcPr>
            <w:tcW w:type="dxa" w:w="1350"/>
            <w:tcMar>
              <w:top w:w="80" w:type="dxa"/>
              <w:start w:w="120" w:type="dxa"/>
              <w:bottom w:w="80" w:type="dxa"/>
              <w:end w:w="120" w:type="dxa"/>
            </w:tcMar>
            <w:vAlign w:val="center"/>
          </w:tcPr>
          <w:p>
            <w:pPr>
              <w:spacing w:after="0" w:line="252" w:lineRule="auto"/>
              <w:jc w:val="center"/>
            </w:pPr>
            <w:r>
              <w:rPr>
                <w:rFonts w:ascii="Times New Roman" w:hAnsi="Times New Roman"/>
                <w:color w:val="202529"/>
                <w:sz w:val="15"/>
              </w:rPr>
              <w:t>Vitest and Go</w:t>
            </w:r>
          </w:p>
        </w:tc>
        <w:tc>
          <w:tcPr>
            <w:tcW w:type="dxa" w:w="1950"/>
            <w:tcMar>
              <w:top w:w="80" w:type="dxa"/>
              <w:start w:w="120" w:type="dxa"/>
              <w:bottom w:w="80" w:type="dxa"/>
              <w:end w:w="120" w:type="dxa"/>
            </w:tcMar>
            <w:vAlign w:val="center"/>
          </w:tcPr>
          <w:p>
            <w:pPr>
              <w:spacing w:after="0" w:line="252" w:lineRule="auto"/>
              <w:jc w:val="left"/>
            </w:pPr>
            <w:r>
              <w:rPr>
                <w:rFonts w:ascii="Times New Roman" w:hAnsi="Times New Roman"/>
                <w:color w:val="202529"/>
                <w:sz w:val="15"/>
              </w:rPr>
              <w:t>Pass</w:t>
              <w:br/>
              <w:t>Evidence: Frontend and backend jobs</w:t>
            </w:r>
          </w:p>
        </w:tc>
      </w:tr>
      <w:tr>
        <w:trPr>
          <w:cantSplit/>
        </w:trPr>
        <w:tc>
          <w:tcPr>
            <w:tcW w:type="dxa" w:w="800"/>
            <w:tcMar>
              <w:top w:w="80" w:type="dxa"/>
              <w:start w:w="120" w:type="dxa"/>
              <w:bottom w:w="80" w:type="dxa"/>
              <w:end w:w="120" w:type="dxa"/>
            </w:tcMar>
            <w:vAlign w:val="center"/>
          </w:tcPr>
          <w:p>
            <w:pPr>
              <w:spacing w:after="0" w:line="252" w:lineRule="auto"/>
              <w:jc w:val="center"/>
            </w:pPr>
            <w:r>
              <w:rPr>
                <w:rFonts w:ascii="Times New Roman" w:hAnsi="Times New Roman"/>
                <w:color w:val="202529"/>
                <w:sz w:val="15"/>
              </w:rPr>
              <w:t>TC-025</w:t>
            </w:r>
          </w:p>
        </w:tc>
        <w:tc>
          <w:tcPr>
            <w:tcW w:type="dxa" w:w="1450"/>
            <w:tcMar>
              <w:top w:w="80" w:type="dxa"/>
              <w:start w:w="120" w:type="dxa"/>
              <w:bottom w:w="80" w:type="dxa"/>
              <w:end w:w="120" w:type="dxa"/>
            </w:tcMar>
            <w:vAlign w:val="center"/>
          </w:tcPr>
          <w:p>
            <w:pPr>
              <w:spacing w:after="0" w:line="252" w:lineRule="auto"/>
              <w:jc w:val="left"/>
            </w:pPr>
            <w:r>
              <w:rPr>
                <w:rFonts w:ascii="Times New Roman" w:hAnsi="Times New Roman"/>
                <w:color w:val="202529"/>
                <w:sz w:val="15"/>
              </w:rPr>
              <w:t>Unknown context rejection</w:t>
            </w:r>
          </w:p>
        </w:tc>
        <w:tc>
          <w:tcPr>
            <w:tcW w:type="dxa" w:w="950"/>
            <w:tcMar>
              <w:top w:w="80" w:type="dxa"/>
              <w:start w:w="120" w:type="dxa"/>
              <w:bottom w:w="80" w:type="dxa"/>
              <w:end w:w="120" w:type="dxa"/>
            </w:tcMar>
            <w:vAlign w:val="center"/>
          </w:tcPr>
          <w:p>
            <w:pPr>
              <w:spacing w:after="0" w:line="252" w:lineRule="auto"/>
              <w:jc w:val="center"/>
            </w:pPr>
            <w:r>
              <w:rPr>
                <w:rFonts w:ascii="Times New Roman" w:hAnsi="Times New Roman"/>
                <w:color w:val="202529"/>
                <w:sz w:val="15"/>
              </w:rPr>
              <w:t>Backend</w:t>
            </w:r>
          </w:p>
        </w:tc>
        <w:tc>
          <w:tcPr>
            <w:tcW w:type="dxa" w:w="4000"/>
            <w:tcMar>
              <w:top w:w="80" w:type="dxa"/>
              <w:start w:w="120" w:type="dxa"/>
              <w:bottom w:w="80" w:type="dxa"/>
              <w:end w:w="120" w:type="dxa"/>
            </w:tcMar>
            <w:vAlign w:val="center"/>
          </w:tcPr>
          <w:p>
            <w:pPr>
              <w:spacing w:after="0" w:line="252" w:lineRule="auto"/>
              <w:jc w:val="left"/>
            </w:pPr>
            <w:r>
              <w:rPr>
                <w:rFonts w:ascii="Times New Roman" w:hAnsi="Times New Roman"/>
                <w:color w:val="202529"/>
                <w:sz w:val="15"/>
              </w:rPr>
              <w:t>Request a missing context</w:t>
              <w:br/>
              <w:t>Expected: Backend returns a client error without changing defaults</w:t>
            </w:r>
          </w:p>
        </w:tc>
        <w:tc>
          <w:tcPr>
            <w:tcW w:type="dxa" w:w="1350"/>
            <w:tcMar>
              <w:top w:w="80" w:type="dxa"/>
              <w:start w:w="120" w:type="dxa"/>
              <w:bottom w:w="80" w:type="dxa"/>
              <w:end w:w="120" w:type="dxa"/>
            </w:tcMar>
            <w:vAlign w:val="center"/>
          </w:tcPr>
          <w:p>
            <w:pPr>
              <w:spacing w:after="0" w:line="252" w:lineRule="auto"/>
              <w:jc w:val="center"/>
            </w:pPr>
            <w:r>
              <w:rPr>
                <w:rFonts w:ascii="Times New Roman" w:hAnsi="Times New Roman"/>
                <w:color w:val="202529"/>
                <w:sz w:val="15"/>
              </w:rPr>
              <w:t>Go unit</w:t>
            </w:r>
          </w:p>
        </w:tc>
        <w:tc>
          <w:tcPr>
            <w:tcW w:type="dxa" w:w="1950"/>
            <w:tcMar>
              <w:top w:w="80" w:type="dxa"/>
              <w:start w:w="120" w:type="dxa"/>
              <w:bottom w:w="80" w:type="dxa"/>
              <w:end w:w="120" w:type="dxa"/>
            </w:tcMar>
            <w:vAlign w:val="center"/>
          </w:tcPr>
          <w:p>
            <w:pPr>
              <w:spacing w:after="0" w:line="252" w:lineRule="auto"/>
              <w:jc w:val="left"/>
            </w:pPr>
            <w:r>
              <w:rPr>
                <w:rFonts w:ascii="Times New Roman" w:hAnsi="Times New Roman"/>
                <w:color w:val="202529"/>
                <w:sz w:val="15"/>
              </w:rPr>
              <w:t>Pass</w:t>
              <w:br/>
              <w:t>Evidence: Backend tests job</w:t>
            </w:r>
          </w:p>
        </w:tc>
      </w:tr>
      <w:tr>
        <w:trPr>
          <w:cantSplit/>
        </w:trPr>
        <w:tc>
          <w:tcPr>
            <w:tcW w:type="dxa" w:w="800"/>
            <w:tcMar>
              <w:top w:w="80" w:type="dxa"/>
              <w:start w:w="120" w:type="dxa"/>
              <w:bottom w:w="80" w:type="dxa"/>
              <w:end w:w="120" w:type="dxa"/>
            </w:tcMar>
            <w:vAlign w:val="center"/>
          </w:tcPr>
          <w:p>
            <w:pPr>
              <w:spacing w:after="0" w:line="252" w:lineRule="auto"/>
              <w:jc w:val="center"/>
            </w:pPr>
            <w:r>
              <w:rPr>
                <w:rFonts w:ascii="Times New Roman" w:hAnsi="Times New Roman"/>
                <w:color w:val="202529"/>
                <w:sz w:val="15"/>
              </w:rPr>
              <w:t>TC-026</w:t>
            </w:r>
          </w:p>
        </w:tc>
        <w:tc>
          <w:tcPr>
            <w:tcW w:type="dxa" w:w="1450"/>
            <w:tcMar>
              <w:top w:w="80" w:type="dxa"/>
              <w:start w:w="120" w:type="dxa"/>
              <w:bottom w:w="80" w:type="dxa"/>
              <w:end w:w="120" w:type="dxa"/>
            </w:tcMar>
            <w:vAlign w:val="center"/>
          </w:tcPr>
          <w:p>
            <w:pPr>
              <w:spacing w:after="0" w:line="252" w:lineRule="auto"/>
              <w:jc w:val="left"/>
            </w:pPr>
            <w:r>
              <w:rPr>
                <w:rFonts w:ascii="Times New Roman" w:hAnsi="Times New Roman"/>
                <w:color w:val="202529"/>
                <w:sz w:val="15"/>
              </w:rPr>
              <w:t>Historical reconstruction</w:t>
            </w:r>
          </w:p>
        </w:tc>
        <w:tc>
          <w:tcPr>
            <w:tcW w:type="dxa" w:w="950"/>
            <w:tcMar>
              <w:top w:w="80" w:type="dxa"/>
              <w:start w:w="120" w:type="dxa"/>
              <w:bottom w:w="80" w:type="dxa"/>
              <w:end w:w="120" w:type="dxa"/>
            </w:tcMar>
            <w:vAlign w:val="center"/>
          </w:tcPr>
          <w:p>
            <w:pPr>
              <w:spacing w:after="0" w:line="252" w:lineRule="auto"/>
              <w:jc w:val="center"/>
            </w:pPr>
            <w:r>
              <w:rPr>
                <w:rFonts w:ascii="Times New Roman" w:hAnsi="Times New Roman"/>
                <w:color w:val="202529"/>
                <w:sz w:val="15"/>
              </w:rPr>
              <w:t>Backend</w:t>
            </w:r>
          </w:p>
        </w:tc>
        <w:tc>
          <w:tcPr>
            <w:tcW w:type="dxa" w:w="4000"/>
            <w:tcMar>
              <w:top w:w="80" w:type="dxa"/>
              <w:start w:w="120" w:type="dxa"/>
              <w:bottom w:w="80" w:type="dxa"/>
              <w:end w:w="120" w:type="dxa"/>
            </w:tcMar>
            <w:vAlign w:val="center"/>
          </w:tcPr>
          <w:p>
            <w:pPr>
              <w:spacing w:after="0" w:line="252" w:lineRule="auto"/>
              <w:jc w:val="left"/>
            </w:pPr>
            <w:r>
              <w:rPr>
                <w:rFonts w:ascii="Times New Roman" w:hAnsi="Times New Roman"/>
                <w:color w:val="202529"/>
                <w:sz w:val="15"/>
              </w:rPr>
              <w:t>Request state at a recorded timestamp</w:t>
              <w:br/>
              <w:t>Expected: Returned state contains the latest version at or before the timestamp</w:t>
            </w:r>
          </w:p>
        </w:tc>
        <w:tc>
          <w:tcPr>
            <w:tcW w:type="dxa" w:w="1350"/>
            <w:tcMar>
              <w:top w:w="80" w:type="dxa"/>
              <w:start w:w="120" w:type="dxa"/>
              <w:bottom w:w="80" w:type="dxa"/>
              <w:end w:w="120" w:type="dxa"/>
            </w:tcMar>
            <w:vAlign w:val="center"/>
          </w:tcPr>
          <w:p>
            <w:pPr>
              <w:spacing w:after="0" w:line="252" w:lineRule="auto"/>
              <w:jc w:val="center"/>
            </w:pPr>
            <w:r>
              <w:rPr>
                <w:rFonts w:ascii="Times New Roman" w:hAnsi="Times New Roman"/>
                <w:color w:val="202529"/>
                <w:sz w:val="15"/>
              </w:rPr>
              <w:t>Go unit</w:t>
            </w:r>
          </w:p>
        </w:tc>
        <w:tc>
          <w:tcPr>
            <w:tcW w:type="dxa" w:w="1950"/>
            <w:tcMar>
              <w:top w:w="80" w:type="dxa"/>
              <w:start w:w="120" w:type="dxa"/>
              <w:bottom w:w="80" w:type="dxa"/>
              <w:end w:w="120" w:type="dxa"/>
            </w:tcMar>
            <w:vAlign w:val="center"/>
          </w:tcPr>
          <w:p>
            <w:pPr>
              <w:spacing w:after="0" w:line="252" w:lineRule="auto"/>
              <w:jc w:val="left"/>
            </w:pPr>
            <w:r>
              <w:rPr>
                <w:rFonts w:ascii="Times New Roman" w:hAnsi="Times New Roman"/>
                <w:color w:val="202529"/>
                <w:sz w:val="15"/>
              </w:rPr>
              <w:t>Pass</w:t>
              <w:br/>
              <w:t>Evidence: Backend tests job</w:t>
            </w:r>
          </w:p>
        </w:tc>
      </w:tr>
      <w:tr>
        <w:trPr>
          <w:cantSplit/>
        </w:trPr>
        <w:tc>
          <w:tcPr>
            <w:tcW w:type="dxa" w:w="800"/>
            <w:tcMar>
              <w:top w:w="80" w:type="dxa"/>
              <w:start w:w="120" w:type="dxa"/>
              <w:bottom w:w="80" w:type="dxa"/>
              <w:end w:w="120" w:type="dxa"/>
            </w:tcMar>
            <w:vAlign w:val="center"/>
          </w:tcPr>
          <w:p>
            <w:pPr>
              <w:spacing w:after="0" w:line="252" w:lineRule="auto"/>
              <w:jc w:val="center"/>
            </w:pPr>
            <w:r>
              <w:rPr>
                <w:rFonts w:ascii="Times New Roman" w:hAnsi="Times New Roman"/>
                <w:color w:val="202529"/>
                <w:sz w:val="15"/>
              </w:rPr>
              <w:t>TC-027</w:t>
            </w:r>
          </w:p>
        </w:tc>
        <w:tc>
          <w:tcPr>
            <w:tcW w:type="dxa" w:w="1450"/>
            <w:tcMar>
              <w:top w:w="80" w:type="dxa"/>
              <w:start w:w="120" w:type="dxa"/>
              <w:bottom w:w="80" w:type="dxa"/>
              <w:end w:w="120" w:type="dxa"/>
            </w:tcMar>
            <w:vAlign w:val="center"/>
          </w:tcPr>
          <w:p>
            <w:pPr>
              <w:spacing w:after="0" w:line="252" w:lineRule="auto"/>
              <w:jc w:val="left"/>
            </w:pPr>
            <w:r>
              <w:rPr>
                <w:rFonts w:ascii="Times New Roman" w:hAnsi="Times New Roman"/>
                <w:color w:val="202529"/>
                <w:sz w:val="15"/>
              </w:rPr>
              <w:t>Historical comparison</w:t>
            </w:r>
          </w:p>
        </w:tc>
        <w:tc>
          <w:tcPr>
            <w:tcW w:type="dxa" w:w="950"/>
            <w:tcMar>
              <w:top w:w="80" w:type="dxa"/>
              <w:start w:w="120" w:type="dxa"/>
              <w:bottom w:w="80" w:type="dxa"/>
              <w:end w:w="120" w:type="dxa"/>
            </w:tcMar>
            <w:vAlign w:val="center"/>
          </w:tcPr>
          <w:p>
            <w:pPr>
              <w:spacing w:after="0" w:line="252" w:lineRule="auto"/>
              <w:jc w:val="center"/>
            </w:pPr>
            <w:r>
              <w:rPr>
                <w:rFonts w:ascii="Times New Roman" w:hAnsi="Times New Roman"/>
                <w:color w:val="202529"/>
                <w:sz w:val="15"/>
              </w:rPr>
              <w:t>E2E</w:t>
            </w:r>
          </w:p>
        </w:tc>
        <w:tc>
          <w:tcPr>
            <w:tcW w:type="dxa" w:w="4000"/>
            <w:tcMar>
              <w:top w:w="80" w:type="dxa"/>
              <w:start w:w="120" w:type="dxa"/>
              <w:bottom w:w="80" w:type="dxa"/>
              <w:end w:w="120" w:type="dxa"/>
            </w:tcMar>
            <w:vAlign w:val="center"/>
          </w:tcPr>
          <w:p>
            <w:pPr>
              <w:spacing w:after="0" w:line="252" w:lineRule="auto"/>
              <w:jc w:val="left"/>
            </w:pPr>
            <w:r>
              <w:rPr>
                <w:rFonts w:ascii="Times New Roman" w:hAnsi="Times New Roman"/>
                <w:color w:val="202529"/>
                <w:sz w:val="15"/>
              </w:rPr>
              <w:t>Compare two timestamps around a resource change</w:t>
              <w:br/>
              <w:t>Expected: Added, removed or modified resources and events are listed</w:t>
            </w:r>
          </w:p>
        </w:tc>
        <w:tc>
          <w:tcPr>
            <w:tcW w:type="dxa" w:w="1350"/>
            <w:tcMar>
              <w:top w:w="80" w:type="dxa"/>
              <w:start w:w="120" w:type="dxa"/>
              <w:bottom w:w="80" w:type="dxa"/>
              <w:end w:w="120" w:type="dxa"/>
            </w:tcMar>
            <w:vAlign w:val="center"/>
          </w:tcPr>
          <w:p>
            <w:pPr>
              <w:spacing w:after="0" w:line="252" w:lineRule="auto"/>
              <w:jc w:val="center"/>
            </w:pPr>
            <w:r>
              <w:rPr>
                <w:rFonts w:ascii="Times New Roman" w:hAnsi="Times New Roman"/>
                <w:color w:val="202529"/>
                <w:sz w:val="15"/>
              </w:rPr>
              <w:t>Playwright</w:t>
            </w:r>
          </w:p>
        </w:tc>
        <w:tc>
          <w:tcPr>
            <w:tcW w:type="dxa" w:w="1950"/>
            <w:tcMar>
              <w:top w:w="80" w:type="dxa"/>
              <w:start w:w="120" w:type="dxa"/>
              <w:bottom w:w="80" w:type="dxa"/>
              <w:end w:w="120" w:type="dxa"/>
            </w:tcMar>
            <w:vAlign w:val="center"/>
          </w:tcPr>
          <w:p>
            <w:pPr>
              <w:spacing w:after="0" w:line="252" w:lineRule="auto"/>
              <w:jc w:val="left"/>
            </w:pPr>
            <w:r>
              <w:rPr>
                <w:rFonts w:ascii="Times New Roman" w:hAnsi="Times New Roman"/>
                <w:color w:val="202529"/>
                <w:sz w:val="15"/>
              </w:rPr>
              <w:t>Pass</w:t>
              <w:br/>
              <w:t>Evidence: E2E job</w:t>
            </w:r>
          </w:p>
        </w:tc>
      </w:tr>
      <w:tr>
        <w:trPr>
          <w:cantSplit/>
        </w:trPr>
        <w:tc>
          <w:tcPr>
            <w:tcW w:type="dxa" w:w="800"/>
            <w:tcMar>
              <w:top w:w="80" w:type="dxa"/>
              <w:start w:w="120" w:type="dxa"/>
              <w:bottom w:w="80" w:type="dxa"/>
              <w:end w:w="120" w:type="dxa"/>
            </w:tcMar>
            <w:vAlign w:val="center"/>
          </w:tcPr>
          <w:p>
            <w:pPr>
              <w:spacing w:after="0" w:line="252" w:lineRule="auto"/>
              <w:jc w:val="center"/>
            </w:pPr>
            <w:r>
              <w:rPr>
                <w:rFonts w:ascii="Times New Roman" w:hAnsi="Times New Roman"/>
                <w:color w:val="202529"/>
                <w:sz w:val="15"/>
              </w:rPr>
              <w:t>TC-028</w:t>
            </w:r>
          </w:p>
        </w:tc>
        <w:tc>
          <w:tcPr>
            <w:tcW w:type="dxa" w:w="1450"/>
            <w:tcMar>
              <w:top w:w="80" w:type="dxa"/>
              <w:start w:w="120" w:type="dxa"/>
              <w:bottom w:w="80" w:type="dxa"/>
              <w:end w:w="120" w:type="dxa"/>
            </w:tcMar>
            <w:vAlign w:val="center"/>
          </w:tcPr>
          <w:p>
            <w:pPr>
              <w:spacing w:after="0" w:line="252" w:lineRule="auto"/>
              <w:jc w:val="left"/>
            </w:pPr>
            <w:r>
              <w:rPr>
                <w:rFonts w:ascii="Times New Roman" w:hAnsi="Times New Roman"/>
                <w:color w:val="202529"/>
                <w:sz w:val="15"/>
              </w:rPr>
              <w:t>Retention pruning</w:t>
            </w:r>
          </w:p>
        </w:tc>
        <w:tc>
          <w:tcPr>
            <w:tcW w:type="dxa" w:w="950"/>
            <w:tcMar>
              <w:top w:w="80" w:type="dxa"/>
              <w:start w:w="120" w:type="dxa"/>
              <w:bottom w:w="80" w:type="dxa"/>
              <w:end w:w="120" w:type="dxa"/>
            </w:tcMar>
            <w:vAlign w:val="center"/>
          </w:tcPr>
          <w:p>
            <w:pPr>
              <w:spacing w:after="0" w:line="252" w:lineRule="auto"/>
              <w:jc w:val="center"/>
            </w:pPr>
            <w:r>
              <w:rPr>
                <w:rFonts w:ascii="Times New Roman" w:hAnsi="Times New Roman"/>
                <w:color w:val="202529"/>
                <w:sz w:val="15"/>
              </w:rPr>
              <w:t>Backend</w:t>
            </w:r>
          </w:p>
        </w:tc>
        <w:tc>
          <w:tcPr>
            <w:tcW w:type="dxa" w:w="4000"/>
            <w:tcMar>
              <w:top w:w="80" w:type="dxa"/>
              <w:start w:w="120" w:type="dxa"/>
              <w:bottom w:w="80" w:type="dxa"/>
              <w:end w:w="120" w:type="dxa"/>
            </w:tcMar>
            <w:vAlign w:val="center"/>
          </w:tcPr>
          <w:p>
            <w:pPr>
              <w:spacing w:after="0" w:line="252" w:lineRule="auto"/>
              <w:jc w:val="left"/>
            </w:pPr>
            <w:r>
              <w:rPr>
                <w:rFonts w:ascii="Times New Roman" w:hAnsi="Times New Roman"/>
                <w:color w:val="202529"/>
                <w:sz w:val="15"/>
              </w:rPr>
              <w:t>Store versions outside the retention window</w:t>
              <w:br/>
              <w:t>Expected: Expired versions are removed while reconstruction remains valid</w:t>
            </w:r>
          </w:p>
        </w:tc>
        <w:tc>
          <w:tcPr>
            <w:tcW w:type="dxa" w:w="1350"/>
            <w:tcMar>
              <w:top w:w="80" w:type="dxa"/>
              <w:start w:w="120" w:type="dxa"/>
              <w:bottom w:w="80" w:type="dxa"/>
              <w:end w:w="120" w:type="dxa"/>
            </w:tcMar>
            <w:vAlign w:val="center"/>
          </w:tcPr>
          <w:p>
            <w:pPr>
              <w:spacing w:after="0" w:line="252" w:lineRule="auto"/>
              <w:jc w:val="center"/>
            </w:pPr>
            <w:r>
              <w:rPr>
                <w:rFonts w:ascii="Times New Roman" w:hAnsi="Times New Roman"/>
                <w:color w:val="202529"/>
                <w:sz w:val="15"/>
              </w:rPr>
              <w:t>Go unit</w:t>
            </w:r>
          </w:p>
        </w:tc>
        <w:tc>
          <w:tcPr>
            <w:tcW w:type="dxa" w:w="1950"/>
            <w:tcMar>
              <w:top w:w="80" w:type="dxa"/>
              <w:start w:w="120" w:type="dxa"/>
              <w:bottom w:w="80" w:type="dxa"/>
              <w:end w:w="120" w:type="dxa"/>
            </w:tcMar>
            <w:vAlign w:val="center"/>
          </w:tcPr>
          <w:p>
            <w:pPr>
              <w:spacing w:after="0" w:line="252" w:lineRule="auto"/>
              <w:jc w:val="left"/>
            </w:pPr>
            <w:r>
              <w:rPr>
                <w:rFonts w:ascii="Times New Roman" w:hAnsi="Times New Roman"/>
                <w:color w:val="202529"/>
                <w:sz w:val="15"/>
              </w:rPr>
              <w:t>Pass</w:t>
              <w:br/>
              <w:t>Evidence: Backend tests job</w:t>
            </w:r>
          </w:p>
        </w:tc>
      </w:tr>
      <w:tr>
        <w:trPr>
          <w:cantSplit/>
        </w:trPr>
        <w:tc>
          <w:tcPr>
            <w:tcW w:type="dxa" w:w="800"/>
            <w:tcMar>
              <w:top w:w="80" w:type="dxa"/>
              <w:start w:w="120" w:type="dxa"/>
              <w:bottom w:w="80" w:type="dxa"/>
              <w:end w:w="120" w:type="dxa"/>
            </w:tcMar>
            <w:vAlign w:val="center"/>
          </w:tcPr>
          <w:p>
            <w:pPr>
              <w:spacing w:after="0" w:line="252" w:lineRule="auto"/>
              <w:jc w:val="center"/>
            </w:pPr>
            <w:r>
              <w:rPr>
                <w:rFonts w:ascii="Times New Roman" w:hAnsi="Times New Roman"/>
                <w:color w:val="202529"/>
                <w:sz w:val="15"/>
              </w:rPr>
              <w:t>TC-029</w:t>
            </w:r>
          </w:p>
        </w:tc>
        <w:tc>
          <w:tcPr>
            <w:tcW w:type="dxa" w:w="1450"/>
            <w:tcMar>
              <w:top w:w="80" w:type="dxa"/>
              <w:start w:w="120" w:type="dxa"/>
              <w:bottom w:w="80" w:type="dxa"/>
              <w:end w:w="120" w:type="dxa"/>
            </w:tcMar>
            <w:vAlign w:val="center"/>
          </w:tcPr>
          <w:p>
            <w:pPr>
              <w:spacing w:after="0" w:line="252" w:lineRule="auto"/>
              <w:jc w:val="left"/>
            </w:pPr>
            <w:r>
              <w:rPr>
                <w:rFonts w:ascii="Times New Roman" w:hAnsi="Times New Roman"/>
                <w:color w:val="202529"/>
                <w:sz w:val="15"/>
              </w:rPr>
              <w:t>Read-only RBAC</w:t>
            </w:r>
          </w:p>
        </w:tc>
        <w:tc>
          <w:tcPr>
            <w:tcW w:type="dxa" w:w="950"/>
            <w:tcMar>
              <w:top w:w="80" w:type="dxa"/>
              <w:start w:w="120" w:type="dxa"/>
              <w:bottom w:w="80" w:type="dxa"/>
              <w:end w:w="120" w:type="dxa"/>
            </w:tcMar>
            <w:vAlign w:val="center"/>
          </w:tcPr>
          <w:p>
            <w:pPr>
              <w:spacing w:after="0" w:line="252" w:lineRule="auto"/>
              <w:jc w:val="center"/>
            </w:pPr>
            <w:r>
              <w:rPr>
                <w:rFonts w:ascii="Times New Roman" w:hAnsi="Times New Roman"/>
                <w:color w:val="202529"/>
                <w:sz w:val="15"/>
              </w:rPr>
              <w:t>Manifest</w:t>
            </w:r>
          </w:p>
        </w:tc>
        <w:tc>
          <w:tcPr>
            <w:tcW w:type="dxa" w:w="4000"/>
            <w:tcMar>
              <w:top w:w="80" w:type="dxa"/>
              <w:start w:w="120" w:type="dxa"/>
              <w:bottom w:w="80" w:type="dxa"/>
              <w:end w:w="120" w:type="dxa"/>
            </w:tcMar>
            <w:vAlign w:val="center"/>
          </w:tcPr>
          <w:p>
            <w:pPr>
              <w:spacing w:after="0" w:line="252" w:lineRule="auto"/>
              <w:jc w:val="left"/>
            </w:pPr>
            <w:r>
              <w:rPr>
                <w:rFonts w:ascii="Times New Roman" w:hAnsi="Times New Roman"/>
                <w:color w:val="202529"/>
                <w:sz w:val="15"/>
              </w:rPr>
              <w:t>Inspect the supplied ClusterRole</w:t>
              <w:br/>
              <w:t>Expected: Only get, list and watch verbs are granted</w:t>
            </w:r>
          </w:p>
        </w:tc>
        <w:tc>
          <w:tcPr>
            <w:tcW w:type="dxa" w:w="1350"/>
            <w:tcMar>
              <w:top w:w="80" w:type="dxa"/>
              <w:start w:w="120" w:type="dxa"/>
              <w:bottom w:w="80" w:type="dxa"/>
              <w:end w:w="120" w:type="dxa"/>
            </w:tcMar>
            <w:vAlign w:val="center"/>
          </w:tcPr>
          <w:p>
            <w:pPr>
              <w:spacing w:after="0" w:line="252" w:lineRule="auto"/>
              <w:jc w:val="center"/>
            </w:pPr>
            <w:r>
              <w:rPr>
                <w:rFonts w:ascii="Times New Roman" w:hAnsi="Times New Roman"/>
                <w:color w:val="202529"/>
                <w:sz w:val="15"/>
              </w:rPr>
              <w:t>Review and CI</w:t>
            </w:r>
          </w:p>
        </w:tc>
        <w:tc>
          <w:tcPr>
            <w:tcW w:type="dxa" w:w="1950"/>
            <w:tcMar>
              <w:top w:w="80" w:type="dxa"/>
              <w:start w:w="120" w:type="dxa"/>
              <w:bottom w:w="80" w:type="dxa"/>
              <w:end w:w="120" w:type="dxa"/>
            </w:tcMar>
            <w:vAlign w:val="center"/>
          </w:tcPr>
          <w:p>
            <w:pPr>
              <w:spacing w:after="0" w:line="252" w:lineRule="auto"/>
              <w:jc w:val="left"/>
            </w:pPr>
            <w:r>
              <w:rPr>
                <w:rFonts w:ascii="Times New Roman" w:hAnsi="Times New Roman"/>
                <w:color w:val="202529"/>
                <w:sz w:val="15"/>
              </w:rPr>
              <w:t>Pass</w:t>
              <w:br/>
              <w:t>Evidence: Repository manifest</w:t>
              <w:br/>
              <w:t>Notes: Manual release recheck required</w:t>
            </w:r>
          </w:p>
        </w:tc>
      </w:tr>
      <w:tr>
        <w:trPr>
          <w:cantSplit/>
        </w:trPr>
        <w:tc>
          <w:tcPr>
            <w:tcW w:type="dxa" w:w="800"/>
            <w:tcMar>
              <w:top w:w="80" w:type="dxa"/>
              <w:start w:w="120" w:type="dxa"/>
              <w:bottom w:w="80" w:type="dxa"/>
              <w:end w:w="120" w:type="dxa"/>
            </w:tcMar>
            <w:vAlign w:val="center"/>
          </w:tcPr>
          <w:p>
            <w:pPr>
              <w:spacing w:after="0" w:line="252" w:lineRule="auto"/>
              <w:jc w:val="center"/>
            </w:pPr>
            <w:r>
              <w:rPr>
                <w:rFonts w:ascii="Times New Roman" w:hAnsi="Times New Roman"/>
                <w:color w:val="202529"/>
                <w:sz w:val="15"/>
              </w:rPr>
              <w:t>TC-030</w:t>
            </w:r>
          </w:p>
        </w:tc>
        <w:tc>
          <w:tcPr>
            <w:tcW w:type="dxa" w:w="1450"/>
            <w:tcMar>
              <w:top w:w="80" w:type="dxa"/>
              <w:start w:w="120" w:type="dxa"/>
              <w:bottom w:w="80" w:type="dxa"/>
              <w:end w:w="120" w:type="dxa"/>
            </w:tcMar>
            <w:vAlign w:val="center"/>
          </w:tcPr>
          <w:p>
            <w:pPr>
              <w:spacing w:after="0" w:line="252" w:lineRule="auto"/>
              <w:jc w:val="left"/>
            </w:pPr>
            <w:r>
              <w:rPr>
                <w:rFonts w:ascii="Times New Roman" w:hAnsi="Times New Roman"/>
                <w:color w:val="202529"/>
                <w:sz w:val="15"/>
              </w:rPr>
              <w:t>Frontend production build</w:t>
            </w:r>
          </w:p>
        </w:tc>
        <w:tc>
          <w:tcPr>
            <w:tcW w:type="dxa" w:w="950"/>
            <w:tcMar>
              <w:top w:w="80" w:type="dxa"/>
              <w:start w:w="120" w:type="dxa"/>
              <w:bottom w:w="80" w:type="dxa"/>
              <w:end w:w="120" w:type="dxa"/>
            </w:tcMar>
            <w:vAlign w:val="center"/>
          </w:tcPr>
          <w:p>
            <w:pPr>
              <w:spacing w:after="0" w:line="252" w:lineRule="auto"/>
              <w:jc w:val="center"/>
            </w:pPr>
            <w:r>
              <w:rPr>
                <w:rFonts w:ascii="Times New Roman" w:hAnsi="Times New Roman"/>
                <w:color w:val="202529"/>
                <w:sz w:val="15"/>
              </w:rPr>
              <w:t>Build</w:t>
            </w:r>
          </w:p>
        </w:tc>
        <w:tc>
          <w:tcPr>
            <w:tcW w:type="dxa" w:w="4000"/>
            <w:tcMar>
              <w:top w:w="80" w:type="dxa"/>
              <w:start w:w="120" w:type="dxa"/>
              <w:bottom w:w="80" w:type="dxa"/>
              <w:end w:w="120" w:type="dxa"/>
            </w:tcMar>
            <w:vAlign w:val="center"/>
          </w:tcPr>
          <w:p>
            <w:pPr>
              <w:spacing w:after="0" w:line="252" w:lineRule="auto"/>
              <w:jc w:val="left"/>
            </w:pPr>
            <w:r>
              <w:rPr>
                <w:rFonts w:ascii="Times New Roman" w:hAnsi="Times New Roman"/>
                <w:color w:val="202529"/>
                <w:sz w:val="15"/>
              </w:rPr>
              <w:t>Build the Next.js application</w:t>
              <w:br/>
              <w:t>Expected: Type check, lint, tests and production build complete</w:t>
            </w:r>
          </w:p>
        </w:tc>
        <w:tc>
          <w:tcPr>
            <w:tcW w:type="dxa" w:w="1350"/>
            <w:tcMar>
              <w:top w:w="80" w:type="dxa"/>
              <w:start w:w="120" w:type="dxa"/>
              <w:bottom w:w="80" w:type="dxa"/>
              <w:end w:w="120" w:type="dxa"/>
            </w:tcMar>
            <w:vAlign w:val="center"/>
          </w:tcPr>
          <w:p>
            <w:pPr>
              <w:spacing w:after="0" w:line="252" w:lineRule="auto"/>
              <w:jc w:val="center"/>
            </w:pPr>
            <w:r>
              <w:rPr>
                <w:rFonts w:ascii="Times New Roman" w:hAnsi="Times New Roman"/>
                <w:color w:val="202529"/>
                <w:sz w:val="15"/>
              </w:rPr>
              <w:t>GitHub Actions</w:t>
            </w:r>
          </w:p>
        </w:tc>
        <w:tc>
          <w:tcPr>
            <w:tcW w:type="dxa" w:w="1950"/>
            <w:tcMar>
              <w:top w:w="80" w:type="dxa"/>
              <w:start w:w="120" w:type="dxa"/>
              <w:bottom w:w="80" w:type="dxa"/>
              <w:end w:w="120" w:type="dxa"/>
            </w:tcMar>
            <w:vAlign w:val="center"/>
          </w:tcPr>
          <w:p>
            <w:pPr>
              <w:spacing w:after="0" w:line="252" w:lineRule="auto"/>
              <w:jc w:val="left"/>
            </w:pPr>
            <w:r>
              <w:rPr>
                <w:rFonts w:ascii="Times New Roman" w:hAnsi="Times New Roman"/>
                <w:color w:val="202529"/>
                <w:sz w:val="15"/>
              </w:rPr>
              <w:t>Pass</w:t>
              <w:br/>
              <w:t>Evidence: Frontend job</w:t>
            </w:r>
          </w:p>
        </w:tc>
      </w:tr>
      <w:tr>
        <w:trPr>
          <w:cantSplit/>
        </w:trPr>
        <w:tc>
          <w:tcPr>
            <w:tcW w:type="dxa" w:w="800"/>
            <w:tcMar>
              <w:top w:w="80" w:type="dxa"/>
              <w:start w:w="120" w:type="dxa"/>
              <w:bottom w:w="80" w:type="dxa"/>
              <w:end w:w="120" w:type="dxa"/>
            </w:tcMar>
            <w:vAlign w:val="center"/>
          </w:tcPr>
          <w:p>
            <w:pPr>
              <w:spacing w:after="0" w:line="252" w:lineRule="auto"/>
              <w:jc w:val="center"/>
            </w:pPr>
            <w:r>
              <w:rPr>
                <w:rFonts w:ascii="Times New Roman" w:hAnsi="Times New Roman"/>
                <w:color w:val="202529"/>
                <w:sz w:val="15"/>
              </w:rPr>
              <w:t>TC-031</w:t>
            </w:r>
          </w:p>
        </w:tc>
        <w:tc>
          <w:tcPr>
            <w:tcW w:type="dxa" w:w="1450"/>
            <w:tcMar>
              <w:top w:w="80" w:type="dxa"/>
              <w:start w:w="120" w:type="dxa"/>
              <w:bottom w:w="80" w:type="dxa"/>
              <w:end w:w="120" w:type="dxa"/>
            </w:tcMar>
            <w:vAlign w:val="center"/>
          </w:tcPr>
          <w:p>
            <w:pPr>
              <w:spacing w:after="0" w:line="252" w:lineRule="auto"/>
              <w:jc w:val="left"/>
            </w:pPr>
            <w:r>
              <w:rPr>
                <w:rFonts w:ascii="Times New Roman" w:hAnsi="Times New Roman"/>
                <w:color w:val="202529"/>
                <w:sz w:val="15"/>
              </w:rPr>
              <w:t>Static and vulnerability analysis</w:t>
            </w:r>
          </w:p>
        </w:tc>
        <w:tc>
          <w:tcPr>
            <w:tcW w:type="dxa" w:w="950"/>
            <w:tcMar>
              <w:top w:w="80" w:type="dxa"/>
              <w:start w:w="120" w:type="dxa"/>
              <w:bottom w:w="80" w:type="dxa"/>
              <w:end w:w="120" w:type="dxa"/>
            </w:tcMar>
            <w:vAlign w:val="center"/>
          </w:tcPr>
          <w:p>
            <w:pPr>
              <w:spacing w:after="0" w:line="252" w:lineRule="auto"/>
              <w:jc w:val="center"/>
            </w:pPr>
            <w:r>
              <w:rPr>
                <w:rFonts w:ascii="Times New Roman" w:hAnsi="Times New Roman"/>
                <w:color w:val="202529"/>
                <w:sz w:val="15"/>
              </w:rPr>
              <w:t>Security</w:t>
            </w:r>
          </w:p>
        </w:tc>
        <w:tc>
          <w:tcPr>
            <w:tcW w:type="dxa" w:w="4000"/>
            <w:tcMar>
              <w:top w:w="80" w:type="dxa"/>
              <w:start w:w="120" w:type="dxa"/>
              <w:bottom w:w="80" w:type="dxa"/>
              <w:end w:w="120" w:type="dxa"/>
            </w:tcMar>
            <w:vAlign w:val="center"/>
          </w:tcPr>
          <w:p>
            <w:pPr>
              <w:spacing w:after="0" w:line="252" w:lineRule="auto"/>
              <w:jc w:val="left"/>
            </w:pPr>
            <w:r>
              <w:rPr>
                <w:rFonts w:ascii="Times New Roman" w:hAnsi="Times New Roman"/>
                <w:color w:val="202529"/>
                <w:sz w:val="15"/>
              </w:rPr>
              <w:t>Run CodeQL, govulncheck and Go linters</w:t>
              <w:br/>
              <w:t>Expected: Jobs complete without blocking findings</w:t>
            </w:r>
          </w:p>
        </w:tc>
        <w:tc>
          <w:tcPr>
            <w:tcW w:type="dxa" w:w="1350"/>
            <w:tcMar>
              <w:top w:w="80" w:type="dxa"/>
              <w:start w:w="120" w:type="dxa"/>
              <w:bottom w:w="80" w:type="dxa"/>
              <w:end w:w="120" w:type="dxa"/>
            </w:tcMar>
            <w:vAlign w:val="center"/>
          </w:tcPr>
          <w:p>
            <w:pPr>
              <w:spacing w:after="0" w:line="252" w:lineRule="auto"/>
              <w:jc w:val="center"/>
            </w:pPr>
            <w:r>
              <w:rPr>
                <w:rFonts w:ascii="Times New Roman" w:hAnsi="Times New Roman"/>
                <w:color w:val="202529"/>
                <w:sz w:val="15"/>
              </w:rPr>
              <w:t>GitHub Actions</w:t>
            </w:r>
          </w:p>
        </w:tc>
        <w:tc>
          <w:tcPr>
            <w:tcW w:type="dxa" w:w="1950"/>
            <w:tcMar>
              <w:top w:w="80" w:type="dxa"/>
              <w:start w:w="120" w:type="dxa"/>
              <w:bottom w:w="80" w:type="dxa"/>
              <w:end w:w="120" w:type="dxa"/>
            </w:tcMar>
            <w:vAlign w:val="center"/>
          </w:tcPr>
          <w:p>
            <w:pPr>
              <w:spacing w:after="0" w:line="252" w:lineRule="auto"/>
              <w:jc w:val="left"/>
            </w:pPr>
            <w:r>
              <w:rPr>
                <w:rFonts w:ascii="Times New Roman" w:hAnsi="Times New Roman"/>
                <w:color w:val="202529"/>
                <w:sz w:val="15"/>
              </w:rPr>
              <w:t>Pass</w:t>
              <w:br/>
              <w:t>Evidence: CodeQL and backend lint jobs</w:t>
            </w:r>
          </w:p>
        </w:tc>
      </w:tr>
      <w:tr>
        <w:trPr>
          <w:cantSplit/>
        </w:trPr>
        <w:tc>
          <w:tcPr>
            <w:tcW w:type="dxa" w:w="800"/>
            <w:tcMar>
              <w:top w:w="80" w:type="dxa"/>
              <w:start w:w="120" w:type="dxa"/>
              <w:bottom w:w="80" w:type="dxa"/>
              <w:end w:w="120" w:type="dxa"/>
            </w:tcMar>
            <w:vAlign w:val="center"/>
          </w:tcPr>
          <w:p>
            <w:pPr>
              <w:spacing w:after="0" w:line="252" w:lineRule="auto"/>
              <w:jc w:val="center"/>
            </w:pPr>
            <w:r>
              <w:rPr>
                <w:rFonts w:ascii="Times New Roman" w:hAnsi="Times New Roman"/>
                <w:color w:val="202529"/>
                <w:sz w:val="15"/>
              </w:rPr>
              <w:t>TC-032</w:t>
            </w:r>
          </w:p>
        </w:tc>
        <w:tc>
          <w:tcPr>
            <w:tcW w:type="dxa" w:w="1450"/>
            <w:tcMar>
              <w:top w:w="80" w:type="dxa"/>
              <w:start w:w="120" w:type="dxa"/>
              <w:bottom w:w="80" w:type="dxa"/>
              <w:end w:w="120" w:type="dxa"/>
            </w:tcMar>
            <w:vAlign w:val="center"/>
          </w:tcPr>
          <w:p>
            <w:pPr>
              <w:spacing w:after="0" w:line="252" w:lineRule="auto"/>
              <w:jc w:val="left"/>
            </w:pPr>
            <w:r>
              <w:rPr>
                <w:rFonts w:ascii="Times New Roman" w:hAnsi="Times New Roman"/>
                <w:color w:val="202529"/>
                <w:sz w:val="15"/>
              </w:rPr>
              <w:t>Accessibility</w:t>
            </w:r>
          </w:p>
        </w:tc>
        <w:tc>
          <w:tcPr>
            <w:tcW w:type="dxa" w:w="950"/>
            <w:tcMar>
              <w:top w:w="80" w:type="dxa"/>
              <w:start w:w="120" w:type="dxa"/>
              <w:bottom w:w="80" w:type="dxa"/>
              <w:end w:w="120" w:type="dxa"/>
            </w:tcMar>
            <w:vAlign w:val="center"/>
          </w:tcPr>
          <w:p>
            <w:pPr>
              <w:spacing w:after="0" w:line="252" w:lineRule="auto"/>
              <w:jc w:val="center"/>
            </w:pPr>
            <w:r>
              <w:rPr>
                <w:rFonts w:ascii="Times New Roman" w:hAnsi="Times New Roman"/>
                <w:color w:val="202529"/>
                <w:sz w:val="15"/>
              </w:rPr>
              <w:t>Quality</w:t>
            </w:r>
          </w:p>
        </w:tc>
        <w:tc>
          <w:tcPr>
            <w:tcW w:type="dxa" w:w="4000"/>
            <w:tcMar>
              <w:top w:w="80" w:type="dxa"/>
              <w:start w:w="120" w:type="dxa"/>
              <w:bottom w:w="80" w:type="dxa"/>
              <w:end w:w="120" w:type="dxa"/>
            </w:tcMar>
            <w:vAlign w:val="center"/>
          </w:tcPr>
          <w:p>
            <w:pPr>
              <w:spacing w:after="0" w:line="252" w:lineRule="auto"/>
              <w:jc w:val="left"/>
            </w:pPr>
            <w:r>
              <w:rPr>
                <w:rFonts w:ascii="Times New Roman" w:hAnsi="Times New Roman"/>
                <w:color w:val="202529"/>
                <w:sz w:val="15"/>
              </w:rPr>
              <w:t>Audit keyboard, labels, contrast and landmarks</w:t>
              <w:br/>
              <w:t>Expected: No critical accessibility failures</w:t>
            </w:r>
          </w:p>
        </w:tc>
        <w:tc>
          <w:tcPr>
            <w:tcW w:type="dxa" w:w="1350"/>
            <w:tcMar>
              <w:top w:w="80" w:type="dxa"/>
              <w:start w:w="120" w:type="dxa"/>
              <w:bottom w:w="80" w:type="dxa"/>
              <w:end w:w="120" w:type="dxa"/>
            </w:tcMar>
            <w:vAlign w:val="center"/>
          </w:tcPr>
          <w:p>
            <w:pPr>
              <w:spacing w:after="0" w:line="252" w:lineRule="auto"/>
              <w:jc w:val="center"/>
            </w:pPr>
            <w:r>
              <w:rPr>
                <w:rFonts w:ascii="Times New Roman" w:hAnsi="Times New Roman"/>
                <w:color w:val="202529"/>
                <w:sz w:val="15"/>
              </w:rPr>
              <w:t>Planned</w:t>
            </w:r>
          </w:p>
        </w:tc>
        <w:tc>
          <w:tcPr>
            <w:tcW w:type="dxa" w:w="1950"/>
            <w:tcMar>
              <w:top w:w="80" w:type="dxa"/>
              <w:start w:w="120" w:type="dxa"/>
              <w:bottom w:w="80" w:type="dxa"/>
              <w:end w:w="120" w:type="dxa"/>
            </w:tcMar>
            <w:vAlign w:val="center"/>
          </w:tcPr>
          <w:p>
            <w:pPr>
              <w:spacing w:after="0" w:line="252" w:lineRule="auto"/>
              <w:jc w:val="left"/>
            </w:pPr>
            <w:r>
              <w:rPr>
                <w:rFonts w:ascii="Times New Roman" w:hAnsi="Times New Roman"/>
                <w:color w:val="202529"/>
                <w:sz w:val="15"/>
              </w:rPr>
              <w:t>Not run</w:t>
              <w:br/>
              <w:t>Evidence: [PLACEHOLDER: accessibility evidence]</w:t>
              <w:br/>
              <w:t>Notes: Required before final submission</w:t>
            </w:r>
          </w:p>
        </w:tc>
      </w:tr>
      <w:tr>
        <w:trPr>
          <w:cantSplit/>
        </w:trPr>
        <w:tc>
          <w:tcPr>
            <w:tcW w:type="dxa" w:w="800"/>
            <w:tcMar>
              <w:top w:w="80" w:type="dxa"/>
              <w:start w:w="120" w:type="dxa"/>
              <w:bottom w:w="80" w:type="dxa"/>
              <w:end w:w="120" w:type="dxa"/>
            </w:tcMar>
            <w:vAlign w:val="center"/>
          </w:tcPr>
          <w:p>
            <w:pPr>
              <w:spacing w:after="0" w:line="252" w:lineRule="auto"/>
              <w:jc w:val="center"/>
            </w:pPr>
            <w:r>
              <w:rPr>
                <w:rFonts w:ascii="Times New Roman" w:hAnsi="Times New Roman"/>
                <w:color w:val="202529"/>
                <w:sz w:val="15"/>
              </w:rPr>
              <w:t>TC-033</w:t>
            </w:r>
          </w:p>
        </w:tc>
        <w:tc>
          <w:tcPr>
            <w:tcW w:type="dxa" w:w="1450"/>
            <w:tcMar>
              <w:top w:w="80" w:type="dxa"/>
              <w:start w:w="120" w:type="dxa"/>
              <w:bottom w:w="80" w:type="dxa"/>
              <w:end w:w="120" w:type="dxa"/>
            </w:tcMar>
            <w:vAlign w:val="center"/>
          </w:tcPr>
          <w:p>
            <w:pPr>
              <w:spacing w:after="0" w:line="252" w:lineRule="auto"/>
              <w:jc w:val="left"/>
            </w:pPr>
            <w:r>
              <w:rPr>
                <w:rFonts w:ascii="Times New Roman" w:hAnsi="Times New Roman"/>
                <w:color w:val="202529"/>
                <w:sz w:val="15"/>
              </w:rPr>
              <w:t>Large-cluster performance</w:t>
            </w:r>
          </w:p>
        </w:tc>
        <w:tc>
          <w:tcPr>
            <w:tcW w:type="dxa" w:w="950"/>
            <w:tcMar>
              <w:top w:w="80" w:type="dxa"/>
              <w:start w:w="120" w:type="dxa"/>
              <w:bottom w:w="80" w:type="dxa"/>
              <w:end w:w="120" w:type="dxa"/>
            </w:tcMar>
            <w:vAlign w:val="center"/>
          </w:tcPr>
          <w:p>
            <w:pPr>
              <w:spacing w:after="0" w:line="252" w:lineRule="auto"/>
              <w:jc w:val="center"/>
            </w:pPr>
            <w:r>
              <w:rPr>
                <w:rFonts w:ascii="Times New Roman" w:hAnsi="Times New Roman"/>
                <w:color w:val="202529"/>
                <w:sz w:val="15"/>
              </w:rPr>
              <w:t>Performance</w:t>
            </w:r>
          </w:p>
        </w:tc>
        <w:tc>
          <w:tcPr>
            <w:tcW w:type="dxa" w:w="4000"/>
            <w:tcMar>
              <w:top w:w="80" w:type="dxa"/>
              <w:start w:w="120" w:type="dxa"/>
              <w:bottom w:w="80" w:type="dxa"/>
              <w:end w:w="120" w:type="dxa"/>
            </w:tcMar>
            <w:vAlign w:val="center"/>
          </w:tcPr>
          <w:p>
            <w:pPr>
              <w:spacing w:after="0" w:line="252" w:lineRule="auto"/>
              <w:jc w:val="left"/>
            </w:pPr>
            <w:r>
              <w:rPr>
                <w:rFonts w:ascii="Times New Roman" w:hAnsi="Times New Roman"/>
                <w:color w:val="202529"/>
                <w:sz w:val="15"/>
              </w:rPr>
              <w:t>Measure list, watch, memory and history behavior under load</w:t>
              <w:br/>
              <w:t>Expected: Results meet documented limits</w:t>
            </w:r>
          </w:p>
        </w:tc>
        <w:tc>
          <w:tcPr>
            <w:tcW w:type="dxa" w:w="1350"/>
            <w:tcMar>
              <w:top w:w="80" w:type="dxa"/>
              <w:start w:w="120" w:type="dxa"/>
              <w:bottom w:w="80" w:type="dxa"/>
              <w:end w:w="120" w:type="dxa"/>
            </w:tcMar>
            <w:vAlign w:val="center"/>
          </w:tcPr>
          <w:p>
            <w:pPr>
              <w:spacing w:after="0" w:line="252" w:lineRule="auto"/>
              <w:jc w:val="center"/>
            </w:pPr>
            <w:r>
              <w:rPr>
                <w:rFonts w:ascii="Times New Roman" w:hAnsi="Times New Roman"/>
                <w:color w:val="202529"/>
                <w:sz w:val="15"/>
              </w:rPr>
              <w:t>Planned</w:t>
            </w:r>
          </w:p>
        </w:tc>
        <w:tc>
          <w:tcPr>
            <w:tcW w:type="dxa" w:w="1950"/>
            <w:tcMar>
              <w:top w:w="80" w:type="dxa"/>
              <w:start w:w="120" w:type="dxa"/>
              <w:bottom w:w="80" w:type="dxa"/>
              <w:end w:w="120" w:type="dxa"/>
            </w:tcMar>
            <w:vAlign w:val="center"/>
          </w:tcPr>
          <w:p>
            <w:pPr>
              <w:spacing w:after="0" w:line="252" w:lineRule="auto"/>
              <w:jc w:val="left"/>
            </w:pPr>
            <w:r>
              <w:rPr>
                <w:rFonts w:ascii="Times New Roman" w:hAnsi="Times New Roman"/>
                <w:color w:val="202529"/>
                <w:sz w:val="15"/>
              </w:rPr>
              <w:t>Not run</w:t>
              <w:br/>
              <w:t>Evidence: [PLACEHOLDER: performance evidence]</w:t>
              <w:br/>
              <w:t>Notes: Define limits before execution</w:t>
            </w:r>
          </w:p>
        </w:tc>
      </w:tr>
      <w:tr>
        <w:trPr>
          <w:cantSplit/>
        </w:trPr>
        <w:tc>
          <w:tcPr>
            <w:tcW w:type="dxa" w:w="800"/>
            <w:tcMar>
              <w:top w:w="80" w:type="dxa"/>
              <w:start w:w="120" w:type="dxa"/>
              <w:bottom w:w="80" w:type="dxa"/>
              <w:end w:w="120" w:type="dxa"/>
            </w:tcMar>
            <w:vAlign w:val="center"/>
          </w:tcPr>
          <w:p>
            <w:pPr>
              <w:spacing w:after="0" w:line="252" w:lineRule="auto"/>
              <w:jc w:val="center"/>
            </w:pPr>
            <w:r>
              <w:rPr>
                <w:rFonts w:ascii="Times New Roman" w:hAnsi="Times New Roman"/>
                <w:color w:val="202529"/>
                <w:sz w:val="15"/>
              </w:rPr>
              <w:t>TC-034</w:t>
            </w:r>
          </w:p>
        </w:tc>
        <w:tc>
          <w:tcPr>
            <w:tcW w:type="dxa" w:w="1450"/>
            <w:tcMar>
              <w:top w:w="80" w:type="dxa"/>
              <w:start w:w="120" w:type="dxa"/>
              <w:bottom w:w="80" w:type="dxa"/>
              <w:end w:w="120" w:type="dxa"/>
            </w:tcMar>
            <w:vAlign w:val="center"/>
          </w:tcPr>
          <w:p>
            <w:pPr>
              <w:spacing w:after="0" w:line="252" w:lineRule="auto"/>
              <w:jc w:val="left"/>
            </w:pPr>
            <w:r>
              <w:rPr>
                <w:rFonts w:ascii="Times New Roman" w:hAnsi="Times New Roman"/>
                <w:color w:val="202529"/>
                <w:sz w:val="15"/>
              </w:rPr>
              <w:t>Installation reproduction</w:t>
            </w:r>
          </w:p>
        </w:tc>
        <w:tc>
          <w:tcPr>
            <w:tcW w:type="dxa" w:w="950"/>
            <w:tcMar>
              <w:top w:w="80" w:type="dxa"/>
              <w:start w:w="120" w:type="dxa"/>
              <w:bottom w:w="80" w:type="dxa"/>
              <w:end w:w="120" w:type="dxa"/>
            </w:tcMar>
            <w:vAlign w:val="center"/>
          </w:tcPr>
          <w:p>
            <w:pPr>
              <w:spacing w:after="0" w:line="252" w:lineRule="auto"/>
              <w:jc w:val="center"/>
            </w:pPr>
            <w:r>
              <w:rPr>
                <w:rFonts w:ascii="Times New Roman" w:hAnsi="Times New Roman"/>
                <w:color w:val="202529"/>
                <w:sz w:val="15"/>
              </w:rPr>
              <w:t>Release</w:t>
            </w:r>
          </w:p>
        </w:tc>
        <w:tc>
          <w:tcPr>
            <w:tcW w:type="dxa" w:w="4000"/>
            <w:tcMar>
              <w:top w:w="80" w:type="dxa"/>
              <w:start w:w="120" w:type="dxa"/>
              <w:bottom w:w="80" w:type="dxa"/>
              <w:end w:w="120" w:type="dxa"/>
            </w:tcMar>
            <w:vAlign w:val="center"/>
          </w:tcPr>
          <w:p>
            <w:pPr>
              <w:spacing w:after="0" w:line="252" w:lineRule="auto"/>
              <w:jc w:val="left"/>
            </w:pPr>
            <w:r>
              <w:rPr>
                <w:rFonts w:ascii="Times New Roman" w:hAnsi="Times New Roman"/>
                <w:color w:val="202529"/>
                <w:sz w:val="15"/>
              </w:rPr>
              <w:t>Install from the final ZIP on a clean environment</w:t>
              <w:br/>
              <w:t>Expected: Documented source or container path starts successfully</w:t>
            </w:r>
          </w:p>
        </w:tc>
        <w:tc>
          <w:tcPr>
            <w:tcW w:type="dxa" w:w="1350"/>
            <w:tcMar>
              <w:top w:w="80" w:type="dxa"/>
              <w:start w:w="120" w:type="dxa"/>
              <w:bottom w:w="80" w:type="dxa"/>
              <w:end w:w="120" w:type="dxa"/>
            </w:tcMar>
            <w:vAlign w:val="center"/>
          </w:tcPr>
          <w:p>
            <w:pPr>
              <w:spacing w:after="0" w:line="252" w:lineRule="auto"/>
              <w:jc w:val="center"/>
            </w:pPr>
            <w:r>
              <w:rPr>
                <w:rFonts w:ascii="Times New Roman" w:hAnsi="Times New Roman"/>
                <w:color w:val="202529"/>
                <w:sz w:val="15"/>
              </w:rPr>
              <w:t>Manual</w:t>
            </w:r>
          </w:p>
        </w:tc>
        <w:tc>
          <w:tcPr>
            <w:tcW w:type="dxa" w:w="1950"/>
            <w:tcMar>
              <w:top w:w="80" w:type="dxa"/>
              <w:start w:w="120" w:type="dxa"/>
              <w:bottom w:w="80" w:type="dxa"/>
              <w:end w:w="120" w:type="dxa"/>
            </w:tcMar>
            <w:vAlign w:val="center"/>
          </w:tcPr>
          <w:p>
            <w:pPr>
              <w:spacing w:after="0" w:line="252" w:lineRule="auto"/>
              <w:jc w:val="left"/>
            </w:pPr>
            <w:r>
              <w:rPr>
                <w:rFonts w:ascii="Times New Roman" w:hAnsi="Times New Roman"/>
                <w:color w:val="202529"/>
                <w:sz w:val="15"/>
              </w:rPr>
              <w:t>Not run</w:t>
              <w:br/>
              <w:t>Evidence: [PLACEHOLDER: installation evidence]</w:t>
              <w:br/>
              <w:t>Notes: Run on frozen release</w:t>
            </w:r>
          </w:p>
        </w:tc>
      </w:tr>
    </w:tbl>
    <w:p>
      <w:r>
        <w:br w:type="page"/>
      </w:r>
    </w:p>
    <w:p>
      <w:pPr>
        <w:pStyle w:val="Heading1"/>
      </w:pPr>
      <w:r>
        <w:t>Appendix F. CI job evidence</w:t>
      </w:r>
    </w:p>
    <w:tbl>
      <w:tblPr>
        <w:tblStyle w:val="TableGrid"/>
        <w:tblW w:type="dxa" w:w="10500"/>
        <w:tblLayout w:type="fixed"/>
        <w:tblLook w:firstColumn="1" w:firstRow="1" w:lastColumn="0" w:lastRow="0" w:noHBand="0" w:noVBand="1" w:val="04A0"/>
        <w:jc w:val="left"/>
        <w:tblInd w:w="0" w:type="dxa"/>
      </w:tblPr>
      <w:tblGrid>
        <w:gridCol w:w="2300"/>
        <w:gridCol w:w="900"/>
        <w:gridCol w:w="2200"/>
        <w:gridCol w:w="5100"/>
      </w:tblGrid>
      <w:tr>
        <w:trPr>
          <w:tblHeader w:val="true"/>
          <w:cantSplit/>
        </w:trPr>
        <w:tc>
          <w:tcPr>
            <w:tcW w:type="dxa" w:w="2300"/>
            <w:tcMar>
              <w:top w:w="80" w:type="dxa"/>
              <w:start w:w="120" w:type="dxa"/>
              <w:bottom w:w="80" w:type="dxa"/>
              <w:end w:w="120" w:type="dxa"/>
            </w:tcMar>
            <w:vAlign w:val="center"/>
            <w:shd w:fill="E8F0F4"/>
          </w:tcPr>
          <w:p>
            <w:pPr>
              <w:jc w:val="center"/>
            </w:pPr>
            <w:r>
              <w:rPr>
                <w:rFonts w:ascii="Times New Roman" w:hAnsi="Times New Roman"/>
                <w:b/>
                <w:color w:val="173B4F"/>
                <w:sz w:val="16"/>
              </w:rPr>
              <w:t>Check</w:t>
            </w:r>
          </w:p>
        </w:tc>
        <w:tc>
          <w:tcPr>
            <w:tcW w:type="dxa" w:w="900"/>
            <w:tcMar>
              <w:top w:w="80" w:type="dxa"/>
              <w:start w:w="120" w:type="dxa"/>
              <w:bottom w:w="80" w:type="dxa"/>
              <w:end w:w="120" w:type="dxa"/>
            </w:tcMar>
            <w:vAlign w:val="center"/>
            <w:shd w:fill="E8F0F4"/>
          </w:tcPr>
          <w:p>
            <w:pPr>
              <w:jc w:val="center"/>
            </w:pPr>
            <w:r>
              <w:rPr>
                <w:rFonts w:ascii="Times New Roman" w:hAnsi="Times New Roman"/>
                <w:b/>
                <w:color w:val="173B4F"/>
                <w:sz w:val="16"/>
              </w:rPr>
              <w:t>Result</w:t>
            </w:r>
          </w:p>
        </w:tc>
        <w:tc>
          <w:tcPr>
            <w:tcW w:type="dxa" w:w="2200"/>
            <w:tcMar>
              <w:top w:w="80" w:type="dxa"/>
              <w:start w:w="120" w:type="dxa"/>
              <w:bottom w:w="80" w:type="dxa"/>
              <w:end w:w="120" w:type="dxa"/>
            </w:tcMar>
            <w:vAlign w:val="center"/>
            <w:shd w:fill="E8F0F4"/>
          </w:tcPr>
          <w:p>
            <w:pPr>
              <w:jc w:val="center"/>
            </w:pPr>
            <w:r>
              <w:rPr>
                <w:rFonts w:ascii="Times New Roman" w:hAnsi="Times New Roman"/>
                <w:b/>
                <w:color w:val="173B4F"/>
                <w:sz w:val="16"/>
              </w:rPr>
              <w:t>Execution window UTC</w:t>
            </w:r>
          </w:p>
        </w:tc>
        <w:tc>
          <w:tcPr>
            <w:tcW w:type="dxa" w:w="5100"/>
            <w:tcMar>
              <w:top w:w="80" w:type="dxa"/>
              <w:start w:w="120" w:type="dxa"/>
              <w:bottom w:w="80" w:type="dxa"/>
              <w:end w:w="120" w:type="dxa"/>
            </w:tcMar>
            <w:vAlign w:val="center"/>
            <w:shd w:fill="E8F0F4"/>
          </w:tcPr>
          <w:p>
            <w:pPr>
              <w:jc w:val="center"/>
            </w:pPr>
            <w:r>
              <w:rPr>
                <w:rFonts w:ascii="Times New Roman" w:hAnsi="Times New Roman"/>
                <w:b/>
                <w:color w:val="173B4F"/>
                <w:sz w:val="16"/>
              </w:rPr>
              <w:t>Evidence URL</w:t>
            </w:r>
          </w:p>
        </w:tc>
      </w:tr>
      <w:tr>
        <w:trPr>
          <w:cantSplit/>
        </w:trPr>
        <w:tc>
          <w:tcPr>
            <w:tcW w:type="dxa" w:w="2300"/>
            <w:tcMar>
              <w:top w:w="80" w:type="dxa"/>
              <w:start w:w="120" w:type="dxa"/>
              <w:bottom w:w="80" w:type="dxa"/>
              <w:end w:w="120" w:type="dxa"/>
            </w:tcMar>
            <w:vAlign w:val="center"/>
          </w:tcPr>
          <w:p>
            <w:pPr>
              <w:jc w:val="left"/>
            </w:pPr>
            <w:r>
              <w:rPr>
                <w:rFonts w:ascii="Times New Roman" w:hAnsi="Times New Roman"/>
                <w:color w:val="202529"/>
                <w:sz w:val="15"/>
              </w:rPr>
              <w:t>Backend tests (Go)</w:t>
            </w:r>
          </w:p>
        </w:tc>
        <w:tc>
          <w:tcPr>
            <w:tcW w:type="dxa" w:w="900"/>
            <w:tcMar>
              <w:top w:w="80" w:type="dxa"/>
              <w:start w:w="120" w:type="dxa"/>
              <w:bottom w:w="80" w:type="dxa"/>
              <w:end w:w="120" w:type="dxa"/>
            </w:tcMar>
            <w:vAlign w:val="center"/>
          </w:tcPr>
          <w:p>
            <w:pPr>
              <w:jc w:val="center"/>
            </w:pPr>
            <w:r>
              <w:rPr>
                <w:rFonts w:ascii="Times New Roman" w:hAnsi="Times New Roman"/>
                <w:color w:val="202529"/>
                <w:sz w:val="15"/>
              </w:rPr>
              <w:t>Pass</w:t>
            </w:r>
          </w:p>
        </w:tc>
        <w:tc>
          <w:tcPr>
            <w:tcW w:type="dxa" w:w="2200"/>
            <w:tcMar>
              <w:top w:w="80" w:type="dxa"/>
              <w:start w:w="120" w:type="dxa"/>
              <w:bottom w:w="80" w:type="dxa"/>
              <w:end w:w="120" w:type="dxa"/>
            </w:tcMar>
            <w:vAlign w:val="center"/>
          </w:tcPr>
          <w:p>
            <w:pPr>
              <w:jc w:val="left"/>
            </w:pPr>
            <w:r>
              <w:rPr>
                <w:rFonts w:ascii="Times New Roman" w:hAnsi="Times New Roman"/>
                <w:color w:val="202529"/>
                <w:sz w:val="15"/>
              </w:rPr>
              <w:t>2026-08-28 04:36:52 to 2026-08-28 04:39:46</w:t>
            </w:r>
          </w:p>
        </w:tc>
        <w:tc>
          <w:tcPr>
            <w:tcW w:type="dxa" w:w="5100"/>
            <w:tcMar>
              <w:top w:w="80" w:type="dxa"/>
              <w:start w:w="120" w:type="dxa"/>
              <w:bottom w:w="80" w:type="dxa"/>
              <w:end w:w="120" w:type="dxa"/>
            </w:tcMar>
            <w:vAlign w:val="center"/>
          </w:tcPr>
          <w:p>
            <w:pPr>
              <w:jc w:val="left"/>
            </w:pPr>
            <w:r>
              <w:rPr>
                <w:rFonts w:ascii="Times New Roman" w:hAnsi="Times New Roman"/>
                <w:color w:val="202529"/>
                <w:sz w:val="15"/>
              </w:rPr>
              <w:t>https://github.com/varundeepsaini/kubeview/actions/runs/33142315221/job/98755632174</w:t>
            </w:r>
          </w:p>
        </w:tc>
      </w:tr>
      <w:tr>
        <w:trPr>
          <w:cantSplit/>
        </w:trPr>
        <w:tc>
          <w:tcPr>
            <w:tcW w:type="dxa" w:w="2300"/>
            <w:tcMar>
              <w:top w:w="80" w:type="dxa"/>
              <w:start w:w="120" w:type="dxa"/>
              <w:bottom w:w="80" w:type="dxa"/>
              <w:end w:w="120" w:type="dxa"/>
            </w:tcMar>
            <w:vAlign w:val="center"/>
          </w:tcPr>
          <w:p>
            <w:pPr>
              <w:jc w:val="left"/>
            </w:pPr>
            <w:r>
              <w:rPr>
                <w:rFonts w:ascii="Times New Roman" w:hAnsi="Times New Roman"/>
                <w:color w:val="202529"/>
                <w:sz w:val="15"/>
              </w:rPr>
              <w:t>Backend lint (Go)</w:t>
            </w:r>
          </w:p>
        </w:tc>
        <w:tc>
          <w:tcPr>
            <w:tcW w:type="dxa" w:w="900"/>
            <w:tcMar>
              <w:top w:w="80" w:type="dxa"/>
              <w:start w:w="120" w:type="dxa"/>
              <w:bottom w:w="80" w:type="dxa"/>
              <w:end w:w="120" w:type="dxa"/>
            </w:tcMar>
            <w:vAlign w:val="center"/>
          </w:tcPr>
          <w:p>
            <w:pPr>
              <w:jc w:val="center"/>
            </w:pPr>
            <w:r>
              <w:rPr>
                <w:rFonts w:ascii="Times New Roman" w:hAnsi="Times New Roman"/>
                <w:color w:val="202529"/>
                <w:sz w:val="15"/>
              </w:rPr>
              <w:t>Pass</w:t>
            </w:r>
          </w:p>
        </w:tc>
        <w:tc>
          <w:tcPr>
            <w:tcW w:type="dxa" w:w="2200"/>
            <w:tcMar>
              <w:top w:w="80" w:type="dxa"/>
              <w:start w:w="120" w:type="dxa"/>
              <w:bottom w:w="80" w:type="dxa"/>
              <w:end w:w="120" w:type="dxa"/>
            </w:tcMar>
            <w:vAlign w:val="center"/>
          </w:tcPr>
          <w:p>
            <w:pPr>
              <w:jc w:val="left"/>
            </w:pPr>
            <w:r>
              <w:rPr>
                <w:rFonts w:ascii="Times New Roman" w:hAnsi="Times New Roman"/>
                <w:color w:val="202529"/>
                <w:sz w:val="15"/>
              </w:rPr>
              <w:t>2026-08-28 04:36:51 to 2026-08-28 04:39:26</w:t>
            </w:r>
          </w:p>
        </w:tc>
        <w:tc>
          <w:tcPr>
            <w:tcW w:type="dxa" w:w="5100"/>
            <w:tcMar>
              <w:top w:w="80" w:type="dxa"/>
              <w:start w:w="120" w:type="dxa"/>
              <w:bottom w:w="80" w:type="dxa"/>
              <w:end w:w="120" w:type="dxa"/>
            </w:tcMar>
            <w:vAlign w:val="center"/>
          </w:tcPr>
          <w:p>
            <w:pPr>
              <w:jc w:val="left"/>
            </w:pPr>
            <w:r>
              <w:rPr>
                <w:rFonts w:ascii="Times New Roman" w:hAnsi="Times New Roman"/>
                <w:color w:val="202529"/>
                <w:sz w:val="15"/>
              </w:rPr>
              <w:t>https://github.com/varundeepsaini/kubeview/actions/runs/33142315221/job/98755632178</w:t>
            </w:r>
          </w:p>
        </w:tc>
      </w:tr>
      <w:tr>
        <w:trPr>
          <w:cantSplit/>
        </w:trPr>
        <w:tc>
          <w:tcPr>
            <w:tcW w:type="dxa" w:w="2300"/>
            <w:tcMar>
              <w:top w:w="80" w:type="dxa"/>
              <w:start w:w="120" w:type="dxa"/>
              <w:bottom w:w="80" w:type="dxa"/>
              <w:end w:w="120" w:type="dxa"/>
            </w:tcMar>
            <w:vAlign w:val="center"/>
          </w:tcPr>
          <w:p>
            <w:pPr>
              <w:jc w:val="left"/>
            </w:pPr>
            <w:r>
              <w:rPr>
                <w:rFonts w:ascii="Times New Roman" w:hAnsi="Times New Roman"/>
                <w:color w:val="202529"/>
                <w:sz w:val="15"/>
              </w:rPr>
              <w:t>Frontend (Next.js / TypeScript)</w:t>
            </w:r>
          </w:p>
        </w:tc>
        <w:tc>
          <w:tcPr>
            <w:tcW w:type="dxa" w:w="900"/>
            <w:tcMar>
              <w:top w:w="80" w:type="dxa"/>
              <w:start w:w="120" w:type="dxa"/>
              <w:bottom w:w="80" w:type="dxa"/>
              <w:end w:w="120" w:type="dxa"/>
            </w:tcMar>
            <w:vAlign w:val="center"/>
          </w:tcPr>
          <w:p>
            <w:pPr>
              <w:jc w:val="center"/>
            </w:pPr>
            <w:r>
              <w:rPr>
                <w:rFonts w:ascii="Times New Roman" w:hAnsi="Times New Roman"/>
                <w:color w:val="202529"/>
                <w:sz w:val="15"/>
              </w:rPr>
              <w:t>Pass</w:t>
            </w:r>
          </w:p>
        </w:tc>
        <w:tc>
          <w:tcPr>
            <w:tcW w:type="dxa" w:w="2200"/>
            <w:tcMar>
              <w:top w:w="80" w:type="dxa"/>
              <w:start w:w="120" w:type="dxa"/>
              <w:bottom w:w="80" w:type="dxa"/>
              <w:end w:w="120" w:type="dxa"/>
            </w:tcMar>
            <w:vAlign w:val="center"/>
          </w:tcPr>
          <w:p>
            <w:pPr>
              <w:jc w:val="left"/>
            </w:pPr>
            <w:r>
              <w:rPr>
                <w:rFonts w:ascii="Times New Roman" w:hAnsi="Times New Roman"/>
                <w:color w:val="202529"/>
                <w:sz w:val="15"/>
              </w:rPr>
              <w:t>2026-08-28 04:36:56 to 2026-08-28 04:37:42</w:t>
            </w:r>
          </w:p>
        </w:tc>
        <w:tc>
          <w:tcPr>
            <w:tcW w:type="dxa" w:w="5100"/>
            <w:tcMar>
              <w:top w:w="80" w:type="dxa"/>
              <w:start w:w="120" w:type="dxa"/>
              <w:bottom w:w="80" w:type="dxa"/>
              <w:end w:w="120" w:type="dxa"/>
            </w:tcMar>
            <w:vAlign w:val="center"/>
          </w:tcPr>
          <w:p>
            <w:pPr>
              <w:jc w:val="left"/>
            </w:pPr>
            <w:r>
              <w:rPr>
                <w:rFonts w:ascii="Times New Roman" w:hAnsi="Times New Roman"/>
                <w:color w:val="202529"/>
                <w:sz w:val="15"/>
              </w:rPr>
              <w:t>https://github.com/varundeepsaini/kubeview/actions/runs/33142315221/job/98755632018</w:t>
            </w:r>
          </w:p>
        </w:tc>
      </w:tr>
      <w:tr>
        <w:trPr>
          <w:cantSplit/>
        </w:trPr>
        <w:tc>
          <w:tcPr>
            <w:tcW w:type="dxa" w:w="2300"/>
            <w:tcMar>
              <w:top w:w="80" w:type="dxa"/>
              <w:start w:w="120" w:type="dxa"/>
              <w:bottom w:w="80" w:type="dxa"/>
              <w:end w:w="120" w:type="dxa"/>
            </w:tcMar>
            <w:vAlign w:val="center"/>
          </w:tcPr>
          <w:p>
            <w:pPr>
              <w:jc w:val="left"/>
            </w:pPr>
            <w:r>
              <w:rPr>
                <w:rFonts w:ascii="Times New Roman" w:hAnsi="Times New Roman"/>
                <w:color w:val="202529"/>
                <w:sz w:val="15"/>
              </w:rPr>
              <w:t>CodeQL (Go)</w:t>
            </w:r>
          </w:p>
        </w:tc>
        <w:tc>
          <w:tcPr>
            <w:tcW w:type="dxa" w:w="900"/>
            <w:tcMar>
              <w:top w:w="80" w:type="dxa"/>
              <w:start w:w="120" w:type="dxa"/>
              <w:bottom w:w="80" w:type="dxa"/>
              <w:end w:w="120" w:type="dxa"/>
            </w:tcMar>
            <w:vAlign w:val="center"/>
          </w:tcPr>
          <w:p>
            <w:pPr>
              <w:jc w:val="center"/>
            </w:pPr>
            <w:r>
              <w:rPr>
                <w:rFonts w:ascii="Times New Roman" w:hAnsi="Times New Roman"/>
                <w:color w:val="202529"/>
                <w:sz w:val="15"/>
              </w:rPr>
              <w:t>Pass</w:t>
            </w:r>
          </w:p>
        </w:tc>
        <w:tc>
          <w:tcPr>
            <w:tcW w:type="dxa" w:w="2200"/>
            <w:tcMar>
              <w:top w:w="80" w:type="dxa"/>
              <w:start w:w="120" w:type="dxa"/>
              <w:bottom w:w="80" w:type="dxa"/>
              <w:end w:w="120" w:type="dxa"/>
            </w:tcMar>
            <w:vAlign w:val="center"/>
          </w:tcPr>
          <w:p>
            <w:pPr>
              <w:jc w:val="left"/>
            </w:pPr>
            <w:r>
              <w:rPr>
                <w:rFonts w:ascii="Times New Roman" w:hAnsi="Times New Roman"/>
                <w:color w:val="202529"/>
                <w:sz w:val="15"/>
              </w:rPr>
              <w:t>2026-08-28 04:36:52 to 2026-08-28 04:38:56</w:t>
            </w:r>
          </w:p>
        </w:tc>
        <w:tc>
          <w:tcPr>
            <w:tcW w:type="dxa" w:w="5100"/>
            <w:tcMar>
              <w:top w:w="80" w:type="dxa"/>
              <w:start w:w="120" w:type="dxa"/>
              <w:bottom w:w="80" w:type="dxa"/>
              <w:end w:w="120" w:type="dxa"/>
            </w:tcMar>
            <w:vAlign w:val="center"/>
          </w:tcPr>
          <w:p>
            <w:pPr>
              <w:jc w:val="left"/>
            </w:pPr>
            <w:r>
              <w:rPr>
                <w:rFonts w:ascii="Times New Roman" w:hAnsi="Times New Roman"/>
                <w:color w:val="202529"/>
                <w:sz w:val="15"/>
              </w:rPr>
              <w:t>https://github.com/varundeepsaini/kubeview/actions/runs/33142315221/job/98755632217</w:t>
            </w:r>
          </w:p>
        </w:tc>
      </w:tr>
      <w:tr>
        <w:trPr>
          <w:cantSplit/>
        </w:trPr>
        <w:tc>
          <w:tcPr>
            <w:tcW w:type="dxa" w:w="2300"/>
            <w:tcMar>
              <w:top w:w="80" w:type="dxa"/>
              <w:start w:w="120" w:type="dxa"/>
              <w:bottom w:w="80" w:type="dxa"/>
              <w:end w:w="120" w:type="dxa"/>
            </w:tcMar>
            <w:vAlign w:val="center"/>
          </w:tcPr>
          <w:p>
            <w:pPr>
              <w:jc w:val="left"/>
            </w:pPr>
            <w:r>
              <w:rPr>
                <w:rFonts w:ascii="Times New Roman" w:hAnsi="Times New Roman"/>
                <w:color w:val="202529"/>
                <w:sz w:val="15"/>
              </w:rPr>
              <w:t>CodeQL (JavaScript / TypeScript)</w:t>
            </w:r>
          </w:p>
        </w:tc>
        <w:tc>
          <w:tcPr>
            <w:tcW w:type="dxa" w:w="900"/>
            <w:tcMar>
              <w:top w:w="80" w:type="dxa"/>
              <w:start w:w="120" w:type="dxa"/>
              <w:bottom w:w="80" w:type="dxa"/>
              <w:end w:w="120" w:type="dxa"/>
            </w:tcMar>
            <w:vAlign w:val="center"/>
          </w:tcPr>
          <w:p>
            <w:pPr>
              <w:jc w:val="center"/>
            </w:pPr>
            <w:r>
              <w:rPr>
                <w:rFonts w:ascii="Times New Roman" w:hAnsi="Times New Roman"/>
                <w:color w:val="202529"/>
                <w:sz w:val="15"/>
              </w:rPr>
              <w:t>Pass</w:t>
            </w:r>
          </w:p>
        </w:tc>
        <w:tc>
          <w:tcPr>
            <w:tcW w:type="dxa" w:w="2200"/>
            <w:tcMar>
              <w:top w:w="80" w:type="dxa"/>
              <w:start w:w="120" w:type="dxa"/>
              <w:bottom w:w="80" w:type="dxa"/>
              <w:end w:w="120" w:type="dxa"/>
            </w:tcMar>
            <w:vAlign w:val="center"/>
          </w:tcPr>
          <w:p>
            <w:pPr>
              <w:jc w:val="left"/>
            </w:pPr>
            <w:r>
              <w:rPr>
                <w:rFonts w:ascii="Times New Roman" w:hAnsi="Times New Roman"/>
                <w:color w:val="202529"/>
                <w:sz w:val="15"/>
              </w:rPr>
              <w:t>2026-08-28 04:36:51 to 2026-08-28 04:37:49</w:t>
            </w:r>
          </w:p>
        </w:tc>
        <w:tc>
          <w:tcPr>
            <w:tcW w:type="dxa" w:w="5100"/>
            <w:tcMar>
              <w:top w:w="80" w:type="dxa"/>
              <w:start w:w="120" w:type="dxa"/>
              <w:bottom w:w="80" w:type="dxa"/>
              <w:end w:w="120" w:type="dxa"/>
            </w:tcMar>
            <w:vAlign w:val="center"/>
          </w:tcPr>
          <w:p>
            <w:pPr>
              <w:jc w:val="left"/>
            </w:pPr>
            <w:r>
              <w:rPr>
                <w:rFonts w:ascii="Times New Roman" w:hAnsi="Times New Roman"/>
                <w:color w:val="202529"/>
                <w:sz w:val="15"/>
              </w:rPr>
              <w:t>https://github.com/varundeepsaini/kubeview/actions/runs/33142315221/job/98755632255</w:t>
            </w:r>
          </w:p>
        </w:tc>
      </w:tr>
      <w:tr>
        <w:trPr>
          <w:cantSplit/>
        </w:trPr>
        <w:tc>
          <w:tcPr>
            <w:tcW w:type="dxa" w:w="2300"/>
            <w:tcMar>
              <w:top w:w="80" w:type="dxa"/>
              <w:start w:w="120" w:type="dxa"/>
              <w:bottom w:w="80" w:type="dxa"/>
              <w:end w:w="120" w:type="dxa"/>
            </w:tcMar>
            <w:vAlign w:val="center"/>
          </w:tcPr>
          <w:p>
            <w:pPr>
              <w:jc w:val="left"/>
            </w:pPr>
            <w:r>
              <w:rPr>
                <w:rFonts w:ascii="Times New Roman" w:hAnsi="Times New Roman"/>
                <w:color w:val="202529"/>
                <w:sz w:val="15"/>
              </w:rPr>
              <w:t>E2E (Playwright)</w:t>
            </w:r>
          </w:p>
        </w:tc>
        <w:tc>
          <w:tcPr>
            <w:tcW w:type="dxa" w:w="900"/>
            <w:tcMar>
              <w:top w:w="80" w:type="dxa"/>
              <w:start w:w="120" w:type="dxa"/>
              <w:bottom w:w="80" w:type="dxa"/>
              <w:end w:w="120" w:type="dxa"/>
            </w:tcMar>
            <w:vAlign w:val="center"/>
          </w:tcPr>
          <w:p>
            <w:pPr>
              <w:jc w:val="center"/>
            </w:pPr>
            <w:r>
              <w:rPr>
                <w:rFonts w:ascii="Times New Roman" w:hAnsi="Times New Roman"/>
                <w:color w:val="202529"/>
                <w:sz w:val="15"/>
              </w:rPr>
              <w:t>Pass</w:t>
            </w:r>
          </w:p>
        </w:tc>
        <w:tc>
          <w:tcPr>
            <w:tcW w:type="dxa" w:w="2200"/>
            <w:tcMar>
              <w:top w:w="80" w:type="dxa"/>
              <w:start w:w="120" w:type="dxa"/>
              <w:bottom w:w="80" w:type="dxa"/>
              <w:end w:w="120" w:type="dxa"/>
            </w:tcMar>
            <w:vAlign w:val="center"/>
          </w:tcPr>
          <w:p>
            <w:pPr>
              <w:jc w:val="left"/>
            </w:pPr>
            <w:r>
              <w:rPr>
                <w:rFonts w:ascii="Times New Roman" w:hAnsi="Times New Roman"/>
                <w:color w:val="202529"/>
                <w:sz w:val="15"/>
              </w:rPr>
              <w:t>2026-08-28 04:36:51 to 2026-08-28 04:41:35</w:t>
            </w:r>
          </w:p>
        </w:tc>
        <w:tc>
          <w:tcPr>
            <w:tcW w:type="dxa" w:w="5100"/>
            <w:tcMar>
              <w:top w:w="80" w:type="dxa"/>
              <w:start w:w="120" w:type="dxa"/>
              <w:bottom w:w="80" w:type="dxa"/>
              <w:end w:w="120" w:type="dxa"/>
            </w:tcMar>
            <w:vAlign w:val="center"/>
          </w:tcPr>
          <w:p>
            <w:pPr>
              <w:jc w:val="left"/>
            </w:pPr>
            <w:r>
              <w:rPr>
                <w:rFonts w:ascii="Times New Roman" w:hAnsi="Times New Roman"/>
                <w:color w:val="202529"/>
                <w:sz w:val="15"/>
              </w:rPr>
              <w:t>https://github.com/varundeepsaini/kubeview/actions/runs/33142315221/job/98755632131</w:t>
            </w:r>
          </w:p>
        </w:tc>
      </w:tr>
    </w:tbl>
    <w:sectPr w:rsidR="00FC693F" w:rsidRPr="0006063C" w:rsidSect="00034616">
      <w:headerReference w:type="default" r:id="rId15"/>
      <w:footerReference w:type="default" r:id="rId16"/>
      <w:pgSz w:w="16838" w:h="11906" w:orient="landscape"/>
      <w:pgMar w:top="792" w:right="792" w:bottom="792" w:left="792"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D6870"/>
        <w:sz w:val="17"/>
      </w:rPr>
      <w:t xml:space="preserve">Page </w:t>
    </w:r>
    <w: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D6870"/>
        <w:sz w:val="17"/>
      </w:rPr>
      <w:t xml:space="preserve">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color w:val="5D6870"/>
        <w:sz w:val="17"/>
      </w:rPr>
      <w:t>KubeView final project report | Supervisor review copy</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color w:val="5D6870"/>
        <w:sz w:val="17"/>
      </w:rPr>
      <w:t>KubeView final project report | Supervisor review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60" w:lineRule="auto"/>
      <w:jc w:val="both"/>
    </w:pPr>
    <w:rPr>
      <w:rFonts w:ascii="Times New Roman" w:hAnsi="Times New Roman"/>
      <w:color w:val="202529"/>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Times New Roman" w:hAnsi="Times New Roman"/>
      <w:b/>
      <w:bCs/>
      <w:color w:val="2E5E78"/>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2E5E78"/>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b/>
      <w:bCs/>
      <w:color w:val="173B4F"/>
      <w:sz w:val="28"/>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Times New Roman" w:hAnsi="Times New Roman"/>
      <w:b/>
      <w:bCs/>
      <w:i/>
      <w:iCs/>
      <w:color w:val="173B4F"/>
      <w:sz w:val="2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60" w:lineRule="auto"/>
      <w:ind w:left="540" w:hanging="279"/>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60" w:lineRule="auto"/>
      <w:ind w:left="540" w:hanging="279"/>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00"/>
    </w:pPr>
    <w:rPr>
      <w:rFonts w:ascii="Times New Roman" w:hAnsi="Times New Roman"/>
      <w:b/>
      <w:bCs/>
      <w:i/>
      <w:color w:val="5D687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60"/>
      <w:ind w:left="288" w:right="288"/>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eader" Target="header2.xml"/><Relationship Id="rId16"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KubeView final project report</dc:title>
  <dc:subject>Supervisor review copy with placeholders</dc:subject>
  <dc:creator>Ankur Kalita; Pradyut Fogla; Varun Deep Saini</dc:creator>
  <cp:keywords/>
  <dc:description>generated by python-docx</dc:description>
  <cp:lastModifiedBy/>
  <cp:revision>1</cp:revision>
  <dcterms:created xsi:type="dcterms:W3CDTF">2013-12-23T23:15:00Z</dcterms:created>
  <dcterms:modified xsi:type="dcterms:W3CDTF">2013-12-23T23:15:00Z</dcterms:modified>
  <cp:category/>
</cp:coreProperties>
</file>