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731EE3" w:sz="8"/>
        </w:pBdr>
        <w:spacing w:after="200"/>
      </w:pPr>
      <w:r>
        <w:rPr>
          <w:rFonts w:ascii="Calibri" w:cs="Calibri" w:eastAsia="Calibri" w:hAnsi="Calibri"/>
          <w:b/>
          <w:bCs/>
          <w:color w:val="29065A"/>
          <w:sz w:val="40"/>
          <w:szCs w:val="40"/>
        </w:rPr>
        <w:t xml:space="preserve">AI-Driven Prior Authorization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9065A"/>
          <w:sz w:val="26"/>
          <w:szCs w:val="26"/>
        </w:rPr>
        <w:t xml:space="preserve">Solution Architecture for a Large US Health Plan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Paul Prae  |  Principal AI Engineer &amp; Architect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www.paulprae.com</w:t>
      </w:r>
    </w:p>
    <w:p>
      <w:pPr>
        <w:pStyle w:val="Heading1"/>
        <w:pageBreakBefore/>
        <w:pBdr>
          <w:bottom w:val="single" w:color="731EE3" w:sz="8"/>
        </w:pBdr>
        <w:spacing w:after="200"/>
      </w:pPr>
      <w:r>
        <w:rPr>
          <w:rFonts w:ascii="Calibri" w:cs="Calibri" w:eastAsia="Calibri" w:hAnsi="Calibri"/>
          <w:b/>
          <w:bCs/>
          <w:color w:val="29065A"/>
          <w:sz w:val="40"/>
          <w:szCs w:val="40"/>
        </w:rPr>
        <w:t xml:space="preserve">The Problem &amp; Opportunity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9065A"/>
          <w:sz w:val="26"/>
          <w:szCs w:val="26"/>
        </w:rPr>
        <w:t xml:space="preserve">The Problem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Manual PA costs $10.97/transaction provider-side (CAQH 2024), $3.52 payer-side vs $0.05 electronic. 93% of physicians say PA delays care (AMA 2024).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9065A"/>
          <w:sz w:val="26"/>
          <w:szCs w:val="26"/>
        </w:rPr>
        <w:t xml:space="preserve">The Opportunity — Altais + Autonomize AI (Feb 2026)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2906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shd w:fill="2906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 review time reduction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45%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Manual error reduction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54%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Auto-determination rate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50%</w:t>
            </w:r>
          </w:p>
        </w:tc>
      </w:tr>
    </w:tbl>
    <w:p>
      <w:pPr>
        <w:spacing w:after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9065A"/>
          <w:sz w:val="26"/>
          <w:szCs w:val="26"/>
        </w:rPr>
        <w:t xml:space="preserve">Why Autonomize AI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• Live at 3 of the 5 largest US health plans
• PA Copilot on Azure Marketplace — Microsoft Pegasus Program member
• ServiceNow partnership extends reach into payer workflows
• CMS-0057-F deadline (Jan 2027) creates urgency</w:t>
      </w:r>
    </w:p>
    <w:p>
      <w:pPr>
        <w:pStyle w:val="Heading1"/>
        <w:pageBreakBefore/>
        <w:pBdr>
          <w:bottom w:val="single" w:color="731EE3" w:sz="8"/>
        </w:pBdr>
        <w:spacing w:after="200"/>
      </w:pPr>
      <w:r>
        <w:rPr>
          <w:rFonts w:ascii="Calibri" w:cs="Calibri" w:eastAsia="Calibri" w:hAnsi="Calibri"/>
          <w:b/>
          <w:bCs/>
          <w:color w:val="29065A"/>
          <w:sz w:val="40"/>
          <w:szCs w:val="40"/>
        </w:rPr>
        <w:t xml:space="preserve">PA Request Lifecycle</w:t>
      </w:r>
    </w:p>
    <w:p>
      <w:pPr>
        <w:spacing w:after="160" w:before="160"/>
        <w:jc w:val="center"/>
      </w:pPr>
      <w:r>
        <w:drawing>
          <wp:inline distT="0" distB="0" distL="0" distR="0">
            <wp:extent cx="5943600" cy="876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731EE3" w:sz="12"/>
        </w:pBdr>
        <w:shd w:fill="F8F4FE" w:val="clear"/>
        <w:spacing w:after="100" w:before="100"/>
        <w:ind w:left="215" w:right="215"/>
      </w:pPr>
      <w:r>
        <w:rPr>
          <w:rFonts w:ascii="Calibri" w:cs="Calibri" w:eastAsia="Calibri" w:hAnsi="Calibri"/>
          <w:b/>
          <w:bCs/>
          <w:color w:val="29065A"/>
          <w:sz w:val="22"/>
          <w:szCs w:val="22"/>
        </w:rPr>
        <w:t xml:space="preserve"/>
      </w:r>
      <w:r>
        <w:rPr>
          <w:rFonts w:ascii="Calibri" w:cs="Calibri" w:eastAsia="Calibri" w:hAnsi="Calibri"/>
          <w:sz w:val="22"/>
          <w:szCs w:val="22"/>
        </w:rPr>
        <w:t xml:space="preserve">Submit → Intake (OCR) → Validate (eligibility) → AI Review (coverage matching + confidence) → Route (auto-approve / human review / pend) → Respond (payer core + provider notification)</w:t>
      </w:r>
    </w:p>
    <w:p>
      <w:pPr>
        <w:pStyle w:val="Heading1"/>
        <w:pageBreakBefore/>
        <w:pBdr>
          <w:bottom w:val="single" w:color="731EE3" w:sz="8"/>
        </w:pBdr>
        <w:spacing w:after="200"/>
      </w:pPr>
      <w:r>
        <w:rPr>
          <w:rFonts w:ascii="Calibri" w:cs="Calibri" w:eastAsia="Calibri" w:hAnsi="Calibri"/>
          <w:b/>
          <w:bCs/>
          <w:color w:val="29065A"/>
          <w:sz w:val="40"/>
          <w:szCs w:val="40"/>
        </w:rPr>
        <w:t xml:space="preserve">Demo — Proof of Concept</w:t>
      </w:r>
    </w:p>
    <w:p>
      <w:pPr>
        <w:pBdr>
          <w:left w:val="single" w:color="731EE3" w:sz="12"/>
        </w:pBdr>
        <w:shd w:fill="F8F4FE" w:val="clear"/>
        <w:spacing w:after="100" w:before="100"/>
        <w:ind w:left="215" w:right="215"/>
      </w:pPr>
      <w:r>
        <w:rPr>
          <w:rFonts w:ascii="Calibri" w:cs="Calibri" w:eastAsia="Calibri" w:hAnsi="Calibri"/>
          <w:b/>
          <w:bCs/>
          <w:color w:val="29065A"/>
          <w:sz w:val="22"/>
          <w:szCs w:val="22"/>
        </w:rPr>
        <w:t xml:space="preserve">LIVE DEMO: </w:t>
      </w:r>
      <w:r>
        <w:rPr>
          <w:rFonts w:ascii="Calibri" w:cs="Calibri" w:eastAsia="Calibri" w:hAnsi="Calibri"/>
          <w:sz w:val="22"/>
          <w:szCs w:val="22"/>
        </w:rPr>
        <w:t xml:space="preserve">Working proof of concept — demonstrates core clinical review (steps 4-5 of the lifecycle).</w:t>
      </w:r>
    </w:p>
    <w:p>
      <w:pPr>
        <w:spacing w:after="160" w:before="160"/>
        <w:jc w:val="center"/>
      </w:pPr>
      <w:r>
        <w:drawing>
          <wp:inline distT="0" distB="0" distL="0" distR="0">
            <wp:extent cx="5943600" cy="3914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2906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Demo Scope (Phase 0)</w:t>
            </w:r>
          </w:p>
        </w:tc>
        <w:tc>
          <w:tcPr>
            <w:shd w:fill="2906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Production Differences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 PA cases with real ICD-10/CPT codes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Mock eligibility → Payer Core integration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AI reviews in ~30s via Claude tool use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Local criteria → CMS Coverage Database API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FHIR R4 data models (fhir.resources R4B)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Synthetic data → real clinical records via FHIR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CLI, REST API + Swagger, Web Dashboard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Single-user → Azure Container Apps + auto-scale</w:t>
            </w:r>
          </w:p>
        </w:tc>
      </w:tr>
    </w:tbl>
    <w:p>
      <w:pPr>
        <w:spacing w:after="120"/>
      </w:pPr>
    </w:p>
    <w:p>
      <w:pPr>
        <w:pStyle w:val="Heading1"/>
        <w:pageBreakBefore/>
        <w:pBdr>
          <w:bottom w:val="single" w:color="731EE3" w:sz="8"/>
        </w:pBdr>
        <w:spacing w:after="200"/>
      </w:pPr>
      <w:r>
        <w:rPr>
          <w:rFonts w:ascii="Calibri" w:cs="Calibri" w:eastAsia="Calibri" w:hAnsi="Calibri"/>
          <w:b/>
          <w:bCs/>
          <w:color w:val="29065A"/>
          <w:sz w:val="40"/>
          <w:szCs w:val="40"/>
        </w:rPr>
        <w:t xml:space="preserve">System Context</w:t>
      </w:r>
    </w:p>
    <w:p>
      <w:pPr>
        <w:spacing w:after="160" w:before="160"/>
        <w:jc w:val="center"/>
      </w:pPr>
      <w:r>
        <w:drawing>
          <wp:inline distT="0" distB="0" distL="0" distR="0">
            <wp:extent cx="5943600" cy="1866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906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shd w:fill="2906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shd w:fill="2906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Integration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Healthcare Providers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Submit PA requests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Fax, Portal, X12 278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Autonomize AI Platform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AI-driven clinical review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 Copilot on Genesis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Health Plan Systems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Eligibility, benefits, clinical data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REST API, FHIR R4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Regulators (CMS)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Compliance reporting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CMS-0057-F metrics</w:t>
            </w:r>
          </w:p>
        </w:tc>
      </w:tr>
    </w:tbl>
    <w:p>
      <w:pPr>
        <w:spacing w:after="120"/>
      </w:pPr>
    </w:p>
    <w:p>
      <w:pPr>
        <w:pStyle w:val="Heading1"/>
        <w:pageBreakBefore/>
        <w:pBdr>
          <w:bottom w:val="single" w:color="731EE3" w:sz="8"/>
        </w:pBdr>
        <w:spacing w:after="200"/>
      </w:pPr>
      <w:r>
        <w:rPr>
          <w:rFonts w:ascii="Calibri" w:cs="Calibri" w:eastAsia="Calibri" w:hAnsi="Calibri"/>
          <w:b/>
          <w:bCs/>
          <w:color w:val="29065A"/>
          <w:sz w:val="40"/>
          <w:szCs w:val="40"/>
        </w:rPr>
        <w:t xml:space="preserve">Solution Architecture</w:t>
      </w:r>
    </w:p>
    <w:p>
      <w:pPr>
        <w:spacing w:after="160" w:before="160"/>
        <w:jc w:val="center"/>
      </w:pPr>
      <w:r>
        <w:drawing>
          <wp:inline distT="0" distB="0" distL="0" distR="0">
            <wp:extent cx="5943600" cy="8743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74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906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shd w:fill="2906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Azure Service</w:t>
            </w:r>
          </w:p>
        </w:tc>
        <w:tc>
          <w:tcPr>
            <w:shd w:fill="2906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Ingestion Gateway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API Mgmt + Functions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Receives all PA channels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Document Processing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AI Document Intelligence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OCR for faxes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Eligibility Service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Payer Core REST API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Member validation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Clinical Data Aggregation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Health Data Services (FHIR R4)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Unified clinical context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 Copilot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Genesis Platform + Claude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AI clinical review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Determination Router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Functions + Rules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Confidence-based routing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Clinical Review Dashboard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Autonomize AI Studio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Human reviewer interface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Determination Response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Azure Functions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Payer Core writeback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LLMOps Pipeline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Azure Monitor + Evals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Performance monitoring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Audit &amp; Compliance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Immutable Blob Storage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Tamper-proof audit trail</w:t>
            </w:r>
          </w:p>
        </w:tc>
      </w:tr>
    </w:tbl>
    <w:p>
      <w:pPr>
        <w:spacing w:after="120"/>
      </w:pPr>
    </w:p>
    <w:p>
      <w:pPr>
        <w:pStyle w:val="Heading1"/>
        <w:pageBreakBefore/>
        <w:pBdr>
          <w:bottom w:val="single" w:color="731EE3" w:sz="8"/>
        </w:pBdr>
        <w:spacing w:after="200"/>
      </w:pPr>
      <w:r>
        <w:rPr>
          <w:rFonts w:ascii="Calibri" w:cs="Calibri" w:eastAsia="Calibri" w:hAnsi="Calibri"/>
          <w:b/>
          <w:bCs/>
          <w:color w:val="29065A"/>
          <w:sz w:val="40"/>
          <w:szCs w:val="40"/>
        </w:rPr>
        <w:t xml:space="preserve">Why This Architecture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• Safety-first routing — confidence thresholds route low-certainty cases to human reviewers; no auto-deny without clinical review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• Configurable thresholds — start conservative, tune with real performance data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• CMS-0057-F compliance — FHIR R4 foundation meets Jan 2027 API deadline without re-architecture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• Azure-native — leverages Autonomize's Azure ecosystem, Pegasus Program, and Marketplace presence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• Full audit trail — every determination records model version, input hash, reasoning, evidence, and confidence for 7-year retention</w:t>
      </w:r>
    </w:p>
    <w:p>
      <w:pPr>
        <w:pStyle w:val="Heading1"/>
        <w:pageBreakBefore/>
        <w:pBdr>
          <w:bottom w:val="single" w:color="731EE3" w:sz="8"/>
        </w:pBdr>
        <w:spacing w:after="200"/>
      </w:pPr>
      <w:r>
        <w:rPr>
          <w:rFonts w:ascii="Calibri" w:cs="Calibri" w:eastAsia="Calibri" w:hAnsi="Calibri"/>
          <w:b/>
          <w:bCs/>
          <w:color w:val="29065A"/>
          <w:sz w:val="40"/>
          <w:szCs w:val="40"/>
        </w:rPr>
        <w:t xml:space="preserve">Top 3 Security Risks &amp; Mitigations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906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shd w:fill="2906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shd w:fill="2906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Architectural Mitigation</w:t>
            </w:r>
          </w:p>
        </w:tc>
        <w:tc>
          <w:tcPr>
            <w:shd w:fill="2906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Operational Mitigation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PHI exposure through AI pipeline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PHI tokenization before LLM — AI sees clinical facts without patient identity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Zero data retention for model training (enterprise terms)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Prompt injection via clinical docs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Document sanitization + system prompt isolation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Output validation requires evidence citations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Untraceable AI decisions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Tamper-proof audit: model version, input hash, reasoning, confidence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Immutable 7-year retention, append-only writes</w:t>
            </w:r>
          </w:p>
        </w:tc>
      </w:tr>
    </w:tbl>
    <w:p>
      <w:pPr>
        <w:spacing w:after="120"/>
      </w:pPr>
    </w:p>
    <w:p>
      <w:pPr>
        <w:pBdr>
          <w:left w:val="single" w:color="731EE3" w:sz="12"/>
        </w:pBdr>
        <w:shd w:fill="F8F4FE" w:val="clear"/>
        <w:spacing w:after="100" w:before="100"/>
        <w:ind w:left="215" w:right="215"/>
      </w:pPr>
      <w:r>
        <w:rPr>
          <w:rFonts w:ascii="Calibri" w:cs="Calibri" w:eastAsia="Calibri" w:hAnsi="Calibri"/>
          <w:b/>
          <w:bCs/>
          <w:color w:val="29065A"/>
          <w:sz w:val="22"/>
          <w:szCs w:val="22"/>
        </w:rPr>
        <w:t xml:space="preserve">Additional controls: </w:t>
      </w:r>
      <w:r>
        <w:rPr>
          <w:rFonts w:ascii="Calibri" w:cs="Calibri" w:eastAsia="Calibri" w:hAnsi="Calibri"/>
          <w:sz w:val="22"/>
          <w:szCs w:val="22"/>
        </w:rPr>
        <w:t xml:space="preserve">Entra ID RBAC, AES-256 at rest, TLS 1.2+ in transit, private endpoints, no auto-deny without human review.</w:t>
      </w:r>
    </w:p>
    <w:p>
      <w:pPr>
        <w:pStyle w:val="Heading1"/>
        <w:pageBreakBefore/>
        <w:pBdr>
          <w:bottom w:val="single" w:color="731EE3" w:sz="8"/>
        </w:pBdr>
        <w:spacing w:after="200"/>
      </w:pPr>
      <w:r>
        <w:rPr>
          <w:rFonts w:ascii="Calibri" w:cs="Calibri" w:eastAsia="Calibri" w:hAnsi="Calibri"/>
          <w:b/>
          <w:bCs/>
          <w:color w:val="29065A"/>
          <w:sz w:val="40"/>
          <w:szCs w:val="40"/>
        </w:rPr>
        <w:t xml:space="preserve">Progressive Delivery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906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shd w:fill="2906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shd w:fill="2906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Deliverable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Phase 0: Demo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Prove the concept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Working AI PA review with mock data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Phase 1: MVP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Single LOB, single channel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Production PA processing with human review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Phase 2: Scale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Multi-channel, multi-LOB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Fax OCR, legacy data, LOB configuration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Phase 3: Enterprise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Full scale, compliance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channels, 20 LOBs, CMS reporting</w:t>
            </w:r>
          </w:p>
        </w:tc>
      </w:tr>
    </w:tbl>
    <w:p>
      <w:pPr>
        <w:spacing w:after="120"/>
      </w:pPr>
    </w:p>
    <w:p>
      <w:pPr>
        <w:pBdr>
          <w:left w:val="single" w:color="731EE3" w:sz="12"/>
        </w:pBdr>
        <w:shd w:fill="F8F4FE" w:val="clear"/>
        <w:spacing w:after="100" w:before="100"/>
        <w:ind w:left="215" w:right="215"/>
      </w:pPr>
      <w:r>
        <w:rPr>
          <w:rFonts w:ascii="Calibri" w:cs="Calibri" w:eastAsia="Calibri" w:hAnsi="Calibri"/>
          <w:b/>
          <w:bCs/>
          <w:color w:val="29065A"/>
          <w:sz w:val="22"/>
          <w:szCs w:val="22"/>
        </w:rPr>
        <w:t xml:space="preserve">Design principle: </w:t>
      </w:r>
      <w:r>
        <w:rPr>
          <w:rFonts w:ascii="Calibri" w:cs="Calibri" w:eastAsia="Calibri" w:hAnsi="Calibri"/>
          <w:sz w:val="22"/>
          <w:szCs w:val="22"/>
        </w:rPr>
        <w:t xml:space="preserve">Each phase produces a deployable, demonstrable system. Decision gates between phases use real performance data to scope the next phase.</w:t>
      </w:r>
    </w:p>
    <w:p>
      <w:pPr>
        <w:pStyle w:val="Heading1"/>
        <w:pageBreakBefore/>
        <w:pBdr>
          <w:bottom w:val="single" w:color="731EE3" w:sz="8"/>
        </w:pBdr>
        <w:spacing w:after="200"/>
      </w:pPr>
      <w:r>
        <w:rPr>
          <w:rFonts w:ascii="Calibri" w:cs="Calibri" w:eastAsia="Calibri" w:hAnsi="Calibri"/>
          <w:b/>
          <w:bCs/>
          <w:color w:val="29065A"/>
          <w:sz w:val="40"/>
          <w:szCs w:val="40"/>
        </w:rPr>
        <w:t xml:space="preserve">Discussion Starters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9065A"/>
          <w:sz w:val="26"/>
          <w:szCs w:val="26"/>
        </w:rPr>
        <w:t xml:space="preserve">Business Strategy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• How does the ServiceNow partnership change payer integration strategy?
• What is the target auto-determination rate for Phase 1?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9065A"/>
          <w:sz w:val="26"/>
          <w:szCs w:val="26"/>
        </w:rPr>
        <w:t xml:space="preserve">Technical Depth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• How does the Genesis Platform handle coverage criteria updates?
• What's the Azure AI Foundry Agent Service integration status?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9065A"/>
          <w:sz w:val="26"/>
          <w:szCs w:val="26"/>
        </w:rPr>
        <w:t xml:space="preserve">Implementation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• Which LOB is the ideal Phase 1 candidate?
• What's been the biggest integration challenge with existing payer deployments?</w:t>
      </w:r>
    </w:p>
    <w:p>
      <w:pPr>
        <w:pStyle w:val="Heading1"/>
        <w:pageBreakBefore/>
        <w:pBdr>
          <w:bottom w:val="single" w:color="731EE3" w:sz="8"/>
        </w:pBdr>
        <w:spacing w:after="200"/>
      </w:pPr>
      <w:r>
        <w:rPr>
          <w:rFonts w:ascii="Calibri" w:cs="Calibri" w:eastAsia="Calibri" w:hAnsi="Calibri"/>
          <w:b/>
          <w:bCs/>
          <w:color w:val="29065A"/>
          <w:sz w:val="40"/>
          <w:szCs w:val="40"/>
        </w:rPr>
        <w:t xml:space="preserve">Appendix A: Clinical Data Integration</w:t>
      </w:r>
    </w:p>
    <w:p>
      <w:pPr>
        <w:spacing w:after="160" w:before="160"/>
        <w:jc w:val="center"/>
      </w:pPr>
      <w:r>
        <w:drawing>
          <wp:inline distT="0" distB="0" distL="0" distR="0">
            <wp:extent cx="5943600" cy="2486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906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shd w:fill="2906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Protocol</w:t>
            </w:r>
          </w:p>
        </w:tc>
        <w:tc>
          <w:tcPr>
            <w:shd w:fill="2906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Modern EMRs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FHIR R4 REST API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OAuth 2.0 / SMART on FHIR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Legacy DB Connector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DB connector / HL7 v2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Service account + VNet</w:t>
            </w:r>
          </w:p>
        </w:tc>
      </w:tr>
    </w:tbl>
    <w:p>
      <w:pPr>
        <w:spacing w:after="120"/>
      </w:pPr>
    </w:p>
    <w:p>
      <w:pPr>
        <w:pBdr>
          <w:left w:val="single" w:color="731EE3" w:sz="12"/>
        </w:pBdr>
        <w:shd w:fill="F8F4FE" w:val="clear"/>
        <w:spacing w:after="100" w:before="100"/>
        <w:ind w:left="215" w:right="215"/>
      </w:pPr>
      <w:r>
        <w:rPr>
          <w:rFonts w:ascii="Calibri" w:cs="Calibri" w:eastAsia="Calibri" w:hAnsi="Calibri"/>
          <w:b/>
          <w:bCs/>
          <w:color w:val="29065A"/>
          <w:sz w:val="22"/>
          <w:szCs w:val="22"/>
        </w:rPr>
        <w:t xml:space="preserve">FHIR R4: </w:t>
      </w:r>
      <w:r>
        <w:rPr>
          <w:rFonts w:ascii="Calibri" w:cs="Calibri" w:eastAsia="Calibri" w:hAnsi="Calibri"/>
          <w:sz w:val="22"/>
          <w:szCs w:val="22"/>
        </w:rPr>
        <w:t xml:space="preserve">Interoperability standard for clinical data. Modern sources expose natively; legacy data normalized before AI processing.</w:t>
      </w:r>
    </w:p>
    <w:p>
      <w:pPr>
        <w:pBdr>
          <w:left w:val="single" w:color="731EE3" w:sz="12"/>
        </w:pBdr>
        <w:shd w:fill="F8F4FE" w:val="clear"/>
        <w:spacing w:after="100" w:before="100"/>
        <w:ind w:left="215" w:right="215"/>
      </w:pPr>
      <w:r>
        <w:rPr>
          <w:rFonts w:ascii="Calibri" w:cs="Calibri" w:eastAsia="Calibri" w:hAnsi="Calibri"/>
          <w:b/>
          <w:bCs/>
          <w:color w:val="29065A"/>
          <w:sz w:val="22"/>
          <w:szCs w:val="22"/>
        </w:rPr>
        <w:t xml:space="preserve">Security: </w:t>
      </w:r>
      <w:r>
        <w:rPr>
          <w:rFonts w:ascii="Calibri" w:cs="Calibri" w:eastAsia="Calibri" w:hAnsi="Calibri"/>
          <w:sz w:val="22"/>
          <w:szCs w:val="22"/>
        </w:rPr>
        <w:t xml:space="preserve">All clinical data passes through PHI tokenization before reaching the AI engine.</w:t>
      </w:r>
    </w:p>
    <w:p>
      <w:pPr>
        <w:pStyle w:val="Heading1"/>
        <w:pageBreakBefore/>
        <w:pBdr>
          <w:bottom w:val="single" w:color="731EE3" w:sz="8"/>
        </w:pBdr>
        <w:spacing w:after="200"/>
      </w:pPr>
      <w:r>
        <w:rPr>
          <w:rFonts w:ascii="Calibri" w:cs="Calibri" w:eastAsia="Calibri" w:hAnsi="Calibri"/>
          <w:b/>
          <w:bCs/>
          <w:color w:val="29065A"/>
          <w:sz w:val="40"/>
          <w:szCs w:val="40"/>
        </w:rPr>
        <w:t xml:space="preserve">Appendix B: AI Model Monitoring &amp; Feedback</w:t>
      </w:r>
    </w:p>
    <w:p>
      <w:pPr>
        <w:spacing w:after="160" w:before="160"/>
        <w:jc w:val="center"/>
      </w:pPr>
      <w:r>
        <w:drawing>
          <wp:inline distT="0" distB="0" distL="0" distR="0">
            <wp:extent cx="5943600" cy="1762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9065A"/>
          <w:sz w:val="26"/>
          <w:szCs w:val="26"/>
        </w:rPr>
        <w:t xml:space="preserve">Detect drift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• Overturn rate monitoring (human overrides AI), appeal rate, accuracy trends
• Automated evals — golden test cases benchmarked on schedule
• Confidence distribution shifts signal model or data changes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9065A"/>
          <w:sz w:val="26"/>
          <w:szCs w:val="26"/>
        </w:rPr>
        <w:t xml:space="preserve">Feedback loop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1. Reviewer corrections → updated eval dataset  2. Benchmark new vs current  3. Staged blue-green rollout  4. Guardrails always active</w:t>
      </w:r>
    </w:p>
    <w:p>
      <w:pPr>
        <w:pStyle w:val="Heading1"/>
        <w:pageBreakBefore/>
        <w:pBdr>
          <w:bottom w:val="single" w:color="731EE3" w:sz="8"/>
        </w:pBdr>
        <w:spacing w:after="200"/>
      </w:pPr>
      <w:r>
        <w:rPr>
          <w:rFonts w:ascii="Calibri" w:cs="Calibri" w:eastAsia="Calibri" w:hAnsi="Calibri"/>
          <w:b/>
          <w:bCs/>
          <w:color w:val="29065A"/>
          <w:sz w:val="40"/>
          <w:szCs w:val="40"/>
        </w:rPr>
        <w:t xml:space="preserve">Appendix C: Scaling to 20 LOBs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906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  <w:tc>
          <w:tcPr>
            <w:shd w:fill="2906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shd w:fill="2906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Isolation</w:t>
            </w:r>
          </w:p>
        </w:tc>
        <w:tc>
          <w:tcPr>
            <w:shd w:fill="2906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Multi-tenant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Lower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Logical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Lower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Multi-instance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Physical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Higher</w:t>
            </w:r>
          </w:p>
        </w:tc>
      </w:tr>
    </w:tbl>
    <w:p>
      <w:pPr>
        <w:spacing w:after="120"/>
      </w:pPr>
    </w:p>
    <w:p>
      <w:pPr>
        <w:pBdr>
          <w:left w:val="single" w:color="731EE3" w:sz="12"/>
        </w:pBdr>
        <w:shd w:fill="F8F4FE" w:val="clear"/>
        <w:spacing w:after="100" w:before="100"/>
        <w:ind w:left="215" w:right="215"/>
      </w:pPr>
      <w:r>
        <w:rPr>
          <w:rFonts w:ascii="Calibri" w:cs="Calibri" w:eastAsia="Calibri" w:hAnsi="Calibri"/>
          <w:b/>
          <w:bCs/>
          <w:color w:val="29065A"/>
          <w:sz w:val="22"/>
          <w:szCs w:val="22"/>
        </w:rPr>
        <w:t xml:space="preserve">Recommendation: </w:t>
      </w:r>
      <w:r>
        <w:rPr>
          <w:rFonts w:ascii="Calibri" w:cs="Calibri" w:eastAsia="Calibri" w:hAnsi="Calibri"/>
          <w:sz w:val="22"/>
          <w:szCs w:val="22"/>
        </w:rPr>
        <w:t xml:space="preserve">Start multi-tenant with per-LOB config. Genesis Platform supports it. Separate instances only where regulation requires physical isolation.</w:t>
      </w:r>
    </w:p>
    <w:p>
      <w:pPr>
        <w:pBdr>
          <w:left w:val="single" w:color="731EE3" w:sz="12"/>
        </w:pBdr>
        <w:shd w:fill="F8F4FE" w:val="clear"/>
        <w:spacing w:after="100" w:before="100"/>
        <w:ind w:left="215" w:right="215"/>
      </w:pPr>
      <w:r>
        <w:rPr>
          <w:rFonts w:ascii="Calibri" w:cs="Calibri" w:eastAsia="Calibri" w:hAnsi="Calibri"/>
          <w:b/>
          <w:bCs/>
          <w:color w:val="29065A"/>
          <w:sz w:val="22"/>
          <w:szCs w:val="22"/>
        </w:rPr>
        <w:t xml:space="preserve">Honest unknowns: </w:t>
      </w:r>
      <w:r>
        <w:rPr>
          <w:rFonts w:ascii="Calibri" w:cs="Calibri" w:eastAsia="Calibri" w:hAnsi="Calibri"/>
          <w:sz w:val="22"/>
          <w:szCs w:val="22"/>
        </w:rPr>
        <w:t xml:space="preserve">The right answer depends on actual LOB rule complexity and regulatory requirements — both are discovery questions.</w:t>
      </w:r>
    </w:p>
    <w:p>
      <w:pPr>
        <w:pStyle w:val="Heading1"/>
        <w:pageBreakBefore/>
        <w:pBdr>
          <w:bottom w:val="single" w:color="731EE3" w:sz="8"/>
        </w:pBdr>
        <w:spacing w:after="200"/>
      </w:pPr>
      <w:r>
        <w:rPr>
          <w:rFonts w:ascii="Calibri" w:cs="Calibri" w:eastAsia="Calibri" w:hAnsi="Calibri"/>
          <w:b/>
          <w:bCs/>
          <w:color w:val="29065A"/>
          <w:sz w:val="40"/>
          <w:szCs w:val="40"/>
        </w:rPr>
        <w:t xml:space="preserve">Sources &amp; References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906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shd w:fill="2906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Claim</w:t>
            </w:r>
          </w:p>
        </w:tc>
        <w:tc>
          <w:tcPr>
            <w:shd w:fill="2906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Source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$10.97 manual PA labor cost (provider)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CAQH 2024 Index, p. 9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$3.52 manual PA labor cost (payer)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CAQH 2024 Index, p. 9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~$0.05 electronic PA cost (payer)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CAQH 2024 Index, p. 9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45% PA review time reduction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Altais + Autonomize AI (BusinessWire Feb 2026)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5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54% manual error reduction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Altais + Autonomize AI (BusinessWire Feb 2026)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6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50% auto-determination rate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Altais + Autonomize AI (BusinessWire Feb 2026)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7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93% physicians say PA delays care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AMA 2024 Prior Auth Survey, p. 5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8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CMS-0057-F Phase 1 Jan 2026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CMS Interoperability Final Rule Fact Sheet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9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CMS-0057-F Phase 2 Jan 2027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CMS Interoperability Final Rule Fact Sheet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Live at 3 of 5 largest US plans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Autonomize AI (BusinessWire Feb 2026)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PA Copilot on Azure Marketplace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Azure Marketplace listing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ServiceNow partnership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BusinessWire Mar 2026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Claude in Azure AI Foundry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Microsoft Learn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Genesis Platform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GlobeNewsWire Apr 2025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15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Microsoft Pegasus Program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BusinessWire Nov 2025</w:t>
            </w:r>
          </w:p>
        </w:tc>
      </w:tr>
    </w:tbl>
    <w:p>
      <w:pPr>
        <w:spacing w:after="12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d814d7b0d3fb07a9c02aef325b912cd7f8c317d.png"/><Relationship Id="rId8" Type="http://schemas.openxmlformats.org/officeDocument/2006/relationships/image" Target="media/51db0443150302304195ef7ec40a348e125f9d4f.png"/><Relationship Id="rId9" Type="http://schemas.openxmlformats.org/officeDocument/2006/relationships/image" Target="media/76b49c408a77baaf5af84ba22d33435d37097bfc.png"/><Relationship Id="rId10" Type="http://schemas.openxmlformats.org/officeDocument/2006/relationships/image" Target="media/50b89135016c351b428958ed140b2f45dc67320c.png"/><Relationship Id="rId11" Type="http://schemas.openxmlformats.org/officeDocument/2006/relationships/image" Target="media/1e5560440ab69fdd0c90fb9335287232aef0de2c.png"/><Relationship Id="rId12" Type="http://schemas.openxmlformats.org/officeDocument/2006/relationships/image" Target="media/d396282124ffccbeba53ab53d54358c63df2de47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2026-03-25T19:16:38.328Z</dcterms:created>
  <dcterms:modified xsi:type="dcterms:W3CDTF">2026-03-25T19:16:38.328Z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